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6FAF4"/>
  <w:body>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pPr>
      <w:r>
        <w:pict>
          <v:shape id="_x0000_s1028" o:spid="_x0000_s1028" o:spt="136" type="#_x0000_t136" style="position:absolute;left:0pt;margin-left:0pt;margin-top:0pt;height:50pt;width:50pt;visibility:hidden;z-index:251659264;mso-width-relative:page;mso-height-relative:page;" coordsize="21600,21600">
            <v:path/>
            <v:fill focussize="0,0"/>
            <v:stroke/>
            <v:imagedata o:title=""/>
            <o:lock v:ext="edit" selection="t"/>
            <v:textpath on="t" fitshape="t" fitpath="t" trim="t" xscale="f" string="" style="font-size:36pt;v-text-align:center;"/>
          </v:shape>
        </w:pict>
      </w:r>
      <w:r>
        <w:pict>
          <v:shape id="_x0000_s1027" o:spid="_x0000_s1027" o:spt="136" type="#_x0000_t136" style="position:absolute;left:0pt;margin-left:0pt;margin-top:0pt;height:50pt;width:50pt;visibility:hidden;z-index:251660288;mso-width-relative:page;mso-height-relative:page;" coordsize="21600,21600">
            <v:path/>
            <v:fill focussize="0,0"/>
            <v:stroke/>
            <v:imagedata o:title=""/>
            <o:lock v:ext="edit" selection="t"/>
            <v:textpath on="t" fitshape="t" fitpath="t" trim="t" xscale="f" string="" style="font-size:36pt;v-text-align:center;"/>
          </v:shape>
        </w:pict>
      </w:r>
      <w:r>
        <w:pict>
          <v:shape id="_x0000_s1026" o:spid="_x0000_s1026" o:spt="136" type="#_x0000_t136" style="position:absolute;left:0pt;margin-left:0pt;margin-top:0pt;height:50pt;width:50pt;visibility:hidden;z-index:251660288;mso-width-relative:page;mso-height-relative:page;" coordsize="21600,21600">
            <v:path/>
            <v:fill focussize="0,0"/>
            <v:stroke/>
            <v:imagedata o:title=""/>
            <o:lock v:ext="edit" selection="t"/>
            <v:textpath on="t" fitshape="t" fitpath="t" trim="t" xscale="f" string="" style="font-size:36pt;v-text-align:center;"/>
          </v:shape>
        </w:pict>
      </w:r>
    </w:p>
    <w:p>
      <w:pPr>
        <w:jc w:val="center"/>
        <w:rPr>
          <w:rFonts w:hint="default"/>
          <w:b/>
          <w:color w:val="538135"/>
          <w:sz w:val="28"/>
          <w:szCs w:val="28"/>
          <w:lang w:val="en-US"/>
        </w:rPr>
      </w:pPr>
      <w:r>
        <w:rPr>
          <w:b/>
          <w:color w:val="538135"/>
          <w:sz w:val="28"/>
          <w:szCs w:val="28"/>
        </w:rPr>
        <w:t xml:space="preserve">GIAO TIẾP MODULE </w:t>
      </w:r>
      <w:r>
        <w:rPr>
          <w:rFonts w:hint="default"/>
          <w:b/>
          <w:color w:val="538135"/>
          <w:sz w:val="28"/>
          <w:szCs w:val="28"/>
          <w:lang w:val="en-US"/>
        </w:rPr>
        <w:t>MẠCH SẠC XẢ PIN LITHIUM</w:t>
      </w:r>
    </w:p>
    <w:tbl>
      <w:tblPr>
        <w:tblStyle w:val="21"/>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shd w:val="clear" w:color="auto" w:fill="E2EFD9"/>
          </w:tcPr>
          <w:p>
            <w:pPr>
              <w:spacing w:after="0" w:line="240" w:lineRule="auto"/>
            </w:pPr>
            <w:r>
              <w:t>1. Giới thiệu module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tcPr>
          <w:p>
            <w:pPr>
              <w:numPr>
                <w:ilvl w:val="0"/>
                <w:numId w:val="1"/>
              </w:numPr>
              <w:pBdr>
                <w:top w:val="none" w:color="auto" w:sz="0" w:space="0"/>
                <w:left w:val="none" w:color="auto" w:sz="0" w:space="0"/>
                <w:bottom w:val="none" w:color="auto" w:sz="0" w:space="0"/>
                <w:right w:val="none" w:color="auto" w:sz="0" w:space="0"/>
                <w:between w:val="none" w:color="auto" w:sz="0" w:space="0"/>
              </w:pBdr>
              <w:spacing w:after="160" w:line="259" w:lineRule="auto"/>
              <w:ind w:left="313" w:hanging="219"/>
            </w:pPr>
            <w:r>
              <w:rPr>
                <w:color w:val="000000"/>
              </w:rPr>
              <w:t>Hình của module:</w:t>
            </w:r>
          </w:p>
          <w:p>
            <w:pPr>
              <w:pBdr>
                <w:top w:val="none" w:color="auto" w:sz="0" w:space="0"/>
                <w:left w:val="none" w:color="auto" w:sz="0" w:space="0"/>
                <w:bottom w:val="none" w:color="auto" w:sz="0" w:space="0"/>
                <w:right w:val="none" w:color="auto" w:sz="0" w:space="0"/>
                <w:between w:val="none" w:color="auto" w:sz="0" w:space="0"/>
              </w:pBdr>
              <w:spacing w:after="160" w:line="259" w:lineRule="auto"/>
              <w:ind w:left="313"/>
              <w:jc w:val="center"/>
              <w:rPr>
                <w:b/>
                <w:bCs/>
              </w:rPr>
            </w:pPr>
            <w:r>
              <w:rPr>
                <w:rFonts w:ascii="SimSun" w:hAnsi="SimSun" w:eastAsia="SimSun" w:cs="SimSun"/>
                <w:sz w:val="24"/>
                <w:szCs w:val="24"/>
              </w:rPr>
              <w:drawing>
                <wp:inline distT="0" distB="0" distL="114300" distR="114300">
                  <wp:extent cx="3215640" cy="3215640"/>
                  <wp:effectExtent l="0" t="0" r="0" b="0"/>
                  <wp:docPr id="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IMG_256"/>
                          <pic:cNvPicPr>
                            <a:picLocks noChangeAspect="1"/>
                          </pic:cNvPicPr>
                        </pic:nvPicPr>
                        <pic:blipFill>
                          <a:blip r:embed="rId12"/>
                          <a:stretch>
                            <a:fillRect/>
                          </a:stretch>
                        </pic:blipFill>
                        <pic:spPr>
                          <a:xfrm>
                            <a:off x="0" y="0"/>
                            <a:ext cx="3215640" cy="3215640"/>
                          </a:xfrm>
                          <a:prstGeom prst="rect">
                            <a:avLst/>
                          </a:prstGeom>
                          <a:noFill/>
                          <a:ln w="9525">
                            <a:noFill/>
                          </a:ln>
                        </pic:spPr>
                      </pic:pic>
                    </a:graphicData>
                  </a:graphic>
                </wp:inline>
              </w:drawing>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160" w:line="259" w:lineRule="auto"/>
            </w:pPr>
            <w:r>
              <w:rPr>
                <w:color w:val="000000"/>
                <w:lang w:val="vi-VN"/>
              </w:rPr>
              <w:t>Chức năng cơ bản</w:t>
            </w:r>
            <w:r>
              <w:rPr>
                <w:color w:val="000000"/>
              </w:rPr>
              <w:t>:</w:t>
            </w:r>
            <w:r>
              <w:rPr>
                <w:color w:val="000000"/>
                <w:lang w:val="vi-VN"/>
              </w:rPr>
              <w:t xml:space="preserve"> Module </w:t>
            </w:r>
            <w:r>
              <w:rPr>
                <w:rFonts w:hint="default"/>
                <w:color w:val="000000"/>
                <w:lang w:val="en-US"/>
              </w:rPr>
              <w:t>xạc xả pin Lithium dùng để sạc pin Li-Ion hoặc pin Lipo (1 cell) thông qua cổng USB type C và xả dòng điện của pin ở ngõ ra mạch kết hợp với tăng áp lên giá trị 5V, mạch tích hợp các chức năng bảo vệ pin (bảo vệ quá dòng, quá áp…) và có đèn LED hiển trị trạng thái pin.</w:t>
            </w:r>
          </w:p>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shd w:val="clear" w:color="auto" w:fill="E2EFD9"/>
          </w:tcPr>
          <w:p>
            <w:pPr>
              <w:spacing w:after="0" w:line="240" w:lineRule="auto"/>
            </w:pPr>
            <w:r>
              <w:t xml:space="preserve">2. Sơ đồ nối chân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tcPr>
          <w:tbl>
            <w:tblPr>
              <w:tblStyle w:val="22"/>
              <w:tblpPr w:leftFromText="180" w:rightFromText="180" w:vertAnchor="text" w:horzAnchor="page" w:tblpX="1032" w:tblpY="132"/>
              <w:tblOverlap w:val="never"/>
              <w:tblW w:w="716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95"/>
              <w:gridCol w:w="2383"/>
              <w:gridCol w:w="23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95" w:type="dxa"/>
                  <w:shd w:val="clear" w:color="auto" w:fill="DEEBF6"/>
                </w:tcPr>
                <w:p>
                  <w:pPr>
                    <w:spacing w:after="0" w:line="240" w:lineRule="auto"/>
                    <w:jc w:val="center"/>
                    <w:rPr>
                      <w:rFonts w:hint="default"/>
                      <w:lang w:val="en-US"/>
                    </w:rPr>
                  </w:pPr>
                  <w:r>
                    <w:rPr>
                      <w:lang w:val="vi-VN"/>
                    </w:rPr>
                    <w:t xml:space="preserve">Arduino </w:t>
                  </w:r>
                  <w:r>
                    <w:rPr>
                      <w:rFonts w:hint="default"/>
                      <w:lang w:val="en-US"/>
                    </w:rPr>
                    <w:t>Nano</w:t>
                  </w:r>
                </w:p>
              </w:tc>
              <w:tc>
                <w:tcPr>
                  <w:tcW w:w="2383" w:type="dxa"/>
                  <w:shd w:val="clear" w:color="auto" w:fill="DEEBF6"/>
                </w:tcPr>
                <w:p>
                  <w:pPr>
                    <w:spacing w:after="0" w:line="240" w:lineRule="auto"/>
                    <w:jc w:val="center"/>
                    <w:rPr>
                      <w:rFonts w:hint="default"/>
                      <w:lang w:val="en-US"/>
                    </w:rPr>
                  </w:pPr>
                  <w:r>
                    <w:rPr>
                      <w:rFonts w:hint="default"/>
                      <w:lang w:val="en-US"/>
                    </w:rPr>
                    <w:t>Mạch sạc xả</w:t>
                  </w:r>
                </w:p>
              </w:tc>
              <w:tc>
                <w:tcPr>
                  <w:tcW w:w="2383" w:type="dxa"/>
                  <w:shd w:val="clear" w:color="auto" w:fill="DEEBF6"/>
                </w:tcPr>
                <w:p>
                  <w:pPr>
                    <w:spacing w:after="0" w:line="240" w:lineRule="auto"/>
                    <w:jc w:val="center"/>
                    <w:rPr>
                      <w:rFonts w:hint="default"/>
                      <w:lang w:val="en-US"/>
                    </w:rPr>
                  </w:pPr>
                  <w:r>
                    <w:rPr>
                      <w:rFonts w:hint="default"/>
                      <w:lang w:val="en-US"/>
                    </w:rPr>
                    <w:t>Battery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95" w:type="dxa"/>
                </w:tcPr>
                <w:p>
                  <w:pPr>
                    <w:spacing w:after="0" w:line="240" w:lineRule="auto"/>
                    <w:jc w:val="center"/>
                    <w:rPr>
                      <w:rFonts w:hint="default"/>
                      <w:lang w:val="en-US"/>
                    </w:rPr>
                  </w:pPr>
                  <w:r>
                    <w:rPr>
                      <w:rFonts w:hint="default"/>
                      <w:lang w:val="en-US"/>
                    </w:rPr>
                    <w:t>VIN</w:t>
                  </w:r>
                </w:p>
              </w:tc>
              <w:tc>
                <w:tcPr>
                  <w:tcW w:w="2383" w:type="dxa"/>
                </w:tcPr>
                <w:p>
                  <w:pPr>
                    <w:spacing w:after="0" w:line="240" w:lineRule="auto"/>
                    <w:jc w:val="center"/>
                    <w:rPr>
                      <w:rFonts w:hint="default"/>
                      <w:lang w:val="en-US"/>
                    </w:rPr>
                  </w:pPr>
                  <w:r>
                    <w:rPr>
                      <w:rFonts w:hint="default"/>
                      <w:lang w:val="en-US"/>
                    </w:rPr>
                    <w:t>5V+</w:t>
                  </w:r>
                </w:p>
              </w:tc>
              <w:tc>
                <w:tcPr>
                  <w:tcW w:w="2383" w:type="dxa"/>
                </w:tcPr>
                <w:p>
                  <w:pPr>
                    <w:spacing w:after="0" w:line="240" w:lineRule="auto"/>
                    <w:jc w:val="center"/>
                    <w:rPr>
                      <w:rFonts w:hint="default"/>
                      <w:lang w:val="en-US"/>
                    </w:rPr>
                  </w:pPr>
                  <w:r>
                    <w:rPr>
                      <w:rFonts w:hint="default"/>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95" w:type="dxa"/>
                </w:tcPr>
                <w:p>
                  <w:pPr>
                    <w:spacing w:after="0" w:line="240" w:lineRule="auto"/>
                    <w:jc w:val="center"/>
                  </w:pPr>
                  <w:r>
                    <w:t>GND</w:t>
                  </w:r>
                </w:p>
              </w:tc>
              <w:tc>
                <w:tcPr>
                  <w:tcW w:w="2383" w:type="dxa"/>
                </w:tcPr>
                <w:p>
                  <w:pPr>
                    <w:spacing w:after="0" w:line="240" w:lineRule="auto"/>
                    <w:jc w:val="center"/>
                    <w:rPr>
                      <w:rFonts w:hint="default"/>
                      <w:lang w:val="en-US"/>
                    </w:rPr>
                  </w:pPr>
                  <w:r>
                    <w:rPr>
                      <w:rFonts w:hint="default"/>
                      <w:lang w:val="en-US"/>
                    </w:rPr>
                    <w:t>5V-</w:t>
                  </w:r>
                </w:p>
              </w:tc>
              <w:tc>
                <w:tcPr>
                  <w:tcW w:w="2383" w:type="dxa"/>
                </w:tcPr>
                <w:p>
                  <w:pPr>
                    <w:spacing w:after="0" w:line="240" w:lineRule="auto"/>
                    <w:jc w:val="center"/>
                    <w:rPr>
                      <w:rFonts w:hint="default"/>
                      <w:lang w:val="en-US"/>
                    </w:rPr>
                  </w:pPr>
                  <w:r>
                    <w:rPr>
                      <w:rFonts w:hint="default"/>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95" w:type="dxa"/>
                </w:tcPr>
                <w:p>
                  <w:pPr>
                    <w:spacing w:after="0" w:line="240" w:lineRule="auto"/>
                    <w:jc w:val="center"/>
                    <w:rPr>
                      <w:rFonts w:hint="default"/>
                      <w:lang w:val="en-US"/>
                    </w:rPr>
                  </w:pPr>
                  <w:r>
                    <w:rPr>
                      <w:rFonts w:hint="default"/>
                      <w:lang w:val="en-US"/>
                    </w:rPr>
                    <w:t>-</w:t>
                  </w:r>
                </w:p>
              </w:tc>
              <w:tc>
                <w:tcPr>
                  <w:tcW w:w="2383" w:type="dxa"/>
                </w:tcPr>
                <w:p>
                  <w:pPr>
                    <w:spacing w:after="0" w:line="240" w:lineRule="auto"/>
                    <w:jc w:val="center"/>
                    <w:rPr>
                      <w:rFonts w:hint="default"/>
                      <w:lang w:val="en-US"/>
                    </w:rPr>
                  </w:pPr>
                  <w:r>
                    <w:rPr>
                      <w:rFonts w:hint="default"/>
                      <w:lang w:val="en-US"/>
                    </w:rPr>
                    <w:t>B+</w:t>
                  </w:r>
                </w:p>
              </w:tc>
              <w:tc>
                <w:tcPr>
                  <w:tcW w:w="2383" w:type="dxa"/>
                </w:tcPr>
                <w:p>
                  <w:pPr>
                    <w:spacing w:after="0" w:line="240" w:lineRule="auto"/>
                    <w:jc w:val="center"/>
                    <w:rPr>
                      <w:rFonts w:hint="default"/>
                      <w:lang w:val="en-US"/>
                    </w:rPr>
                  </w:pPr>
                  <w:r>
                    <w:rPr>
                      <w:rFonts w:hint="default"/>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95" w:type="dxa"/>
                </w:tcPr>
                <w:p>
                  <w:pPr>
                    <w:spacing w:after="0" w:line="240" w:lineRule="auto"/>
                    <w:jc w:val="center"/>
                    <w:rPr>
                      <w:rFonts w:hint="default"/>
                      <w:lang w:val="en-US"/>
                    </w:rPr>
                  </w:pPr>
                  <w:r>
                    <w:rPr>
                      <w:rFonts w:hint="default"/>
                      <w:lang w:val="en-US"/>
                    </w:rPr>
                    <w:t>-</w:t>
                  </w:r>
                </w:p>
              </w:tc>
              <w:tc>
                <w:tcPr>
                  <w:tcW w:w="2383" w:type="dxa"/>
                </w:tcPr>
                <w:p>
                  <w:pPr>
                    <w:spacing w:after="0" w:line="240" w:lineRule="auto"/>
                    <w:jc w:val="center"/>
                    <w:rPr>
                      <w:rFonts w:hint="default"/>
                      <w:lang w:val="en-US"/>
                    </w:rPr>
                  </w:pPr>
                  <w:r>
                    <w:rPr>
                      <w:rFonts w:hint="default"/>
                      <w:lang w:val="en-US"/>
                    </w:rPr>
                    <w:t>B-</w:t>
                  </w:r>
                </w:p>
              </w:tc>
              <w:tc>
                <w:tcPr>
                  <w:tcW w:w="2383" w:type="dxa"/>
                </w:tcPr>
                <w:p>
                  <w:pPr>
                    <w:spacing w:after="0" w:line="240" w:lineRule="auto"/>
                    <w:jc w:val="center"/>
                    <w:rPr>
                      <w:rFonts w:hint="default"/>
                      <w:lang w:val="en-US"/>
                    </w:rPr>
                  </w:pPr>
                  <w:r>
                    <w:rPr>
                      <w:rFonts w:hint="default"/>
                      <w:lang w:val="en-US"/>
                    </w:rPr>
                    <w:t>(-)</w:t>
                  </w:r>
                </w:p>
              </w:tc>
            </w:tr>
          </w:tbl>
          <w:p>
            <w:pPr>
              <w:spacing w:after="0" w:line="240" w:lineRule="auto"/>
            </w:pPr>
          </w:p>
          <w:p>
            <w:pPr>
              <w:spacing w:after="0" w:line="240" w:lineRule="auto"/>
            </w:pP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shd w:val="clear" w:color="auto" w:fill="E2EFD9"/>
          </w:tcPr>
          <w:p>
            <w:pPr>
              <w:spacing w:after="0" w:line="240" w:lineRule="auto"/>
            </w:pPr>
            <w:r>
              <w:t>3. Thư viện giao tiếp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tcPr>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59" w:lineRule="auto"/>
              <w:ind w:left="313" w:hanging="219"/>
            </w:pPr>
            <w:r>
              <w:rPr>
                <w:rFonts w:hint="default"/>
                <w:lang w:val="en-US"/>
              </w:rPr>
              <w:t>Module không sử dụng thư viện giao tiếp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shd w:val="clear" w:color="auto" w:fill="E2EFD9"/>
          </w:tcPr>
          <w:p>
            <w:pPr>
              <w:spacing w:after="0" w:line="240" w:lineRule="auto"/>
            </w:pPr>
            <w:r>
              <w:t>4. Chương trình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vAlign w:val="top"/>
          </w:tcPr>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59" w:lineRule="auto"/>
              <w:ind w:left="313" w:leftChars="0" w:hanging="219" w:firstLineChars="0"/>
              <w:rPr>
                <w:rFonts w:ascii="Times New Roman" w:hAnsi="Times New Roman" w:eastAsia="Times New Roman" w:cs="Times New Roman"/>
                <w:sz w:val="24"/>
                <w:szCs w:val="24"/>
                <w:lang w:val="en-US" w:eastAsia="en-US" w:bidi="ar-SA"/>
              </w:rPr>
            </w:pPr>
            <w:r>
              <w:rPr>
                <w:rFonts w:hint="default"/>
                <w:lang w:val="en-US"/>
              </w:rPr>
              <w:t>Module không có chương trình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shd w:val="clear" w:color="auto" w:fill="E2EFD9"/>
          </w:tcPr>
          <w:p>
            <w:pPr>
              <w:spacing w:after="0" w:line="240" w:lineRule="auto"/>
            </w:pPr>
            <w:r>
              <w:t>5. [Ảnh] Mạch thực tế (testboard)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hint="default"/>
                <w:lang w:val="en-US"/>
              </w:rPr>
            </w:pPr>
            <w:r>
              <w:rPr>
                <w:rFonts w:hint="default"/>
                <w:lang w:val="en-US"/>
              </w:rPr>
              <w:object>
                <v:shape id="_x0000_i1025" o:spt="75" type="#_x0000_t75" style="height:65.4pt;width:72.6pt;" o:ole="t" filled="f" o:preferrelative="t" stroked="f" coordsize="21600,21600">
                  <v:fill on="f" focussize="0,0"/>
                  <v:stroke on="f"/>
                  <v:imagedata r:id="rId14" o:title=""/>
                  <o:lock v:ext="edit" aspectratio="t"/>
                  <w10:wrap type="none"/>
                  <w10:anchorlock/>
                </v:shape>
                <o:OLEObject Type="Embed" ProgID="Package" ShapeID="_x0000_i1025" DrawAspect="Icon" ObjectID="_1468075725" r:id="rId13">
                  <o:LockedField>false</o:LockedField>
                </o:OLEObject>
              </w:object>
            </w:r>
          </w:p>
        </w:tc>
      </w:tr>
    </w:tbl>
    <w:p>
      <w:pPr>
        <w:spacing w:after="0" w:line="240" w:lineRule="auto"/>
      </w:pPr>
      <w:r>
        <w:br w:type="page"/>
      </w:r>
    </w:p>
    <w:tbl>
      <w:tblPr>
        <w:tblStyle w:val="21"/>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shd w:val="clear" w:color="auto" w:fill="E2EFD9"/>
          </w:tcPr>
          <w:p>
            <w:pPr>
              <w:spacing w:after="0" w:line="240" w:lineRule="auto"/>
            </w:pPr>
            <w:r>
              <w:t>6. [Videos] Kết quả thu được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tcPr>
          <w:p>
            <w:pPr>
              <w:pBdr>
                <w:top w:val="none" w:color="auto" w:sz="0" w:space="0"/>
                <w:left w:val="none" w:color="auto" w:sz="0" w:space="0"/>
                <w:bottom w:val="none" w:color="auto" w:sz="0" w:space="0"/>
                <w:right w:val="none" w:color="auto" w:sz="0" w:space="0"/>
                <w:between w:val="none" w:color="auto" w:sz="0" w:space="0"/>
              </w:pBdr>
              <w:spacing w:after="160" w:line="259" w:lineRule="auto"/>
              <w:ind w:left="313"/>
              <w:jc w:val="center"/>
              <w:rPr>
                <w:rFonts w:hint="default"/>
                <w:lang w:val="en-US"/>
              </w:rPr>
            </w:pPr>
            <w:r>
              <w:rPr>
                <w:rFonts w:hint="default"/>
                <w:lang w:val="en-US"/>
              </w:rPr>
              <w:object>
                <v:shape id="_x0000_i1026" o:spt="75" type="#_x0000_t75" style="height:65.4pt;width:72.6pt;" o:ole="t" filled="f" o:preferrelative="t" stroked="f" coordsize="21600,21600">
                  <v:fill on="f" focussize="0,0"/>
                  <v:stroke on="f"/>
                  <v:imagedata r:id="rId16" o:title=""/>
                  <o:lock v:ext="edit" aspectratio="t"/>
                  <w10:wrap type="none"/>
                  <w10:anchorlock/>
                </v:shape>
                <o:OLEObject Type="Embed" ProgID="Package" ShapeID="_x0000_i1026" DrawAspect="Icon" ObjectID="_1468075726" r:id="rId15">
                  <o:LockedField>false</o:LockedField>
                </o:OLEObject>
              </w:objec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shd w:val="clear" w:color="auto" w:fill="E2EFD9"/>
          </w:tcPr>
          <w:p>
            <w:pPr>
              <w:spacing w:after="0" w:line="240" w:lineRule="auto"/>
            </w:pPr>
            <w:r>
              <w:t>7. Lưu ý gì?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350" w:type="dxa"/>
          </w:tcPr>
          <w:p>
            <w:pPr>
              <w:numPr>
                <w:ilvl w:val="0"/>
                <w:numId w:val="2"/>
              </w:numPr>
              <w:pBdr>
                <w:top w:val="none" w:color="auto" w:sz="0" w:space="0"/>
                <w:left w:val="none" w:color="auto" w:sz="0" w:space="0"/>
                <w:bottom w:val="none" w:color="auto" w:sz="0" w:space="0"/>
                <w:right w:val="none" w:color="auto" w:sz="0" w:space="0"/>
                <w:between w:val="none" w:color="auto" w:sz="0" w:space="0"/>
              </w:pBdr>
              <w:spacing w:after="160" w:line="259" w:lineRule="auto"/>
              <w:ind w:left="313" w:hanging="219"/>
            </w:pPr>
            <w:r>
              <w:rPr>
                <w:rFonts w:hint="default"/>
                <w:lang w:val="en-US"/>
              </w:rPr>
              <w:t>Khi tải ở ngõ ra có giá trị &lt;50mA thì trong 30s mạch sẽ tự động ngắt dòng từ pin để tránh thất thoát điện áp pin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160" w:line="259" w:lineRule="auto"/>
              <w:ind w:left="313" w:hanging="219"/>
            </w:pPr>
            <w:r>
              <w:rPr>
                <w:rFonts w:hint="default"/>
                <w:lang w:val="en-US"/>
              </w:rPr>
              <w:t>Dòng xả tối đa ở ngõ ra tối đa là 2A, nếu tải có giá trị lớn hơn mạch sẽ tự ngắt để bảo vệ pin và mạch (thực tế có thể cao hơn hoặc thấp hơn)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160" w:line="259" w:lineRule="auto"/>
              <w:ind w:left="313" w:hanging="219"/>
            </w:pPr>
            <w:r>
              <w:rPr>
                <w:rFonts w:hint="default"/>
                <w:lang w:val="en-US"/>
              </w:rPr>
              <w:t>Có thể điều chỉnh điện áp sạc 4.2V hoặc 4.35V thông qua mối hàn cạnh đèn LED trạng thái</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160" w:line="259" w:lineRule="auto"/>
              <w:ind w:left="313" w:hanging="219"/>
            </w:pPr>
            <w:r>
              <w:rPr>
                <w:rFonts w:hint="default"/>
                <w:lang w:val="en-US"/>
              </w:rPr>
              <w:t>Nếu dòng sạc hoặc áp sạc &gt;2.4A và &gt;5.5VDC thì mạch sẽ tự ngắt dòng sạc để bảo vệ pin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160" w:line="259" w:lineRule="auto"/>
              <w:ind w:left="313" w:hanging="219"/>
            </w:pPr>
            <w:r>
              <w:rPr>
                <w:rFonts w:hint="default"/>
                <w:lang w:val="en-US"/>
              </w:rPr>
              <w:t>Chân K trên mạch có thể nối với nút nhấn dùng để kiểm tra trạng thái pin hiện tại qua đèn LED</w:t>
            </w:r>
          </w:p>
          <w:p>
            <w:pPr>
              <w:spacing w:after="0" w:line="240" w:lineRule="auto"/>
            </w:pPr>
          </w:p>
        </w:tc>
      </w:tr>
    </w:tbl>
    <w:p>
      <w:pPr>
        <w:spacing w:before="240"/>
      </w:pPr>
    </w:p>
    <w:sectPr>
      <w:headerReference r:id="rId7" w:type="first"/>
      <w:footerReference r:id="rId10" w:type="first"/>
      <w:headerReference r:id="rId5" w:type="default"/>
      <w:footerReference r:id="rId8" w:type="default"/>
      <w:headerReference r:id="rId6" w:type="even"/>
      <w:footerReference r:id="rId9" w:type="even"/>
      <w:pgSz w:w="12240" w:h="15840"/>
      <w:pgMar w:top="1135" w:right="1183" w:bottom="993"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r>
      <w:rPr>
        <w:color w:val="000000"/>
      </w:rPr>
      <w:pict>
        <v:shape id="PowerPlusWaterMarkObject3" o:spid="_x0000_s2051" o:spt="136" type="#_x0000_t136" style="position:absolute;left:0pt;height:134.25pt;width:353.25pt;mso-position-horizontal:center;mso-position-horizontal-relative:margin;mso-position-vertical:center;mso-position-vertical-relative:margin;rotation:20643840f;z-index:-251657216;mso-width-relative:page;mso-height-relative:page;" fillcolor="#C0C0C0" filled="t" stroked="f" coordsize="21600,21600">
          <v:path/>
          <v:fill on="t" opacity="32768f" focussize="0,0"/>
          <v:stroke on="f"/>
          <v:imagedata o:title=""/>
          <o:lock v:ext="edit"/>
          <v:textpath on="t" fitshape="t" fitpath="t" trim="f" xscale="f" string="Mr. H3" style="font-family:&amp;quot;font-size:120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r>
      <w:rPr>
        <w:color w:val="000000"/>
      </w:rPr>
      <w:pict>
        <v:shape id="PowerPlusWaterMarkObject1" o:spid="_x0000_s2049" o:spt="136" type="#_x0000_t136" style="position:absolute;left:0pt;height:134.25pt;width:353.25pt;mso-position-horizontal:center;mso-position-horizontal-relative:margin;mso-position-vertical:center;mso-position-vertical-relative:margin;rotation:20643840f;z-index:-251656192;mso-width-relative:page;mso-height-relative:page;" fillcolor="#C0C0C0" filled="t" stroked="f" coordsize="21600,21600">
          <v:path/>
          <v:fill on="t" opacity="32768f" focussize="0,0"/>
          <v:stroke on="f"/>
          <v:imagedata o:title=""/>
          <o:lock v:ext="edit"/>
          <v:textpath on="t" fitshape="t" fitpath="t" trim="f" xscale="f" string="Mr. H3" style="font-family:&amp;quot;font-size:120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r>
      <w:rPr>
        <w:color w:val="000000"/>
      </w:rPr>
      <w:pict>
        <v:shape id="PowerPlusWaterMarkObject2" o:spid="_x0000_s2050" o:spt="136" type="#_x0000_t136" style="position:absolute;left:0pt;height:134.25pt;width:353.25pt;mso-position-horizontal:center;mso-position-horizontal-relative:margin;mso-position-vertical:center;mso-position-vertical-relative:margin;rotation:20643840f;z-index:-251656192;mso-width-relative:page;mso-height-relative:page;" fillcolor="#C0C0C0" filled="t" stroked="f" coordsize="21600,21600">
          <v:path/>
          <v:fill on="t" opacity="32768f" focussize="0,0"/>
          <v:stroke on="f"/>
          <v:imagedata o:title=""/>
          <o:lock v:ext="edit"/>
          <v:textpath on="t" fitshape="t" fitpath="t" trim="f" xscale="f" string="Mr. H3" style="font-family:&amp;quot;font-size:120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23329F"/>
    <w:multiLevelType w:val="multilevel"/>
    <w:tmpl w:val="3223329F"/>
    <w:lvl w:ilvl="0" w:tentative="0">
      <w:start w:val="3"/>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70A36A2A"/>
    <w:multiLevelType w:val="multilevel"/>
    <w:tmpl w:val="70A36A2A"/>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137"/>
    <w:rsid w:val="00036A5D"/>
    <w:rsid w:val="000861F2"/>
    <w:rsid w:val="00100302"/>
    <w:rsid w:val="00102983"/>
    <w:rsid w:val="001E4B40"/>
    <w:rsid w:val="00263070"/>
    <w:rsid w:val="003010BF"/>
    <w:rsid w:val="003F65A9"/>
    <w:rsid w:val="0044435F"/>
    <w:rsid w:val="004E2F43"/>
    <w:rsid w:val="00583AC7"/>
    <w:rsid w:val="005E313E"/>
    <w:rsid w:val="005E34FC"/>
    <w:rsid w:val="006178AF"/>
    <w:rsid w:val="006C2FFF"/>
    <w:rsid w:val="007045D7"/>
    <w:rsid w:val="00884E05"/>
    <w:rsid w:val="00965BE7"/>
    <w:rsid w:val="00AA35A4"/>
    <w:rsid w:val="00B441E2"/>
    <w:rsid w:val="00B76347"/>
    <w:rsid w:val="00C1625F"/>
    <w:rsid w:val="00C35FBE"/>
    <w:rsid w:val="00C83B90"/>
    <w:rsid w:val="00C9503C"/>
    <w:rsid w:val="00D63137"/>
    <w:rsid w:val="00DE7DA8"/>
    <w:rsid w:val="00E079F5"/>
    <w:rsid w:val="00E22CE4"/>
    <w:rsid w:val="00F53152"/>
    <w:rsid w:val="00FE57FB"/>
    <w:rsid w:val="0D741430"/>
    <w:rsid w:val="0E2433CD"/>
    <w:rsid w:val="146D6337"/>
    <w:rsid w:val="5C1F6B48"/>
    <w:rsid w:val="66583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4"/>
      <w:szCs w:val="24"/>
      <w:lang w:val="en-US" w:eastAsia="en-US"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r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19"/>
    <w:unhideWhenUsed/>
    <w:qFormat/>
    <w:uiPriority w:val="99"/>
    <w:pPr>
      <w:tabs>
        <w:tab w:val="center" w:pos="4680"/>
        <w:tab w:val="right" w:pos="9360"/>
      </w:tabs>
      <w:spacing w:after="0" w:line="240" w:lineRule="auto"/>
    </w:pPr>
  </w:style>
  <w:style w:type="paragraph" w:styleId="11">
    <w:name w:val="header"/>
    <w:basedOn w:val="1"/>
    <w:link w:val="18"/>
    <w:unhideWhenUsed/>
    <w:qFormat/>
    <w:uiPriority w:val="99"/>
    <w:pPr>
      <w:tabs>
        <w:tab w:val="center" w:pos="4680"/>
        <w:tab w:val="right" w:pos="9360"/>
      </w:tabs>
      <w:spacing w:after="0" w:line="240" w:lineRule="auto"/>
    </w:pPr>
  </w:style>
  <w:style w:type="character" w:styleId="12">
    <w:name w:val="Hyperlink"/>
    <w:basedOn w:val="8"/>
    <w:unhideWhenUsed/>
    <w:qFormat/>
    <w:uiPriority w:val="99"/>
    <w:rPr>
      <w:color w:val="0563C1" w:themeColor="hyperlink"/>
      <w:u w:val="single"/>
      <w14:textFill>
        <w14:solidFill>
          <w14:schemeClr w14:val="hlink"/>
        </w14:solidFill>
      </w14:textFill>
    </w:rPr>
  </w:style>
  <w:style w:type="paragraph" w:styleId="13">
    <w:name w:val="Normal (Web)"/>
    <w:basedOn w:val="1"/>
    <w:semiHidden/>
    <w:unhideWhenUsed/>
    <w:qFormat/>
    <w:uiPriority w:val="99"/>
    <w:pPr>
      <w:spacing w:before="100" w:beforeAutospacing="1" w:after="100" w:afterAutospacing="1" w:line="240" w:lineRule="auto"/>
    </w:pPr>
  </w:style>
  <w:style w:type="paragraph" w:styleId="14">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5">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keepNext/>
      <w:keepLines/>
      <w:spacing w:before="480" w:after="120"/>
    </w:pPr>
    <w:rPr>
      <w:b/>
      <w:sz w:val="72"/>
      <w:szCs w:val="72"/>
    </w:rPr>
  </w:style>
  <w:style w:type="paragraph" w:styleId="17">
    <w:name w:val="List Paragraph"/>
    <w:basedOn w:val="1"/>
    <w:qFormat/>
    <w:uiPriority w:val="34"/>
    <w:pPr>
      <w:ind w:left="720"/>
      <w:contextualSpacing/>
    </w:pPr>
  </w:style>
  <w:style w:type="character" w:customStyle="1" w:styleId="18">
    <w:name w:val="Header Char"/>
    <w:basedOn w:val="8"/>
    <w:link w:val="11"/>
    <w:qFormat/>
    <w:uiPriority w:val="99"/>
  </w:style>
  <w:style w:type="character" w:customStyle="1" w:styleId="19">
    <w:name w:val="Footer Char"/>
    <w:basedOn w:val="8"/>
    <w:link w:val="10"/>
    <w:qFormat/>
    <w:uiPriority w:val="99"/>
  </w:style>
  <w:style w:type="character" w:customStyle="1" w:styleId="20">
    <w:name w:val="apple-tab-span"/>
    <w:basedOn w:val="8"/>
    <w:qFormat/>
    <w:uiPriority w:val="0"/>
  </w:style>
  <w:style w:type="table" w:customStyle="1" w:styleId="21">
    <w:name w:val="_Style 20"/>
    <w:basedOn w:val="9"/>
    <w:qFormat/>
    <w:uiPriority w:val="0"/>
    <w:pPr>
      <w:spacing w:after="0" w:line="240" w:lineRule="auto"/>
    </w:pPr>
  </w:style>
  <w:style w:type="table" w:customStyle="1" w:styleId="22">
    <w:name w:val="_Style 21"/>
    <w:basedOn w:val="9"/>
    <w:qFormat/>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3.emf"/><Relationship Id="rId15" Type="http://schemas.openxmlformats.org/officeDocument/2006/relationships/oleObject" Target="embeddings/oleObject2.bin"/><Relationship Id="rId14" Type="http://schemas.openxmlformats.org/officeDocument/2006/relationships/image" Target="media/image2.emf"/><Relationship Id="rId13" Type="http://schemas.openxmlformats.org/officeDocument/2006/relationships/oleObject" Target="embeddings/oleObject1.bin"/><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49"/>
    <customShpInfo spid="_x0000_s2050"/>
    <customShpInfo spid="_x0000_s1028"/>
    <customShpInfo spid="_x0000_s1027"/>
    <customShpInfo spid="_x0000_s1026"/>
  </customShpExts>
</s:customDat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ls76KXqk6vK/KBWH1s2OrgsKyQ==">AMUW2mXP7dfH27ZZFrcYH/sR5dHLHJjrXMGdbFucEVmJkGM6kMkfd0tKhjAWrBK2bcaxCORrC29eWSq0+eB4DjsLTdamRVlEwcJmtSEZBVJc2S8+T3al0h4m3ZaHoGtnmVBbp/nIpKtr</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2</Pages>
  <Words>140</Words>
  <Characters>799</Characters>
  <Lines>6</Lines>
  <Paragraphs>1</Paragraphs>
  <TotalTime>17</TotalTime>
  <ScaleCrop>false</ScaleCrop>
  <LinksUpToDate>false</LinksUpToDate>
  <CharactersWithSpaces>938</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2023-02-20T00:37:00Z</dcterms:created>
  <dc:creator>H3_Workplace</dc:creator>
  <cp:lastModifiedBy>tran hoang</cp:lastModifiedBy>
  <dcterms:modified xsi:type="dcterms:W3CDTF">2023-05-31T04:25:42Z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F4C9840125AB41B3BBFFF64B9AF189A5</vt:lpwstr>
  </property>
</Properties>
</file>