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color w:val="000000"/>
        </w:rPr>
        <w:t xml:space="preserve">Thành viên nhóm:</w:t>
      </w:r>
      <w:r>
        <w:rPr>
          <w:color w:val="000000"/>
        </w:rPr>
        <w:br/>
      </w:r>
      <w:r>
        <w:rPr>
          <w:color w:val="000000"/>
        </w:rPr>
        <w:t xml:space="preserve">1. Nguyễn Thị Hồng Phúc - 24730132</w:t>
      </w:r>
      <w:r>
        <w:rPr>
          <w:color w:val="000000"/>
        </w:rPr>
        <w:br/>
      </w:r>
      <w:r>
        <w:rPr>
          <w:color w:val="000000"/>
        </w:rPr>
        <w:t xml:space="preserve">2. Nguyễn Thanh Phúc - 24730131</w:t>
      </w:r>
      <w:r>
        <w:rPr>
          <w:color w:val="000000"/>
        </w:rPr>
        <w:br/>
      </w:r>
      <w:r>
        <w:rPr>
          <w:color w:val="000000"/>
        </w:rPr>
        <w:t xml:space="preserve">3. Nguyễn Ngọc Danh - 24730090</w:t>
      </w:r>
      <w:r>
        <w:rPr>
          <w:color w:val="000000"/>
        </w:rPr>
        <w:br/>
      </w:r>
      <w:r>
        <w:rPr>
          <w:color w:val="000000"/>
        </w:rPr>
        <w:t xml:space="preserve">4. Mai Hoàng Hưng - 24730099</w:t>
      </w:r>
    </w:p>
    <w:p>
      <w:pPr>
        <w:pStyle w:val="BodyText"/>
      </w:pPr>
      <w:r>
        <w:rPr>
          <w:color w:val="000000"/>
        </w:rPr>
        <w:t xml:space="preserve">Môn học: Hệ thống quản trị qui trình nghiệp vụ</w:t>
      </w:r>
      <w:r>
        <w:rPr>
          <w:color w:val="000000"/>
        </w:rPr>
        <w:br/>
      </w:r>
      <w:r>
        <w:rPr>
          <w:color w:val="000000"/>
        </w:rPr>
        <w:t xml:space="preserve">Lớp học phần: IE203.F31.CN1.CNTT</w:t>
      </w:r>
      <w:r>
        <w:rPr>
          <w:color w:val="000000"/>
        </w:rPr>
        <w:br/>
      </w:r>
      <w:r>
        <w:rPr>
          <w:color w:val="000000"/>
        </w:rPr>
        <w:t xml:space="preserve">GVHD: Hà Lê Hoài Trung</w:t>
      </w:r>
    </w:p>
    <w:bookmarkStart w:id="12" w:name="X58abf4ba74710aef823eadc33aa580adc6c2192"/>
    <w:p>
      <w:pPr>
        <w:pStyle w:val="Heading1"/>
      </w:pPr>
      <w:r>
        <w:rPr>
          <w:color w:val="000000"/>
        </w:rPr>
        <w:t xml:space="preserve">Xác định sự lãng phí trong quy trình tuyển sinh</w:t>
      </w:r>
    </w:p>
    <w:p>
      <w:pPr>
        <w:pStyle w:val="FirstParagraph"/>
      </w:pPr>
      <w:r>
        <w:rPr>
          <w:color w:val="000000"/>
        </w:rPr>
        <w:t xml:space="preserve">Quy trình xử lý 3.000 hồ sơ mỗi năm cho 10 chương trình, tổng cộng 300 chỗ học và 50 học bổng. Nhóm phân loại lãng phí theo Lean và chỉ coi một hoạt động là lãng phí khi nó không tạo giá trị cho ứng viên hoặc không cần thiết cho việc vận hành, tuân thủ tuyển sinh.</w:t>
      </w:r>
    </w:p>
    <w:bookmarkStart w:id="9" w:name="các-lãng-phí-có-thể-lượng-hóa"/>
    <w:p>
      <w:pPr>
        <w:pStyle w:val="Heading2"/>
      </w:pPr>
      <w:r>
        <w:rPr>
          <w:color w:val="000000"/>
        </w:rPr>
        <w:t xml:space="preserve">Các lãng phí có thể lượng hóa</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85"/>
        <w:gridCol w:w="1485"/>
        <w:gridCol w:w="1980"/>
        <w:gridCol w:w="1485"/>
        <w:gridCol w:w="1485"/>
      </w:tblGrid>
      <w:tr>
        <w:trPr>
          <w:tblHeader w:val="on"/>
        </w:trPr>
        <w:tc>
          <w:tcPr/>
          <w:p>
            <w:pPr>
              <w:pStyle w:val="Compact"/>
            </w:pPr>
            <w:r>
              <w:rPr>
                <w:color w:val="000000"/>
              </w:rPr>
              <w:t xml:space="preserve">Dạng lãng phí</w:t>
            </w:r>
          </w:p>
        </w:tc>
        <w:tc>
          <w:tcPr/>
          <w:p>
            <w:pPr>
              <w:pStyle w:val="Compact"/>
            </w:pPr>
            <w:r>
              <w:rPr>
                <w:color w:val="000000"/>
              </w:rPr>
              <w:t xml:space="preserve">Dấu hiệu từ đề bài</w:t>
            </w:r>
          </w:p>
        </w:tc>
        <w:tc>
          <w:tcPr/>
          <w:p>
            <w:pPr>
              <w:pStyle w:val="Compact"/>
              <w:jc w:val="right"/>
            </w:pPr>
            <w:r>
              <w:rPr>
                <w:color w:val="000000"/>
              </w:rPr>
              <w:t xml:space="preserve">Quy mô ước tính mỗi năm</w:t>
            </w:r>
          </w:p>
        </w:tc>
        <w:tc>
          <w:tcPr/>
          <w:p>
            <w:pPr>
              <w:pStyle w:val="Compact"/>
            </w:pPr>
            <w:r>
              <w:rPr>
                <w:color w:val="000000"/>
              </w:rPr>
              <w:t xml:space="preserve">Tác động</w:t>
            </w:r>
          </w:p>
        </w:tc>
        <w:tc>
          <w:tcPr/>
          <w:p>
            <w:pPr>
              <w:pStyle w:val="Compact"/>
            </w:pPr>
            <w:r>
              <w:rPr>
                <w:color w:val="000000"/>
              </w:rPr>
              <w:t xml:space="preserve">Hướng cải tiến</w:t>
            </w:r>
          </w:p>
        </w:tc>
      </w:tr>
      <w:tr>
        <w:tc>
          <w:tcPr/>
          <w:p>
            <w:pPr>
              <w:pStyle w:val="Compact"/>
            </w:pPr>
            <w:r>
              <w:rPr>
                <w:color w:val="000000"/>
              </w:rPr>
              <w:t xml:space="preserve">Defects và rework</w:t>
            </w:r>
          </w:p>
        </w:tc>
        <w:tc>
          <w:tcPr/>
          <w:p>
            <w:pPr>
              <w:pStyle w:val="Compact"/>
            </w:pPr>
            <w:r>
              <w:rPr>
                <w:color w:val="000000"/>
              </w:rPr>
              <w:t xml:space="preserve">20% hồ sơ bị trả lại ở lần kiểm tra hành chính đầu tiên do thiếu thông tin hoặc tài liệu. Một nửa số này phải nộp, kiểm tra lại.</w:t>
            </w:r>
          </w:p>
        </w:tc>
        <w:tc>
          <w:tcPr/>
          <w:p>
            <w:pPr>
              <w:pStyle w:val="Compact"/>
              <w:jc w:val="right"/>
            </w:pPr>
            <w:r>
              <w:rPr>
                <w:color w:val="000000"/>
              </w:rPr>
              <w:t xml:space="preserve">600 hồ sơ lỗi ban đầu; 300 lần sửa và kiểm tra lại; 300 hồ sơ vẫn bị loại.</w:t>
            </w:r>
          </w:p>
        </w:tc>
        <w:tc>
          <w:tcPr/>
          <w:p>
            <w:pPr>
              <w:pStyle w:val="Compact"/>
            </w:pPr>
            <w:r>
              <w:rPr>
                <w:color w:val="000000"/>
              </w:rPr>
              <w:t xml:space="preserve">Nhân viên lặp lại kiểm tra, ứng viên phải bổ sung và thời gian xét tuyển kéo dài.</w:t>
            </w:r>
          </w:p>
        </w:tc>
        <w:tc>
          <w:tcPr/>
          <w:p>
            <w:pPr>
              <w:pStyle w:val="Compact"/>
            </w:pPr>
            <w:r>
              <w:rPr>
                <w:color w:val="000000"/>
              </w:rPr>
              <w:t xml:space="preserve">Dùng biểu mẫu có trường bắt buộc, kiểm tra định dạng/tệp đính kèm trước khi cho nộp; hiển thị checklist riêng theo chương trình.</w:t>
            </w:r>
          </w:p>
        </w:tc>
      </w:tr>
      <w:tr>
        <w:tc>
          <w:tcPr/>
          <w:p>
            <w:pPr>
              <w:pStyle w:val="Compact"/>
            </w:pPr>
            <w:r>
              <w:rPr>
                <w:color w:val="000000"/>
              </w:rPr>
              <w:t xml:space="preserve">Unnecessary transportation / move - cần xác minh</w:t>
            </w:r>
          </w:p>
        </w:tc>
        <w:tc>
          <w:tcPr/>
          <w:p>
            <w:pPr>
              <w:pStyle w:val="Compact"/>
            </w:pPr>
            <w:r>
              <w:rPr>
                <w:color w:val="000000"/>
              </w:rPr>
              <w:t xml:space="preserve">10% hồ sơ bị loại vì bản cứng đến muộn. Nếu bản cứng chỉ lặp lại thông tin đã được xác thực ở hồ sơ điện tử, kênh giấy tạo thêm luồng chuyển phát, tiếp nhận và đối chiếu.</w:t>
            </w:r>
          </w:p>
        </w:tc>
        <w:tc>
          <w:tcPr/>
          <w:p>
            <w:pPr>
              <w:pStyle w:val="Compact"/>
              <w:jc w:val="right"/>
            </w:pPr>
            <w:r>
              <w:rPr>
                <w:color w:val="000000"/>
              </w:rPr>
              <w:t xml:space="preserve">300 hồ sơ bị ảnh hưởng.</w:t>
            </w:r>
          </w:p>
        </w:tc>
        <w:tc>
          <w:tcPr/>
          <w:p>
            <w:pPr>
              <w:pStyle w:val="Compact"/>
            </w:pPr>
            <w:r>
              <w:rPr>
                <w:color w:val="000000"/>
              </w:rPr>
              <w:t xml:space="preserve">Phát sinh chi phí gửi nhận, theo dõi thư và rủi ro thời hạn không liên quan đến chất lượng học thuật.</w:t>
            </w:r>
          </w:p>
        </w:tc>
        <w:tc>
          <w:tcPr/>
          <w:p>
            <w:pPr>
              <w:pStyle w:val="Compact"/>
            </w:pPr>
            <w:r>
              <w:rPr>
                <w:color w:val="000000"/>
              </w:rPr>
              <w:t xml:space="preserve">Xác minh yêu cầu pháp lý/xác thực trước; nếu cho phép, chấp nhận bản điện tử có xác thực hoặc chỉ yêu cầu bản gốc khi nhập học.</w:t>
            </w:r>
          </w:p>
        </w:tc>
      </w:tr>
      <w:tr>
        <w:tc>
          <w:tcPr/>
          <w:p>
            <w:pPr>
              <w:pStyle w:val="Compact"/>
            </w:pPr>
            <w:r>
              <w:rPr>
                <w:color w:val="000000"/>
              </w:rPr>
              <w:t xml:space="preserve">Waiting</w:t>
            </w:r>
          </w:p>
        </w:tc>
        <w:tc>
          <w:tcPr/>
          <w:p>
            <w:pPr>
              <w:pStyle w:val="Compact"/>
            </w:pPr>
            <w:r>
              <w:rPr>
                <w:color w:val="000000"/>
              </w:rPr>
              <w:t xml:space="preserve">Ứng viên có tối đa hai tuần để nhận hoặc từ chối thư mời. Khi từ chối, chỗ học mới được cấp cho người kế tiếp; danh sách chờ phải đợi từng vòng.</w:t>
            </w:r>
          </w:p>
        </w:tc>
        <w:tc>
          <w:tcPr/>
          <w:p>
            <w:pPr>
              <w:pStyle w:val="Compact"/>
              <w:jc w:val="right"/>
            </w:pPr>
            <w:r>
              <w:rPr>
                <w:color w:val="000000"/>
              </w:rPr>
              <w:t xml:space="preserve">Tối đa 14 ngày cho mỗi vòng phản hồi; 20% ứng viên được mời từ chối, tương đương 600 trường hợp theo dữ kiện đề bài.</w:t>
            </w:r>
          </w:p>
        </w:tc>
        <w:tc>
          <w:tcPr/>
          <w:p>
            <w:pPr>
              <w:pStyle w:val="Compact"/>
            </w:pPr>
            <w:r>
              <w:rPr>
                <w:color w:val="000000"/>
              </w:rPr>
              <w:t xml:space="preserve">Chỗ học bị giữ, người đủ điều kiện chờ kết quả và văn phòng phải phát hành thư mời theo nhiều vòng.</w:t>
            </w:r>
          </w:p>
        </w:tc>
        <w:tc>
          <w:tcPr/>
          <w:p>
            <w:pPr>
              <w:pStyle w:val="Compact"/>
            </w:pPr>
            <w:r>
              <w:rPr>
                <w:color w:val="000000"/>
              </w:rPr>
              <w:t xml:space="preserve">Tự động cấp chỗ theo thứ hạng ngay khi có từ chối, nhắc hạn tự động và cho phép ứng viên cập nhật sớm ý định nhận học.</w:t>
            </w:r>
          </w:p>
        </w:tc>
      </w:tr>
      <w:tr>
        <w:tc>
          <w:tcPr/>
          <w:p>
            <w:pPr>
              <w:pStyle w:val="Compact"/>
            </w:pPr>
            <w:r>
              <w:rPr>
                <w:color w:val="000000"/>
              </w:rPr>
              <w:t xml:space="preserve">Inventory / hold</w:t>
            </w:r>
          </w:p>
        </w:tc>
        <w:tc>
          <w:tcPr/>
          <w:p>
            <w:pPr>
              <w:pStyle w:val="Compact"/>
            </w:pPr>
            <w:r>
              <w:rPr>
                <w:color w:val="000000"/>
              </w:rPr>
              <w:t xml:space="preserve">20% ứng viên được xác định là đủ điều kiện nhưng chưa nhận thư mời do hết chỗ.</w:t>
            </w:r>
          </w:p>
        </w:tc>
        <w:tc>
          <w:tcPr/>
          <w:p>
            <w:pPr>
              <w:pStyle w:val="Compact"/>
              <w:jc w:val="right"/>
            </w:pPr>
            <w:r>
              <w:rPr>
                <w:color w:val="000000"/>
              </w:rPr>
              <w:t xml:space="preserve">600 hồ sơ trong danh sách chờ.</w:t>
            </w:r>
          </w:p>
        </w:tc>
        <w:tc>
          <w:tcPr/>
          <w:p>
            <w:pPr>
              <w:pStyle w:val="Compact"/>
            </w:pPr>
            <w:r>
              <w:rPr>
                <w:color w:val="000000"/>
              </w:rPr>
              <w:t xml:space="preserve">Hồ sơ đủ điều kiện nằm chờ, cần theo dõi thứ hạng và liên lạc lại khi có chỗ trống.</w:t>
            </w:r>
          </w:p>
        </w:tc>
        <w:tc>
          <w:tcPr/>
          <w:p>
            <w:pPr>
              <w:pStyle w:val="Compact"/>
            </w:pPr>
            <w:r>
              <w:rPr>
                <w:color w:val="000000"/>
              </w:rPr>
              <w:t xml:space="preserve">Duy trì danh sách chờ tập trung theo từng chương trình, tự động cấp chỗ theo thứ hạng và công bố vị trí chờ cho ứng viên.</w:t>
            </w:r>
          </w:p>
        </w:tc>
      </w:tr>
      <w:tr>
        <w:tc>
          <w:tcPr/>
          <w:p>
            <w:pPr>
              <w:pStyle w:val="Compact"/>
            </w:pPr>
            <w:r>
              <w:rPr>
                <w:color w:val="000000"/>
              </w:rPr>
              <w:t xml:space="preserve">Over-processing - cần đo thêm</w:t>
            </w:r>
          </w:p>
        </w:tc>
        <w:tc>
          <w:tcPr/>
          <w:p>
            <w:pPr>
              <w:pStyle w:val="Compact"/>
            </w:pPr>
            <w:r>
              <w:rPr>
                <w:color w:val="000000"/>
              </w:rPr>
              <w:t xml:space="preserve">Văn phòng tuyển sinh xử lý khoảng 10.000 email về biểu mẫu, giấy tờ, điều kiện, trạng thái hồ sơ và các vấn đề tương tự.</w:t>
            </w:r>
          </w:p>
        </w:tc>
        <w:tc>
          <w:tcPr/>
          <w:p>
            <w:pPr>
              <w:pStyle w:val="Compact"/>
              <w:jc w:val="right"/>
            </w:pPr>
            <w:r>
              <w:rPr>
                <w:color w:val="000000"/>
              </w:rPr>
              <w:t xml:space="preserve">Khoảng 3,33 email cho mỗi hồ sơ.</w:t>
            </w:r>
          </w:p>
        </w:tc>
        <w:tc>
          <w:tcPr/>
          <w:p>
            <w:pPr>
              <w:pStyle w:val="Compact"/>
            </w:pPr>
            <w:r>
              <w:rPr>
                <w:color w:val="000000"/>
              </w:rPr>
              <w:t xml:space="preserve">Khối lượng email là tín hiệu cần phân tích nội dung để xác định tỷ lệ câu hỏi lặp lại hoặc có thể tự phục vụ; chưa thể coi toàn bộ email là NVA.</w:t>
            </w:r>
          </w:p>
        </w:tc>
        <w:tc>
          <w:tcPr/>
          <w:p>
            <w:pPr>
              <w:pStyle w:val="Compact"/>
            </w:pPr>
            <w:r>
              <w:rPr>
                <w:color w:val="000000"/>
              </w:rPr>
              <w:t xml:space="preserve">Phân loại email theo chủ đề và mức độ lặp lại; sau đó tạo FAQ theo từng bước, trang theo dõi trạng thái và checklist cho nhóm câu hỏi có thể tự phục vụ.</w:t>
            </w:r>
          </w:p>
        </w:tc>
      </w:tr>
    </w:tbl>
    <w:p>
      <w:pPr>
        <w:pStyle w:val="BodyText"/>
      </w:pPr>
      <w:r>
        <w:rPr>
          <w:color w:val="000000"/>
        </w:rPr>
        <w:t xml:space="preserve">Con số 300 hồ sơ lỗi cuối cùng được tính từ 20% x 3.000 x 50%. Các tỷ lệ loại hồ sơ khác được đề bài liệt kê theo từng lý do, nhưng không có thông tin cho biết các nhóm có chồng lấp hay không. Vì vậy, nhóm không cộng các tỷ lệ đó để suy ra một tổng số hồ sơ bị loại.</w:t>
      </w:r>
    </w:p>
    <w:bookmarkEnd w:id="9"/>
    <w:bookmarkStart w:id="10" w:name="các-điểm-cần-diễn-giải-thận-trọng"/>
    <w:p>
      <w:pPr>
        <w:pStyle w:val="Heading2"/>
      </w:pPr>
      <w:r>
        <w:rPr>
          <w:color w:val="000000"/>
        </w:rPr>
        <w:t xml:space="preserve">Các điểm cần diễn giải thận trọng</w:t>
      </w:r>
    </w:p>
    <w:p>
      <w:pPr>
        <w:pStyle w:val="FirstParagraph"/>
      </w:pPr>
      <w:r>
        <w:rPr>
          <w:color w:val="000000"/>
        </w:rPr>
        <w:t xml:space="preserve">Các kiểm tra về công nhận văn bằng, chứng chỉ tiếng Anh, đạo văn, chất lượng thư động lực và GPA có thể dẫn đến từ chối, nhưng bản thân chúng không phải lãng phí. Chúng là BVA vì bảo đảm điều kiện đầu vào, tính công bằng và uy tín của chương trình. Chỉ khi dữ liệu cho thấy các kiểm tra này bị lặp lại, thực hiện muộn hoặc thực hiện cho hồ sơ lẽ ra bị sàng lọc từ đầu thì mới có cơ sở xem một phần công việc là defect hay over-processing.</w:t>
      </w:r>
    </w:p>
    <w:p>
      <w:pPr>
        <w:pStyle w:val="BodyText"/>
      </w:pPr>
      <w:r>
        <w:rPr>
          <w:color w:val="000000"/>
        </w:rPr>
        <w:t xml:space="preserve">Tương tự, việc cấp lại chỗ học và học bổng sau khi ứng viên từ chối là hoạt động cần thiết để sử dụng đủ chỉ tiêu. Tuy nhiên, 60% số người từ chối nói rằng họ kỳ vọng học bổng nhưng điểm chưa đủ, tương đương 360 trường hợp theo tỷ lệ của đề bài. Đây là tín hiệu cần kiểm tra tính minh bạch của tiêu chí học bổng và cách truyền thông trước khi nộp hồ sơ, chứ chưa đủ để kết luận mọi thư mời không học bổng là over-production.</w:t>
      </w:r>
    </w:p>
    <w:p>
      <w:pPr>
        <w:pStyle w:val="BodyText"/>
      </w:pPr>
      <w:r>
        <w:rPr>
          <w:color w:val="000000"/>
        </w:rPr>
        <w:t xml:space="preserve">Không có dữ kiện về chuyển động nội bộ của nhân viên nên chưa thể xác định lãng phí motion. Cũng không nên gán over-production cho mọi thư mời bị từ chối, vì từng thư mời có thể cần thiết để lấp đầy 300 chỗ học.</w:t>
      </w:r>
    </w:p>
    <w:bookmarkEnd w:id="10"/>
    <w:bookmarkStart w:id="11" w:name="thứ-tự-ưu-tiên-xử-lý"/>
    <w:p>
      <w:pPr>
        <w:pStyle w:val="Heading2"/>
      </w:pPr>
      <w:r>
        <w:rPr>
          <w:color w:val="000000"/>
        </w:rPr>
        <w:t xml:space="preserve">Thứ tự ưu tiên xử lý</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36"/>
        <w:gridCol w:w="1827"/>
        <w:gridCol w:w="1827"/>
        <w:gridCol w:w="1827"/>
      </w:tblGrid>
      <w:tr>
        <w:trPr>
          <w:tblHeader w:val="on"/>
        </w:trPr>
        <w:tc>
          <w:tcPr/>
          <w:p>
            <w:pPr>
              <w:pStyle w:val="Compact"/>
              <w:jc w:val="right"/>
            </w:pPr>
            <w:r>
              <w:rPr>
                <w:color w:val="000000"/>
              </w:rPr>
              <w:t xml:space="preserve">Ưu tiên</w:t>
            </w:r>
          </w:p>
        </w:tc>
        <w:tc>
          <w:tcPr/>
          <w:p>
            <w:pPr>
              <w:pStyle w:val="Compact"/>
            </w:pPr>
            <w:r>
              <w:rPr>
                <w:color w:val="000000"/>
              </w:rPr>
              <w:t xml:space="preserve">Vấn đề</w:t>
            </w:r>
          </w:p>
        </w:tc>
        <w:tc>
          <w:tcPr/>
          <w:p>
            <w:pPr>
              <w:pStyle w:val="Compact"/>
            </w:pPr>
            <w:r>
              <w:rPr>
                <w:color w:val="000000"/>
              </w:rPr>
              <w:t xml:space="preserve">Cơ sở ưu tiên</w:t>
            </w:r>
          </w:p>
        </w:tc>
        <w:tc>
          <w:tcPr/>
          <w:p>
            <w:pPr>
              <w:pStyle w:val="Compact"/>
            </w:pPr>
            <w:r>
              <w:rPr>
                <w:color w:val="000000"/>
              </w:rPr>
              <w:t xml:space="preserve">Hành động đề xuất</w:t>
            </w:r>
          </w:p>
        </w:tc>
      </w:tr>
      <w:tr>
        <w:tc>
          <w:tcPr/>
          <w:p>
            <w:pPr>
              <w:pStyle w:val="Compact"/>
              <w:jc w:val="right"/>
            </w:pPr>
            <w:r>
              <w:rPr>
                <w:color w:val="000000"/>
              </w:rPr>
              <w:t xml:space="preserve">1</w:t>
            </w:r>
          </w:p>
        </w:tc>
        <w:tc>
          <w:tcPr/>
          <w:p>
            <w:pPr>
              <w:pStyle w:val="Compact"/>
            </w:pPr>
            <w:r>
              <w:rPr>
                <w:color w:val="000000"/>
              </w:rPr>
              <w:t xml:space="preserve">Hồ sơ thiếu và phải làm lại</w:t>
            </w:r>
          </w:p>
        </w:tc>
        <w:tc>
          <w:tcPr/>
          <w:p>
            <w:pPr>
              <w:pStyle w:val="Compact"/>
            </w:pPr>
            <w:r>
              <w:rPr>
                <w:color w:val="000000"/>
              </w:rPr>
              <w:t xml:space="preserve">600 lỗi ban đầu mỗi năm, trong đó 300 lần phải nộp lại. Đây là nguyên nhân trực tiếp của rework và email hỏi về giấy tờ.</w:t>
            </w:r>
          </w:p>
        </w:tc>
        <w:tc>
          <w:tcPr/>
          <w:p>
            <w:pPr>
              <w:pStyle w:val="Compact"/>
            </w:pPr>
            <w:r>
              <w:rPr>
                <w:color w:val="000000"/>
              </w:rPr>
              <w:t xml:space="preserve">Kiểm tra hợp lệ ngay trên cổng nộp hồ sơ và hướng dẫn tài liệu theo checklist.</w:t>
            </w:r>
          </w:p>
        </w:tc>
      </w:tr>
      <w:tr>
        <w:tc>
          <w:tcPr/>
          <w:p>
            <w:pPr>
              <w:pStyle w:val="Compact"/>
              <w:jc w:val="right"/>
            </w:pPr>
            <w:r>
              <w:rPr>
                <w:color w:val="000000"/>
              </w:rPr>
              <w:t xml:space="preserve">2</w:t>
            </w:r>
          </w:p>
        </w:tc>
        <w:tc>
          <w:tcPr/>
          <w:p>
            <w:pPr>
              <w:pStyle w:val="Compact"/>
            </w:pPr>
            <w:r>
              <w:rPr>
                <w:color w:val="000000"/>
              </w:rPr>
              <w:t xml:space="preserve">Lượng email lớn</w:t>
            </w:r>
          </w:p>
        </w:tc>
        <w:tc>
          <w:tcPr/>
          <w:p>
            <w:pPr>
              <w:pStyle w:val="Compact"/>
            </w:pPr>
            <w:r>
              <w:rPr>
                <w:color w:val="000000"/>
              </w:rPr>
              <w:t xml:space="preserve">10.000 email là tải công việc lớn và là tín hiệu cần xác định các điểm chưa rõ ở quy trình đầu vào.</w:t>
            </w:r>
          </w:p>
        </w:tc>
        <w:tc>
          <w:tcPr/>
          <w:p>
            <w:pPr>
              <w:pStyle w:val="Compact"/>
            </w:pPr>
            <w:r>
              <w:rPr>
                <w:color w:val="000000"/>
              </w:rPr>
              <w:t xml:space="preserve">Phân loại email trước, rồi thiết kế FAQ có tìm kiếm, chatbot giới hạn ở câu hỏi thủ tục và dashboard trạng thái hồ sơ.</w:t>
            </w:r>
          </w:p>
        </w:tc>
      </w:tr>
      <w:tr>
        <w:tc>
          <w:tcPr/>
          <w:p>
            <w:pPr>
              <w:pStyle w:val="Compact"/>
              <w:jc w:val="right"/>
            </w:pPr>
            <w:r>
              <w:rPr>
                <w:color w:val="000000"/>
              </w:rPr>
              <w:t xml:space="preserve">3</w:t>
            </w:r>
          </w:p>
        </w:tc>
        <w:tc>
          <w:tcPr/>
          <w:p>
            <w:pPr>
              <w:pStyle w:val="Compact"/>
            </w:pPr>
            <w:r>
              <w:rPr>
                <w:color w:val="000000"/>
              </w:rPr>
              <w:t xml:space="preserve">Chờ phản hồi thư mời và danh sách chờ</w:t>
            </w:r>
          </w:p>
        </w:tc>
        <w:tc>
          <w:tcPr/>
          <w:p>
            <w:pPr>
              <w:pStyle w:val="Compact"/>
            </w:pPr>
            <w:r>
              <w:rPr>
                <w:color w:val="000000"/>
              </w:rPr>
              <w:t xml:space="preserve">Có đến 600 trường hợp từ chối và 600 hồ sơ đủ điều kiện đang chờ.</w:t>
            </w:r>
          </w:p>
        </w:tc>
        <w:tc>
          <w:tcPr/>
          <w:p>
            <w:pPr>
              <w:pStyle w:val="Compact"/>
            </w:pPr>
            <w:r>
              <w:rPr>
                <w:color w:val="000000"/>
              </w:rPr>
              <w:t xml:space="preserve">Tự động hóa danh sách chờ, nhắc hạn và đo thời gian từ lúc có chỗ trống đến lúc thư mời kế tiếp được gửi.</w:t>
            </w:r>
          </w:p>
        </w:tc>
      </w:tr>
      <w:tr>
        <w:tc>
          <w:tcPr/>
          <w:p>
            <w:pPr>
              <w:pStyle w:val="Compact"/>
              <w:jc w:val="right"/>
            </w:pPr>
            <w:r>
              <w:rPr>
                <w:color w:val="000000"/>
              </w:rPr>
              <w:t xml:space="preserve">4</w:t>
            </w:r>
          </w:p>
        </w:tc>
        <w:tc>
          <w:tcPr/>
          <w:p>
            <w:pPr>
              <w:pStyle w:val="Compact"/>
            </w:pPr>
            <w:r>
              <w:rPr>
                <w:color w:val="000000"/>
              </w:rPr>
              <w:t xml:space="preserve">Bản cứng đến muộn</w:t>
            </w:r>
          </w:p>
        </w:tc>
        <w:tc>
          <w:tcPr/>
          <w:p>
            <w:pPr>
              <w:pStyle w:val="Compact"/>
            </w:pPr>
            <w:r>
              <w:rPr>
                <w:color w:val="000000"/>
              </w:rPr>
              <w:t xml:space="preserve">300 hồ sơ bị loại do một kênh nộp bổ sung; cần xác minh kênh này có bắt buộc cho xác thực hay không.</w:t>
            </w:r>
          </w:p>
        </w:tc>
        <w:tc>
          <w:tcPr/>
          <w:p>
            <w:pPr>
              <w:pStyle w:val="Compact"/>
            </w:pPr>
            <w:r>
              <w:rPr>
                <w:color w:val="000000"/>
              </w:rPr>
              <w:t xml:space="preserve">Nếu quy định cho phép, chuyển sang xác thực số hoặc dời bước kiểm tra bản cứng đến sau khi có thư mời.</w:t>
            </w:r>
          </w:p>
        </w:tc>
      </w:tr>
    </w:tbl>
    <w:p>
      <w:pPr>
        <w:pStyle w:val="BodyText"/>
      </w:pPr>
      <w:r>
        <w:rPr>
          <w:color w:val="000000"/>
        </w:rPr>
        <w:t xml:space="preserve">Các cải tiến này nên được đo bằng tỷ lệ hồ sơ hoàn chỉnh ngay lần nộp đầu, số email trên mỗi hồ sơ, thời gian chờ giữa hai vòng cấp chỗ và tỷ lệ hồ sơ bị loại vì bản cứng. Khi các chỉ số giảm, văn phòng có thêm thời gian cho các kiểm tra BVA thay vì xử lý lỗi và chờ đợi.</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b w:val="0"/>
      <w:i w:val="0"/>
      <w:color w:val="000000"/>
      <w:sz w:val="26"/>
    </w:rPr>
  </w:style>
  <w:style w:styleId="BodyText" w:type="paragraph">
    <w:name w:val="Body Text"/>
    <w:basedOn w:val="Normal"/>
    <w:link w:val="BodyTextChar"/>
    <w:qFormat/>
    <w:pPr>
      <w:spacing w:after="180" w:before="180"/>
    </w:pPr>
    <w:rPr>
      <w:rFonts w:ascii="Times New Roman" w:cs="Times New Roman" w:eastAsia="Times New Roman" w:hAnsi="Times New Roman"/>
      <w:b w:val="0"/>
      <w:i w:val="0"/>
      <w:color w:val="000000"/>
      <w:sz w:val="26"/>
    </w:rPr>
  </w:style>
  <w:style w:customStyle="1" w:styleId="FirstParagraph" w:type="paragraph">
    <w:name w:val="First Paragraph"/>
    <w:basedOn w:val="BodyText"/>
    <w:next w:val="BodyText"/>
    <w:qFormat/>
    <w:rPr>
      <w:rFonts w:ascii="Times New Roman" w:cs="Times New Roman" w:eastAsia="Times New Roman" w:hAnsi="Times New Roman"/>
      <w:b w:val="0"/>
      <w:i w:val="0"/>
      <w:color w:val="000000"/>
      <w:sz w:val="26"/>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2026-08-04T02:14:45Z</dcterms:created>
  <dcterms:modified xsi:type="dcterms:W3CDTF">2026-08-04T02:14:45Z</dcterms:modified>
</cp:coreProperties>
</file>

<file path=docProps/custom.xml><?xml version="1.0" encoding="utf-8"?>
<Properties xmlns="http://schemas.openxmlformats.org/officeDocument/2006/custom-properties" xmlns:vt="http://schemas.openxmlformats.org/officeDocument/2006/docPropsVTypes"/>
</file>