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NLP-Augmented Multimodal Attention Fusion for Immunotherapy Response Prediction in Non-Small Cell Lung Cancer</w:t>
      </w:r>
    </w:p>
    <w:p>
      <w:pPr>
        <w:spacing w:after="80"/>
        <w:jc w:val="center"/>
      </w:pPr>
      <w:r>
        <w:t>Vũ Huy Hoàng</w:t>
      </w:r>
      <w:r>
        <w:rPr>
          <w:vertAlign w:val="superscript"/>
        </w:rPr>
        <w:t>1,*</w:t>
      </w:r>
    </w:p>
    <w:p>
      <w:pPr>
        <w:spacing w:after="40"/>
        <w:jc w:val="center"/>
      </w:pPr>
      <w:r>
        <w:rPr>
          <w:sz w:val="19"/>
          <w:vertAlign w:val="superscript"/>
        </w:rPr>
        <w:t>1</w:t>
      </w:r>
      <w:r>
        <w:rPr>
          <w:sz w:val="19"/>
        </w:rPr>
        <w:t>Master's student (Student ID 20242052M), School of Information and Communication Technology, Hanoi University of Science and Technology, Hanoi, Vietnam</w:t>
      </w:r>
    </w:p>
    <w:p>
      <w:pPr>
        <w:spacing w:after="320"/>
        <w:jc w:val="center"/>
      </w:pPr>
      <w:r>
        <w:rPr>
          <w:b/>
          <w:sz w:val="19"/>
        </w:rPr>
        <w:t>Correspondence:</w:t>
      </w:r>
      <w:r>
        <w:rPr>
          <w:sz w:val="19"/>
        </w:rPr>
        <w:t xml:space="preserve"> Hoang.VH242052M@sis.hust.edu.vn; Tel.: +84-327-633-274</w:t>
      </w:r>
    </w:p>
    <w:p>
      <w:pPr>
        <w:pStyle w:val="Heading2"/>
      </w:pPr>
      <w:r>
        <w:t>Abstract</w:t>
      </w:r>
    </w:p>
    <w:p>
      <w:r>
        <w:t>Predicting response to immune checkpoint inhibitors (ICIs) in non-small cell lung cancer (NSCLC) remains challenging, as established biomarkers such as PD-L1 expression provide only modest discrimination. We extended the Dynamic Attention Multimodal (DyAM) fusion framework, which combines CT radiomics, pathology, genomics, PD-L1, and clinical data via learned per-modality attention, with two contributions: a competitive one-vs-others (OvO) attention mechanism with a smaller parameter count, and a natural language processing (NLP) encoding of 13 numeric clinical variables using a pretrained sentence transformer. In a 247-patient discovery cohort, 10-fold cross-validation across 21 modality combinations gave three main results. First, fusing sources gave the highest AUCs: four fused sources reached 0.798, +0.090 above PD-L1 TPS (0.708) alone, and the best model reached 0.824 (95% CI 0.765–0.883). Second, replacing numeric clinical labs by the NLP encoding raised the AUC in all six comparisons made (+0.018 to +0.033) with both attention mechanisms. Third, OvO attention with the NLP encoding gave the highest AUC at the primary benchmark (0.824, against 0.803 for cooperative attention with NLP and 0.783 for the original framework without clinical variables, +0.041) with about a quarter of the trainable parameters. For progression-free survival, the association of the risk score grew with the number of fused sources (C-index 0.56–0.59 for single sources, up to 0.66 with six or seven), and OvO with the NLP encoding gave the highest hazard ratio (6.64 versus 4.63 for cooperative attention), log-rank χ² (23.9 versus 17.6) and 12-month time-dependent AUC (0.733 versus 0.698) in the labs-replaced configuration of BM2.</w:t>
      </w:r>
    </w:p>
    <w:p>
      <w:pPr>
        <w:spacing w:after="320"/>
      </w:pPr>
      <w:r>
        <w:rPr>
          <w:b/>
        </w:rPr>
        <w:t>Keywords:</w:t>
      </w:r>
      <w:r>
        <w:t xml:space="preserve"> non-small cell lung cancer; immunotherapy response prediction; multimodal deep learning; attention mechanism; natural language processing; sentence embedding; survival analysis; radiomics</w:t>
      </w:r>
    </w:p>
    <w:p>
      <w:pPr>
        <w:pStyle w:val="Heading1"/>
      </w:pPr>
      <w:r>
        <w:t>1. Introduction</w:t>
      </w:r>
    </w:p>
    <w:p>
      <w:r>
        <w:t xml:space="preserve">Lung cancer remains the leading cause of cancer-related mortality worldwide, with non-small cell lung cancer (NSCLC) accounting for approximately 85% of cases </w:t>
      </w:r>
      <w:r>
        <w:t>[</w:t>
      </w:r>
      <w:hyperlink w:anchor="ref_1" w:history="1">
        <w:r>
          <w:rPr>
            <w:color w:val="0563C1"/>
          </w:rPr>
          <w:t>1</w:t>
        </w:r>
      </w:hyperlink>
      <w:r>
        <w:t>]</w:t>
      </w:r>
      <w:r>
        <w:t xml:space="preserve">. The introduction of immune checkpoint inhibitors (ICIs) targeting the PD-1/PD-L1 axis has transformed treatment for advanced NSCLC, producing durable responses in a subset of patients </w:t>
      </w:r>
      <w:r>
        <w:t>[</w:t>
      </w:r>
      <w:hyperlink w:anchor="ref_2" w:history="1">
        <w:r>
          <w:rPr>
            <w:color w:val="0563C1"/>
          </w:rPr>
          <w:t>2</w:t>
        </w:r>
      </w:hyperlink>
      <w:r>
        <w:t>,</w:t>
      </w:r>
      <w:hyperlink w:anchor="ref_3" w:history="1">
        <w:r>
          <w:rPr>
            <w:color w:val="0563C1"/>
          </w:rPr>
          <w:t>3</w:t>
        </w:r>
      </w:hyperlink>
      <w:r>
        <w:t>]</w:t>
      </w:r>
      <w:r>
        <w:t xml:space="preserve">. However, only 20–30% of unselected patients achieve an objective response, and a substantial proportion experience primary or acquired resistance </w:t>
      </w:r>
      <w:r>
        <w:t>[</w:t>
      </w:r>
      <w:hyperlink w:anchor="ref_3" w:history="1">
        <w:r>
          <w:rPr>
            <w:color w:val="0563C1"/>
          </w:rPr>
          <w:t>3</w:t>
        </w:r>
      </w:hyperlink>
      <w:r>
        <w:t>,</w:t>
      </w:r>
      <w:hyperlink w:anchor="ref_4" w:history="1">
        <w:r>
          <w:rPr>
            <w:color w:val="0563C1"/>
          </w:rPr>
          <w:t>4</w:t>
        </w:r>
      </w:hyperlink>
      <w:r>
        <w:t>]</w:t>
      </w:r>
      <w:r>
        <w:t>. Reliable pre-treatment identification of likely responders remains an unresolved clinical need, as it would allow clinicians to prioritise ICI therapy for patients most likely to benefit and to consider alternative or combination strategies for those unlikely to respond.</w:t>
      </w:r>
    </w:p>
    <w:p>
      <w:r>
        <w:t xml:space="preserve">PD-L1 tumour proportion score (TPS) and tumour mutational burden (TMB) are the most widely used biomarkers for ICI response prediction, but both have well-documented limitations: PD-L1 expression is spatially heterogeneous and assay-dependent, while TMB alone provides only modest discriminative performance </w:t>
      </w:r>
      <w:r>
        <w:t>[</w:t>
      </w:r>
      <w:hyperlink w:anchor="ref_5" w:history="1">
        <w:r>
          <w:rPr>
            <w:color w:val="0563C1"/>
          </w:rPr>
          <w:t>5</w:t>
        </w:r>
      </w:hyperlink>
      <w:r>
        <w:t>–</w:t>
      </w:r>
      <w:hyperlink w:anchor="ref_8" w:history="1">
        <w:r>
          <w:rPr>
            <w:color w:val="0563C1"/>
          </w:rPr>
          <w:t>8</w:t>
        </w:r>
      </w:hyperlink>
      <w:r>
        <w:t>]</w:t>
      </w:r>
      <w:r>
        <w:t xml:space="preserve">. This has motivated growing interest in multimodal approaches that integrate radiomics from CT imaging, pathomics from digitised histology, genomic alterations, and clinical variables into a single predictive model </w:t>
      </w:r>
      <w:r>
        <w:t>[</w:t>
      </w:r>
      <w:hyperlink w:anchor="ref_9" w:history="1">
        <w:r>
          <w:rPr>
            <w:color w:val="0563C1"/>
          </w:rPr>
          <w:t>9</w:t>
        </w:r>
      </w:hyperlink>
      <w:r>
        <w:t>–</w:t>
      </w:r>
      <w:hyperlink w:anchor="ref_13" w:history="1">
        <w:r>
          <w:rPr>
            <w:color w:val="0563C1"/>
          </w:rPr>
          <w:t>13</w:t>
        </w:r>
      </w:hyperlink>
      <w:r>
        <w:t>]</w:t>
      </w:r>
      <w:r>
        <w:t xml:space="preserve">. Such approaches are appealing because they can capture complementary aspects of tumour biology and host physiology that no single modality fully represents; however, they introduce new methodological challenges, including how to weight modalities of differing reliability and how to handle missing modalities without discarding patients </w:t>
      </w:r>
      <w:r>
        <w:t>[</w:t>
      </w:r>
      <w:hyperlink w:anchor="ref_14" w:history="1">
        <w:r>
          <w:rPr>
            <w:color w:val="0563C1"/>
          </w:rPr>
          <w:t>14</w:t>
        </w:r>
      </w:hyperlink>
      <w:r>
        <w:t>]</w:t>
      </w:r>
      <w:r>
        <w:t xml:space="preserve">. The Dynamic Attention Multimodal (DyAM) framework </w:t>
      </w:r>
      <w:r>
        <w:t>[</w:t>
      </w:r>
      <w:hyperlink w:anchor="ref_15" w:history="1">
        <w:r>
          <w:rPr>
            <w:color w:val="0563C1"/>
          </w:rPr>
          <w:t>15</w:t>
        </w:r>
      </w:hyperlink>
      <w:r>
        <w:t>]</w:t>
      </w:r>
      <w:r>
        <w:t xml:space="preserve"> addresses these challenges through a learned, per-patient attention mechanism that adaptively weights each available modality and naturally accommodates missing data via masking, but its original formulation used only a cooperative (softmax/L1-normalised) attention mechanism and represented clinical variables as raw numeric features.</w:t>
      </w:r>
    </w:p>
    <w:p>
      <w:r>
        <w:t xml:space="preserve">A largely unexplored question in this setting is how structured clinical variables — demographics, laboratory values, performance status — should be represented for fusion with imaging- and molecular-derived features. The conventional approach treats each clinical variable as an independent numeric input, requiring the model to learn inter-variable relationships (e.g., the joint prognostic implication of advanced age, low albumin, and poor performance status) from a relatively small training set. Recent advances in natural language processing (NLP) have shown that pretrained sentence encoders can represent complex, multi-attribute entities as dense embeddings that preserve semantic similarity </w:t>
      </w:r>
      <w:r>
        <w:t>[</w:t>
      </w:r>
      <w:hyperlink w:anchor="ref_16" w:history="1">
        <w:r>
          <w:rPr>
            <w:color w:val="0563C1"/>
          </w:rPr>
          <w:t>16</w:t>
        </w:r>
      </w:hyperlink>
      <w:r>
        <w:t>,</w:t>
      </w:r>
      <w:hyperlink w:anchor="ref_17" w:history="1">
        <w:r>
          <w:rPr>
            <w:color w:val="0563C1"/>
          </w:rPr>
          <w:t>17</w:t>
        </w:r>
      </w:hyperlink>
      <w:r>
        <w:t>]</w:t>
      </w:r>
      <w:r>
        <w:t xml:space="preserve">, and domain-specific clinical language models have been developed for free-text clinical notes </w:t>
      </w:r>
      <w:r>
        <w:t>[</w:t>
      </w:r>
      <w:hyperlink w:anchor="ref_18" w:history="1">
        <w:r>
          <w:rPr>
            <w:color w:val="0563C1"/>
          </w:rPr>
          <w:t>18</w:t>
        </w:r>
      </w:hyperlink>
      <w:r>
        <w:t>]</w:t>
      </w:r>
      <w:r>
        <w:t xml:space="preserve">. However, whether converting </w:t>
      </w:r>
      <w:r>
        <w:rPr>
          <w:i/>
        </w:rPr>
        <w:t>structured, tabular</w:t>
      </w:r>
      <w:r>
        <w:t xml:space="preserve"> clinical variables into natural-language sentences and encoding them with a general-purpose sentence transformer can improve multimodal fusion performance — as opposed to encoding free-text clinical narratives — has not, to our knowledge, been systematically evaluated for ICI response prediction.</w:t>
      </w:r>
    </w:p>
    <w:p>
      <w:r>
        <w:t>A second open question concerns the form of the attention mechanism used to combine modalities. Cooperative attention mechanisms, which normalise modality weights to sum to one via softmax or L1 normalisation, implicitly assume that all modalities contribute complementary, additive information. An alternative, competitive formulation — in which each modality's weight is determined relative to the others via a one-vs-others (OvO) comparison — may better capture settings where modalities are partially redundant and the most informative modality should dominate. Whether such a competitive mechanism improves performance, and under what modality configurations, remains untested in the multimodal ICI response prediction literature.</w:t>
      </w:r>
    </w:p>
    <w:p>
      <w:r>
        <w:t>In this study, we extend the DyAM framework with two contributions and evaluate them on a discovery cohort of 247 patients with advanced NSCLC treated with ICIs. First, we introduce an OvO competitive attention variant (AttentionMatrixOvO) and compare it against the original cooperative attention across 21 modality combinations using 10-fold cross-validation, without and with the clinical encoding below. Second, we convert 13 numeric clinical variables into natural-language sentences and encode them with a pretrained sentence transformer (MiniLM-L6-v2), comparing this NLP-based representation against raw numeric encoding, a domain-specific clinical language model (BioClinBERT), and a PCA-compressed variant, evaluated using both binary classification (AUC) and survival analysis (Cox regression, Harrell's C-index, and Kaplan–Meier stratification). Because 247 patients are few for hypothesis tests of differences of the size at stake, we report the direction and magnitude of differences with the number of configurations favouring each model and interval estimates, and we state where they are within the confidence intervals. Together, these contributions aim to show that (i) competitive attention can match or exceed cooperative attention in multimodal fusion with fewer parameters, and in which configurations, and (ii) that NLP-based encoding of structured clinical data is a practical, fine-tuning-free alternative to conventional numeric representations for response prediction and survival risk stratification.</w:t>
      </w:r>
    </w:p>
    <w:p>
      <w:pPr>
        <w:pStyle w:val="Heading1"/>
      </w:pPr>
      <w:r>
        <w:t>2. Materials and Methods</w:t>
      </w:r>
    </w:p>
    <w:p>
      <w:pPr>
        <w:pStyle w:val="Heading2"/>
      </w:pPr>
      <w:r>
        <w:t>2.1. Study Design and Patient Cohort</w:t>
      </w:r>
    </w:p>
    <w:p>
      <w:r>
        <w:t xml:space="preserve">This retrospective study used data from the MSK MIND (Multi-Modal Integration of Data) initiative at Memorial Sloan Kettering Cancer Center </w:t>
      </w:r>
      <w:r>
        <w:t>[</w:t>
      </w:r>
      <w:hyperlink w:anchor="ref_15" w:history="1">
        <w:r>
          <w:rPr>
            <w:color w:val="0563C1"/>
          </w:rPr>
          <w:t>15</w:t>
        </w:r>
      </w:hyperlink>
      <w:r>
        <w:t>]</w:t>
      </w:r>
      <w:r>
        <w:t xml:space="preserve">, comprising patients with advanced non-small cell lung cancer (NSCLC) treated with immune checkpoint inhibitor (ICI) therapy between 2017 and 2021. Inclusion criteria were: (i) histologically confirmed stage IIIB/IV NSCLC, (ii) first- or second-line ICI therapy (monotherapy or combination), and (iii) available baseline CT imaging. The study dataset comprised three independent cohorts: a </w:t>
      </w:r>
      <w:r>
        <w:rPr>
          <w:i/>
        </w:rPr>
        <w:t>discovery cohort</w:t>
      </w:r>
      <w:r>
        <w:t xml:space="preserve"> (n = 247) used for model development and 10-fold cross-validation; a </w:t>
      </w:r>
      <w:r>
        <w:rPr>
          <w:i/>
        </w:rPr>
        <w:t>radiomics validation cohort</w:t>
      </w:r>
      <w:r>
        <w:t xml:space="preserve"> (n = 50) and a </w:t>
      </w:r>
      <w:r>
        <w:rPr>
          <w:i/>
        </w:rPr>
        <w:t>pathology validation cohort</w:t>
      </w:r>
      <w:r>
        <w:t xml:space="preserve"> (n = 71), both held out entirely for external evaluation. Patient characteristics are summarised in Table 1.</w:t>
      </w:r>
    </w:p>
    <w:p>
      <w:pPr>
        <w:spacing w:before="200" w:after="80"/>
      </w:pPr>
      <w:r>
        <w:rPr>
          <w:b/>
          <w:sz w:val="19"/>
        </w:rPr>
        <w:t>Table 1.</w:t>
      </w:r>
      <w:r>
        <w:rPr>
          <w:sz w:val="19"/>
        </w:rPr>
        <w:t xml:space="preserve"> Patient and cohort characteristics. The discovery cohort was used for model development with 10-fold cross-validation; validation cohorts were held out entirely. Validation column reports radiomics-evaluable; pathology-evaluable cohort values, separated by a semicolon. *ICI categories are recorded as independent flags and are not mutually exclusive (patients on combination therapy are counted in more than one row). PR/CR, partial/complete response; SD/PD, stable/progressive disease; PFS, progression-free survival.</w:t>
      </w:r>
    </w:p>
    <w:tbl>
      <w:tblPr>
        <w:tblStyle w:val="TableGrid"/>
        <w:tblW w:type="auto" w:w="0"/>
        <w:jc w:val="center"/>
        <w:tblLayout w:type="autofit"/>
        <w:tblLook w:firstColumn="1" w:firstRow="1" w:lastColumn="0" w:lastRow="0" w:noHBand="0" w:noVBand="1" w:val="04A0"/>
      </w:tblPr>
      <w:tblGrid>
        <w:gridCol w:w="3135"/>
        <w:gridCol w:w="3135"/>
        <w:gridCol w:w="3135"/>
      </w:tblGrid>
      <w:tr>
        <w:tc>
          <w:tcPr>
            <w:tcW w:type="dxa" w:w="3135"/>
          </w:tcPr>
          <w:p>
            <w:pPr>
              <w:spacing w:after="40"/>
              <w:jc w:val="center"/>
            </w:pPr>
            <w:r/>
            <w:r>
              <w:rPr>
                <w:b/>
                <w:sz w:val="18"/>
              </w:rPr>
              <w:t>Characteristic</w:t>
            </w:r>
          </w:p>
        </w:tc>
        <w:tc>
          <w:tcPr>
            <w:tcW w:type="dxa" w:w="3135"/>
          </w:tcPr>
          <w:p>
            <w:pPr>
              <w:spacing w:after="40"/>
              <w:jc w:val="center"/>
            </w:pPr>
            <w:r/>
            <w:r>
              <w:rPr>
                <w:b/>
                <w:sz w:val="18"/>
              </w:rPr>
              <w:t>Discovery (n = 247)</w:t>
            </w:r>
          </w:p>
        </w:tc>
        <w:tc>
          <w:tcPr>
            <w:tcW w:type="dxa" w:w="3135"/>
          </w:tcPr>
          <w:p>
            <w:pPr>
              <w:spacing w:after="40"/>
              <w:jc w:val="center"/>
            </w:pPr>
            <w:r/>
            <w:r>
              <w:rPr>
                <w:b/>
                <w:sz w:val="18"/>
              </w:rPr>
              <w:t>Validation (rad n=50; path n=71)</w:t>
            </w:r>
          </w:p>
        </w:tc>
      </w:tr>
      <w:tr>
        <w:tc>
          <w:tcPr>
            <w:tcW w:type="dxa" w:w="3135"/>
          </w:tcPr>
          <w:p>
            <w:pPr>
              <w:spacing w:after="40"/>
              <w:jc w:val="left"/>
            </w:pPr>
            <w:r/>
            <w:r>
              <w:rPr>
                <w:sz w:val="18"/>
              </w:rPr>
              <w:t>Age, years, mean (range)</w:t>
            </w:r>
          </w:p>
        </w:tc>
        <w:tc>
          <w:tcPr>
            <w:tcW w:type="dxa" w:w="3135"/>
          </w:tcPr>
          <w:p>
            <w:pPr>
              <w:spacing w:after="40"/>
              <w:jc w:val="center"/>
            </w:pPr>
            <w:r/>
            <w:r>
              <w:rPr>
                <w:sz w:val="18"/>
              </w:rPr>
              <w:t>66.9 (38–93)</w:t>
            </w:r>
          </w:p>
        </w:tc>
        <w:tc>
          <w:tcPr>
            <w:tcW w:type="dxa" w:w="3135"/>
          </w:tcPr>
          <w:p>
            <w:pPr>
              <w:spacing w:after="40"/>
              <w:jc w:val="center"/>
            </w:pPr>
            <w:r/>
            <w:r>
              <w:rPr>
                <w:sz w:val="18"/>
              </w:rPr>
              <w:t>64.4 (45–86); 68.0 (30–89)</w:t>
            </w:r>
          </w:p>
        </w:tc>
      </w:tr>
      <w:tr>
        <w:tc>
          <w:tcPr>
            <w:tcW w:type="dxa" w:w="3135"/>
          </w:tcPr>
          <w:p>
            <w:pPr>
              <w:spacing w:after="40"/>
              <w:jc w:val="left"/>
            </w:pPr>
            <w:r/>
            <w:r>
              <w:rPr>
                <w:sz w:val="18"/>
              </w:rPr>
              <w:t>Male sex, n (%)</w:t>
            </w:r>
          </w:p>
        </w:tc>
        <w:tc>
          <w:tcPr>
            <w:tcW w:type="dxa" w:w="3135"/>
          </w:tcPr>
          <w:p>
            <w:pPr>
              <w:spacing w:after="40"/>
              <w:jc w:val="center"/>
            </w:pPr>
            <w:r/>
            <w:r>
              <w:rPr>
                <w:sz w:val="18"/>
              </w:rPr>
              <w:t>113 (45.7%)</w:t>
            </w:r>
          </w:p>
        </w:tc>
        <w:tc>
          <w:tcPr>
            <w:tcW w:type="dxa" w:w="3135"/>
          </w:tcPr>
          <w:p>
            <w:pPr>
              <w:spacing w:after="40"/>
              <w:jc w:val="center"/>
            </w:pPr>
            <w:r/>
            <w:r>
              <w:rPr>
                <w:sz w:val="18"/>
              </w:rPr>
              <w:t>24 (48.0%); 32 (45.1%)</w:t>
            </w:r>
          </w:p>
        </w:tc>
      </w:tr>
      <w:tr>
        <w:tc>
          <w:tcPr>
            <w:tcW w:type="dxa" w:w="3135"/>
          </w:tcPr>
          <w:p>
            <w:pPr>
              <w:spacing w:after="40"/>
              <w:jc w:val="left"/>
            </w:pPr>
            <w:r/>
            <w:r>
              <w:rPr>
                <w:sz w:val="18"/>
              </w:rPr>
              <w:t>Adenocarcinoma</w:t>
            </w:r>
          </w:p>
        </w:tc>
        <w:tc>
          <w:tcPr>
            <w:tcW w:type="dxa" w:w="3135"/>
          </w:tcPr>
          <w:p>
            <w:pPr>
              <w:spacing w:after="40"/>
              <w:jc w:val="center"/>
            </w:pPr>
            <w:r/>
            <w:r>
              <w:rPr>
                <w:sz w:val="18"/>
              </w:rPr>
              <w:t>184 (74.5%)</w:t>
            </w:r>
          </w:p>
        </w:tc>
        <w:tc>
          <w:tcPr>
            <w:tcW w:type="dxa" w:w="3135"/>
          </w:tcPr>
          <w:p>
            <w:pPr>
              <w:spacing w:after="40"/>
              <w:jc w:val="center"/>
            </w:pPr>
            <w:r/>
            <w:r>
              <w:rPr>
                <w:sz w:val="18"/>
              </w:rPr>
              <w:t>39 (78.0%); 47 (66.2%)</w:t>
            </w:r>
          </w:p>
        </w:tc>
      </w:tr>
      <w:tr>
        <w:tc>
          <w:tcPr>
            <w:tcW w:type="dxa" w:w="3135"/>
          </w:tcPr>
          <w:p>
            <w:pPr>
              <w:spacing w:after="40"/>
              <w:jc w:val="left"/>
            </w:pPr>
            <w:r/>
            <w:r>
              <w:rPr>
                <w:sz w:val="18"/>
              </w:rPr>
              <w:t>Squamous cell</w:t>
            </w:r>
          </w:p>
        </w:tc>
        <w:tc>
          <w:tcPr>
            <w:tcW w:type="dxa" w:w="3135"/>
          </w:tcPr>
          <w:p>
            <w:pPr>
              <w:spacing w:after="40"/>
              <w:jc w:val="center"/>
            </w:pPr>
            <w:r/>
            <w:r>
              <w:rPr>
                <w:sz w:val="18"/>
              </w:rPr>
              <w:t>36 (14.6%)</w:t>
            </w:r>
          </w:p>
        </w:tc>
        <w:tc>
          <w:tcPr>
            <w:tcW w:type="dxa" w:w="3135"/>
          </w:tcPr>
          <w:p>
            <w:pPr>
              <w:spacing w:after="40"/>
              <w:jc w:val="center"/>
            </w:pPr>
            <w:r/>
            <w:r>
              <w:rPr>
                <w:sz w:val="18"/>
              </w:rPr>
              <w:t>7 (14.0%); 13 (18.3%)</w:t>
            </w:r>
          </w:p>
        </w:tc>
      </w:tr>
      <w:tr>
        <w:tc>
          <w:tcPr>
            <w:tcW w:type="dxa" w:w="3135"/>
          </w:tcPr>
          <w:p>
            <w:pPr>
              <w:spacing w:after="40"/>
              <w:jc w:val="left"/>
            </w:pPr>
            <w:r/>
            <w:r>
              <w:rPr>
                <w:sz w:val="18"/>
              </w:rPr>
              <w:t>Other / NOS</w:t>
            </w:r>
          </w:p>
        </w:tc>
        <w:tc>
          <w:tcPr>
            <w:tcW w:type="dxa" w:w="3135"/>
          </w:tcPr>
          <w:p>
            <w:pPr>
              <w:spacing w:after="40"/>
              <w:jc w:val="center"/>
            </w:pPr>
            <w:r/>
            <w:r>
              <w:rPr>
                <w:sz w:val="18"/>
              </w:rPr>
              <w:t>27 (10.9%)</w:t>
            </w:r>
          </w:p>
        </w:tc>
        <w:tc>
          <w:tcPr>
            <w:tcW w:type="dxa" w:w="3135"/>
          </w:tcPr>
          <w:p>
            <w:pPr>
              <w:spacing w:after="40"/>
              <w:jc w:val="center"/>
            </w:pPr>
            <w:r/>
            <w:r>
              <w:rPr>
                <w:sz w:val="18"/>
              </w:rPr>
              <w:t>4 (8.0%); 11 (15.5%)</w:t>
            </w:r>
          </w:p>
        </w:tc>
      </w:tr>
      <w:tr>
        <w:tc>
          <w:tcPr>
            <w:tcW w:type="dxa" w:w="3135"/>
          </w:tcPr>
          <w:p>
            <w:pPr>
              <w:spacing w:after="40"/>
              <w:jc w:val="left"/>
            </w:pPr>
            <w:r/>
            <w:r>
              <w:rPr>
                <w:sz w:val="18"/>
              </w:rPr>
              <w:t>ECOG 0</w:t>
            </w:r>
          </w:p>
        </w:tc>
        <w:tc>
          <w:tcPr>
            <w:tcW w:type="dxa" w:w="3135"/>
          </w:tcPr>
          <w:p>
            <w:pPr>
              <w:spacing w:after="40"/>
              <w:jc w:val="center"/>
            </w:pPr>
            <w:r/>
            <w:r>
              <w:rPr>
                <w:sz w:val="18"/>
              </w:rPr>
              <w:t>28 (11.3%)</w:t>
            </w:r>
          </w:p>
        </w:tc>
        <w:tc>
          <w:tcPr>
            <w:tcW w:type="dxa" w:w="3135"/>
          </w:tcPr>
          <w:p>
            <w:pPr>
              <w:spacing w:after="40"/>
              <w:jc w:val="center"/>
            </w:pPr>
            <w:r/>
            <w:r>
              <w:rPr>
                <w:sz w:val="18"/>
              </w:rPr>
              <w:t>10 (20.0%); 8 (11.3%)</w:t>
            </w:r>
          </w:p>
        </w:tc>
      </w:tr>
      <w:tr>
        <w:tc>
          <w:tcPr>
            <w:tcW w:type="dxa" w:w="3135"/>
          </w:tcPr>
          <w:p>
            <w:pPr>
              <w:spacing w:after="40"/>
              <w:jc w:val="left"/>
            </w:pPr>
            <w:r/>
            <w:r>
              <w:rPr>
                <w:sz w:val="18"/>
              </w:rPr>
              <w:t>ECOG 1</w:t>
            </w:r>
          </w:p>
        </w:tc>
        <w:tc>
          <w:tcPr>
            <w:tcW w:type="dxa" w:w="3135"/>
          </w:tcPr>
          <w:p>
            <w:pPr>
              <w:spacing w:after="40"/>
              <w:jc w:val="center"/>
            </w:pPr>
            <w:r/>
            <w:r>
              <w:rPr>
                <w:sz w:val="18"/>
              </w:rPr>
              <w:t>194 (78.5%)</w:t>
            </w:r>
          </w:p>
        </w:tc>
        <w:tc>
          <w:tcPr>
            <w:tcW w:type="dxa" w:w="3135"/>
          </w:tcPr>
          <w:p>
            <w:pPr>
              <w:spacing w:after="40"/>
              <w:jc w:val="center"/>
            </w:pPr>
            <w:r/>
            <w:r>
              <w:rPr>
                <w:sz w:val="18"/>
              </w:rPr>
              <w:t>39 (78.0%); 58 (81.7%)</w:t>
            </w:r>
          </w:p>
        </w:tc>
      </w:tr>
      <w:tr>
        <w:tc>
          <w:tcPr>
            <w:tcW w:type="dxa" w:w="3135"/>
          </w:tcPr>
          <w:p>
            <w:pPr>
              <w:spacing w:after="40"/>
              <w:jc w:val="left"/>
            </w:pPr>
            <w:r/>
            <w:r>
              <w:rPr>
                <w:sz w:val="18"/>
              </w:rPr>
              <w:t>ECOG ≥2</w:t>
            </w:r>
          </w:p>
        </w:tc>
        <w:tc>
          <w:tcPr>
            <w:tcW w:type="dxa" w:w="3135"/>
          </w:tcPr>
          <w:p>
            <w:pPr>
              <w:spacing w:after="40"/>
              <w:jc w:val="center"/>
            </w:pPr>
            <w:r/>
            <w:r>
              <w:rPr>
                <w:sz w:val="18"/>
              </w:rPr>
              <w:t>25 (10.1%)</w:t>
            </w:r>
          </w:p>
        </w:tc>
        <w:tc>
          <w:tcPr>
            <w:tcW w:type="dxa" w:w="3135"/>
          </w:tcPr>
          <w:p>
            <w:pPr>
              <w:spacing w:after="40"/>
              <w:jc w:val="center"/>
            </w:pPr>
            <w:r/>
            <w:r>
              <w:rPr>
                <w:sz w:val="18"/>
              </w:rPr>
              <w:t>1 (2.0%); 5 (7.0%)</w:t>
            </w:r>
          </w:p>
        </w:tc>
      </w:tr>
      <w:tr>
        <w:tc>
          <w:tcPr>
            <w:tcW w:type="dxa" w:w="3135"/>
          </w:tcPr>
          <w:p>
            <w:pPr>
              <w:spacing w:after="40"/>
              <w:jc w:val="left"/>
            </w:pPr>
            <w:r/>
            <w:r>
              <w:rPr>
                <w:sz w:val="18"/>
              </w:rPr>
              <w:t>Anti-PD-1 therapy*</w:t>
            </w:r>
          </w:p>
        </w:tc>
        <w:tc>
          <w:tcPr>
            <w:tcW w:type="dxa" w:w="3135"/>
          </w:tcPr>
          <w:p>
            <w:pPr>
              <w:spacing w:after="40"/>
              <w:jc w:val="center"/>
            </w:pPr>
            <w:r/>
            <w:r>
              <w:rPr>
                <w:sz w:val="18"/>
              </w:rPr>
              <w:t>197 (79.8%)</w:t>
            </w:r>
          </w:p>
        </w:tc>
        <w:tc>
          <w:tcPr>
            <w:tcW w:type="dxa" w:w="3135"/>
          </w:tcPr>
          <w:p>
            <w:pPr>
              <w:spacing w:after="40"/>
              <w:jc w:val="center"/>
            </w:pPr>
            <w:r/>
            <w:r>
              <w:rPr>
                <w:sz w:val="18"/>
              </w:rPr>
              <w:t>not recorded</w:t>
            </w:r>
          </w:p>
        </w:tc>
      </w:tr>
      <w:tr>
        <w:tc>
          <w:tcPr>
            <w:tcW w:type="dxa" w:w="3135"/>
          </w:tcPr>
          <w:p>
            <w:pPr>
              <w:spacing w:after="40"/>
              <w:jc w:val="left"/>
            </w:pPr>
            <w:r/>
            <w:r>
              <w:rPr>
                <w:sz w:val="18"/>
              </w:rPr>
              <w:t>Anti-PD-L1 therapy*</w:t>
            </w:r>
          </w:p>
        </w:tc>
        <w:tc>
          <w:tcPr>
            <w:tcW w:type="dxa" w:w="3135"/>
          </w:tcPr>
          <w:p>
            <w:pPr>
              <w:spacing w:after="40"/>
              <w:jc w:val="center"/>
            </w:pPr>
            <w:r/>
            <w:r>
              <w:rPr>
                <w:sz w:val="18"/>
              </w:rPr>
              <w:t>50 (20.2%)</w:t>
            </w:r>
          </w:p>
        </w:tc>
        <w:tc>
          <w:tcPr>
            <w:tcW w:type="dxa" w:w="3135"/>
          </w:tcPr>
          <w:p>
            <w:pPr>
              <w:spacing w:after="40"/>
              <w:jc w:val="center"/>
            </w:pPr>
            <w:r/>
            <w:r>
              <w:rPr>
                <w:sz w:val="18"/>
              </w:rPr>
              <w:t>not recorded</w:t>
            </w:r>
          </w:p>
        </w:tc>
      </w:tr>
      <w:tr>
        <w:tc>
          <w:tcPr>
            <w:tcW w:type="dxa" w:w="3135"/>
          </w:tcPr>
          <w:p>
            <w:pPr>
              <w:spacing w:after="40"/>
              <w:jc w:val="left"/>
            </w:pPr>
            <w:r/>
            <w:r>
              <w:rPr>
                <w:sz w:val="18"/>
              </w:rPr>
              <w:t>Combination therapy*</w:t>
            </w:r>
          </w:p>
        </w:tc>
        <w:tc>
          <w:tcPr>
            <w:tcW w:type="dxa" w:w="3135"/>
          </w:tcPr>
          <w:p>
            <w:pPr>
              <w:spacing w:after="40"/>
              <w:jc w:val="center"/>
            </w:pPr>
            <w:r/>
            <w:r>
              <w:rPr>
                <w:sz w:val="18"/>
              </w:rPr>
              <w:t>12 (4.9%)</w:t>
            </w:r>
          </w:p>
        </w:tc>
        <w:tc>
          <w:tcPr>
            <w:tcW w:type="dxa" w:w="3135"/>
          </w:tcPr>
          <w:p>
            <w:pPr>
              <w:spacing w:after="40"/>
              <w:jc w:val="center"/>
            </w:pPr>
            <w:r/>
            <w:r>
              <w:rPr>
                <w:sz w:val="18"/>
              </w:rPr>
              <w:t>not recorded</w:t>
            </w:r>
          </w:p>
        </w:tc>
      </w:tr>
      <w:tr>
        <w:tc>
          <w:tcPr>
            <w:tcW w:type="dxa" w:w="3135"/>
          </w:tcPr>
          <w:p>
            <w:pPr>
              <w:spacing w:after="40"/>
              <w:jc w:val="left"/>
            </w:pPr>
            <w:r/>
            <w:r>
              <w:rPr>
                <w:sz w:val="18"/>
              </w:rPr>
              <w:t>Response (PR/CR), label=0</w:t>
            </w:r>
          </w:p>
        </w:tc>
        <w:tc>
          <w:tcPr>
            <w:tcW w:type="dxa" w:w="3135"/>
          </w:tcPr>
          <w:p>
            <w:pPr>
              <w:spacing w:after="40"/>
              <w:jc w:val="center"/>
            </w:pPr>
            <w:r/>
            <w:r>
              <w:rPr>
                <w:sz w:val="18"/>
              </w:rPr>
              <w:t>62 (25.1%)</w:t>
            </w:r>
          </w:p>
        </w:tc>
        <w:tc>
          <w:tcPr>
            <w:tcW w:type="dxa" w:w="3135"/>
          </w:tcPr>
          <w:p>
            <w:pPr>
              <w:spacing w:after="40"/>
              <w:jc w:val="center"/>
            </w:pPr>
            <w:r/>
            <w:r>
              <w:rPr>
                <w:sz w:val="18"/>
              </w:rPr>
              <w:t>11 (22.0%); 21 (29.6%)</w:t>
            </w:r>
          </w:p>
        </w:tc>
      </w:tr>
      <w:tr>
        <w:tc>
          <w:tcPr>
            <w:tcW w:type="dxa" w:w="3135"/>
          </w:tcPr>
          <w:p>
            <w:pPr>
              <w:spacing w:after="40"/>
              <w:jc w:val="left"/>
            </w:pPr>
            <w:r/>
            <w:r>
              <w:rPr>
                <w:sz w:val="18"/>
              </w:rPr>
              <w:t>No response (SD/PD), label=1</w:t>
            </w:r>
          </w:p>
        </w:tc>
        <w:tc>
          <w:tcPr>
            <w:tcW w:type="dxa" w:w="3135"/>
          </w:tcPr>
          <w:p>
            <w:pPr>
              <w:spacing w:after="40"/>
              <w:jc w:val="center"/>
            </w:pPr>
            <w:r/>
            <w:r>
              <w:rPr>
                <w:sz w:val="18"/>
              </w:rPr>
              <w:t>185 (74.9%)</w:t>
            </w:r>
          </w:p>
        </w:tc>
        <w:tc>
          <w:tcPr>
            <w:tcW w:type="dxa" w:w="3135"/>
          </w:tcPr>
          <w:p>
            <w:pPr>
              <w:spacing w:after="40"/>
              <w:jc w:val="center"/>
            </w:pPr>
            <w:r/>
            <w:r>
              <w:rPr>
                <w:sz w:val="18"/>
              </w:rPr>
              <w:t>39 (78.0%); 50 (70.4%)</w:t>
            </w:r>
          </w:p>
        </w:tc>
      </w:tr>
      <w:tr>
        <w:tc>
          <w:tcPr>
            <w:tcW w:type="dxa" w:w="3135"/>
          </w:tcPr>
          <w:p>
            <w:pPr>
              <w:spacing w:after="40"/>
              <w:jc w:val="left"/>
            </w:pPr>
            <w:r/>
            <w:r>
              <w:rPr>
                <w:sz w:val="18"/>
              </w:rPr>
              <w:t>PFS events (progression/death), n (%)</w:t>
            </w:r>
          </w:p>
        </w:tc>
        <w:tc>
          <w:tcPr>
            <w:tcW w:type="dxa" w:w="3135"/>
          </w:tcPr>
          <w:p>
            <w:pPr>
              <w:spacing w:after="40"/>
              <w:jc w:val="center"/>
            </w:pPr>
            <w:r/>
            <w:r>
              <w:rPr>
                <w:sz w:val="18"/>
              </w:rPr>
              <w:t>209 (84.6%)</w:t>
            </w:r>
          </w:p>
        </w:tc>
        <w:tc>
          <w:tcPr>
            <w:tcW w:type="dxa" w:w="3135"/>
          </w:tcPr>
          <w:p>
            <w:pPr>
              <w:spacing w:after="40"/>
              <w:jc w:val="center"/>
            </w:pPr>
            <w:r/>
            <w:r>
              <w:rPr>
                <w:sz w:val="18"/>
              </w:rPr>
              <w:t>46 (92.0%); 55 (77.5%)</w:t>
            </w:r>
          </w:p>
        </w:tc>
      </w:tr>
      <w:tr>
        <w:tc>
          <w:tcPr>
            <w:tcW w:type="dxa" w:w="3135"/>
          </w:tcPr>
          <w:p>
            <w:pPr>
              <w:spacing w:after="40"/>
              <w:jc w:val="left"/>
            </w:pPr>
            <w:r/>
            <w:r>
              <w:rPr>
                <w:sz w:val="18"/>
              </w:rPr>
              <w:t>Median PFS, months (range)</w:t>
            </w:r>
          </w:p>
        </w:tc>
        <w:tc>
          <w:tcPr>
            <w:tcW w:type="dxa" w:w="3135"/>
          </w:tcPr>
          <w:p>
            <w:pPr>
              <w:spacing w:after="40"/>
              <w:jc w:val="center"/>
            </w:pPr>
            <w:r/>
            <w:r>
              <w:rPr>
                <w:sz w:val="18"/>
              </w:rPr>
              <w:t>2.7 (0.1–49.1)</w:t>
            </w:r>
          </w:p>
        </w:tc>
        <w:tc>
          <w:tcPr>
            <w:tcW w:type="dxa" w:w="3135"/>
          </w:tcPr>
          <w:p>
            <w:pPr>
              <w:spacing w:after="40"/>
              <w:jc w:val="center"/>
            </w:pPr>
            <w:r/>
            <w:r>
              <w:rPr>
                <w:sz w:val="18"/>
              </w:rPr>
              <w:t>2.6 (1.0–59.7); 2.7 (0.1–28.4)</w:t>
            </w:r>
          </w:p>
        </w:tc>
      </w:tr>
      <w:tr>
        <w:tc>
          <w:tcPr>
            <w:tcW w:type="dxa" w:w="3135"/>
          </w:tcPr>
          <w:p>
            <w:pPr>
              <w:spacing w:after="40"/>
              <w:jc w:val="left"/>
            </w:pPr>
            <w:r/>
            <w:r>
              <w:rPr>
                <w:sz w:val="18"/>
              </w:rPr>
              <w:t>CT radiomics available (PC/PL/LN)</w:t>
            </w:r>
          </w:p>
        </w:tc>
        <w:tc>
          <w:tcPr>
            <w:tcW w:type="dxa" w:w="3135"/>
          </w:tcPr>
          <w:p>
            <w:pPr>
              <w:spacing w:after="40"/>
              <w:jc w:val="center"/>
            </w:pPr>
            <w:r/>
            <w:r>
              <w:rPr>
                <w:sz w:val="18"/>
              </w:rPr>
              <w:t>187 (75.7%)</w:t>
            </w:r>
          </w:p>
        </w:tc>
        <w:tc>
          <w:tcPr>
            <w:tcW w:type="dxa" w:w="3135"/>
          </w:tcPr>
          <w:p>
            <w:pPr>
              <w:spacing w:after="40"/>
              <w:jc w:val="center"/>
            </w:pPr>
            <w:r/>
            <w:r>
              <w:rPr>
                <w:sz w:val="18"/>
              </w:rPr>
              <w:t>46/50; —</w:t>
            </w:r>
          </w:p>
        </w:tc>
      </w:tr>
      <w:tr>
        <w:tc>
          <w:tcPr>
            <w:tcW w:type="dxa" w:w="3135"/>
          </w:tcPr>
          <w:p>
            <w:pPr>
              <w:spacing w:after="40"/>
              <w:jc w:val="left"/>
            </w:pPr>
            <w:r/>
            <w:r>
              <w:rPr>
                <w:sz w:val="18"/>
              </w:rPr>
              <w:t>Pathology IHC available</w:t>
            </w:r>
          </w:p>
        </w:tc>
        <w:tc>
          <w:tcPr>
            <w:tcW w:type="dxa" w:w="3135"/>
          </w:tcPr>
          <w:p>
            <w:pPr>
              <w:spacing w:after="40"/>
              <w:jc w:val="center"/>
            </w:pPr>
            <w:r/>
            <w:r>
              <w:rPr>
                <w:sz w:val="18"/>
              </w:rPr>
              <w:t>105 (42.5%)</w:t>
            </w:r>
          </w:p>
        </w:tc>
        <w:tc>
          <w:tcPr>
            <w:tcW w:type="dxa" w:w="3135"/>
          </w:tcPr>
          <w:p>
            <w:pPr>
              <w:spacing w:after="40"/>
              <w:jc w:val="center"/>
            </w:pPr>
            <w:r/>
            <w:r>
              <w:rPr>
                <w:sz w:val="18"/>
              </w:rPr>
              <w:t>—; 52/71</w:t>
            </w:r>
          </w:p>
        </w:tc>
      </w:tr>
      <w:tr>
        <w:tc>
          <w:tcPr>
            <w:tcW w:type="dxa" w:w="3135"/>
          </w:tcPr>
          <w:p>
            <w:pPr>
              <w:spacing w:after="40"/>
              <w:jc w:val="left"/>
            </w:pPr>
            <w:r/>
            <w:r>
              <w:rPr>
                <w:sz w:val="18"/>
              </w:rPr>
              <w:t>Genomics (NGS) available</w:t>
            </w:r>
          </w:p>
        </w:tc>
        <w:tc>
          <w:tcPr>
            <w:tcW w:type="dxa" w:w="3135"/>
          </w:tcPr>
          <w:p>
            <w:pPr>
              <w:spacing w:after="40"/>
              <w:jc w:val="center"/>
            </w:pPr>
            <w:r/>
            <w:r>
              <w:rPr>
                <w:sz w:val="18"/>
              </w:rPr>
              <w:t>247 (100%)</w:t>
            </w:r>
          </w:p>
        </w:tc>
        <w:tc>
          <w:tcPr>
            <w:tcW w:type="dxa" w:w="3135"/>
          </w:tcPr>
          <w:p>
            <w:pPr>
              <w:spacing w:after="40"/>
              <w:jc w:val="center"/>
            </w:pPr>
            <w:r/>
            <w:r>
              <w:rPr>
                <w:sz w:val="18"/>
              </w:rPr>
              <w:t>—</w:t>
            </w:r>
          </w:p>
        </w:tc>
      </w:tr>
      <w:tr>
        <w:tc>
          <w:tcPr>
            <w:tcW w:type="dxa" w:w="3135"/>
          </w:tcPr>
          <w:p>
            <w:pPr>
              <w:spacing w:after="40"/>
              <w:jc w:val="left"/>
            </w:pPr>
            <w:r/>
            <w:r>
              <w:rPr>
                <w:sz w:val="18"/>
              </w:rPr>
              <w:t>PD-L1 TPS score available</w:t>
            </w:r>
          </w:p>
        </w:tc>
        <w:tc>
          <w:tcPr>
            <w:tcW w:type="dxa" w:w="3135"/>
          </w:tcPr>
          <w:p>
            <w:pPr>
              <w:spacing w:after="40"/>
              <w:jc w:val="center"/>
            </w:pPr>
            <w:r/>
            <w:r>
              <w:rPr>
                <w:sz w:val="18"/>
              </w:rPr>
              <w:t>201 (81.4%)</w:t>
            </w:r>
          </w:p>
        </w:tc>
        <w:tc>
          <w:tcPr>
            <w:tcW w:type="dxa" w:w="3135"/>
          </w:tcPr>
          <w:p>
            <w:pPr>
              <w:spacing w:after="40"/>
              <w:jc w:val="center"/>
            </w:pPr>
            <w:r/>
            <w:r>
              <w:rPr>
                <w:sz w:val="18"/>
              </w:rPr>
              <w:t>—</w:t>
            </w:r>
          </w:p>
        </w:tc>
      </w:tr>
      <w:tr>
        <w:tc>
          <w:tcPr>
            <w:tcW w:type="dxa" w:w="3135"/>
          </w:tcPr>
          <w:p>
            <w:pPr>
              <w:spacing w:after="40"/>
              <w:jc w:val="left"/>
            </w:pPr>
            <w:r/>
            <w:r>
              <w:rPr>
                <w:sz w:val="18"/>
              </w:rPr>
              <w:t>Clinical labs (13 vars) available</w:t>
            </w:r>
          </w:p>
        </w:tc>
        <w:tc>
          <w:tcPr>
            <w:tcW w:type="dxa" w:w="3135"/>
          </w:tcPr>
          <w:p>
            <w:pPr>
              <w:spacing w:after="40"/>
              <w:jc w:val="center"/>
            </w:pPr>
            <w:r/>
            <w:r>
              <w:rPr>
                <w:sz w:val="18"/>
              </w:rPr>
              <w:t>247 (100%)</w:t>
            </w:r>
          </w:p>
        </w:tc>
        <w:tc>
          <w:tcPr>
            <w:tcW w:type="dxa" w:w="3135"/>
          </w:tcPr>
          <w:p>
            <w:pPr>
              <w:spacing w:after="40"/>
              <w:jc w:val="center"/>
            </w:pPr>
            <w:r/>
            <w:r>
              <w:rPr>
                <w:sz w:val="18"/>
              </w:rPr>
              <w:t>—</w:t>
            </w:r>
          </w:p>
        </w:tc>
      </w:tr>
    </w:tbl>
    <w:p>
      <w:pPr>
        <w:spacing w:after="80"/>
      </w:pPr>
    </w:p>
    <w:p>
      <w:r>
        <w:t xml:space="preserve">The primary binary endpoint was best overall response to ICI therapy, classified as </w:t>
      </w:r>
      <w:r>
        <w:rPr>
          <w:i/>
        </w:rPr>
        <w:t>response</w:t>
      </w:r>
      <w:r>
        <w:t xml:space="preserve"> (partial or complete response, PR/CR; label = 0) or </w:t>
      </w:r>
      <w:r>
        <w:rPr>
          <w:i/>
        </w:rPr>
        <w:t>no response</w:t>
      </w:r>
      <w:r>
        <w:t xml:space="preserve"> (stable or progressive disease, SD/PD; label = 1). The response-to-no-response ratio in the discovery cohort was approximately 1:2.98, reflecting the known clinical rate of ICI non-response in unselected NSCLC populations </w:t>
      </w:r>
      <w:r>
        <w:t>[</w:t>
      </w:r>
      <w:hyperlink w:anchor="ref_3" w:history="1">
        <w:r>
          <w:rPr>
            <w:color w:val="0563C1"/>
          </w:rPr>
          <w:t>3</w:t>
        </w:r>
      </w:hyperlink>
      <w:r>
        <w:t>]</w:t>
      </w:r>
      <w:r>
        <w:t>. A secondary time-to-event endpoint, progression-free survival (PFS), was defined as time from ICI initiation to disease progression or death from any cause. Patients without a recorded event were censored at the date of last follow-up.</w:t>
      </w:r>
    </w:p>
    <w:p>
      <w:pPr>
        <w:spacing w:before="200"/>
        <w:jc w:val="center"/>
      </w:pPr>
      <w:r>
        <w:drawing>
          <wp:inline xmlns:a="http://schemas.openxmlformats.org/drawingml/2006/main" xmlns:pic="http://schemas.openxmlformats.org/drawingml/2006/picture">
            <wp:extent cx="5486400" cy="3645528"/>
            <wp:docPr id="1" name="Picture 1"/>
            <wp:cNvGraphicFramePr>
              <a:graphicFrameLocks noChangeAspect="1"/>
            </wp:cNvGraphicFramePr>
            <a:graphic>
              <a:graphicData uri="http://schemas.openxmlformats.org/drawingml/2006/picture">
                <pic:pic>
                  <pic:nvPicPr>
                    <pic:cNvPr id="0" name="fig1_overview_demo.png"/>
                    <pic:cNvPicPr/>
                  </pic:nvPicPr>
                  <pic:blipFill>
                    <a:blip r:embed="rId9"/>
                    <a:stretch>
                      <a:fillRect/>
                    </a:stretch>
                  </pic:blipFill>
                  <pic:spPr>
                    <a:xfrm>
                      <a:off x="0" y="0"/>
                      <a:ext cx="5486400" cy="3645528"/>
                    </a:xfrm>
                    <a:prstGeom prst="rect"/>
                  </pic:spPr>
                </pic:pic>
              </a:graphicData>
            </a:graphic>
          </wp:inline>
        </w:drawing>
      </w:r>
    </w:p>
    <w:p>
      <w:pPr>
        <w:spacing w:after="200"/>
      </w:pPr>
      <w:r>
        <w:rPr>
          <w:b/>
          <w:sz w:val="19"/>
        </w:rPr>
        <w:t>Figure 1.</w:t>
      </w:r>
      <w:r>
        <w:rPr>
          <w:sz w:val="19"/>
        </w:rPr>
        <w:t xml:space="preserve"> Study overview. (A) The discovery cohort (n = 247) and two validation cohorts (radiomics-evaluable, n = 50; pathology-evaluable, n = 71) provide six data sources: CT radiomics (modelled separately per lesion site: PC, PL, LN), pathology image texture (IHC-A or IHC-G), tumour genomics, PD-L1 TPS, and structured clinical variables, giving up to seven input modalities per model. (B) The DyAM architecture computes a per-modality risk score and combines modalities using either cooperative (AttentionMatrix) or competitive one-vs-others (AttentionMatrixOvO) attention to produce a fused risk prediction ŷ. (C) Models are evaluated on both binary response classification (AUC-ROC with DeLong 95% CI) and survival endpoints (Harrell's C-index, multivariate Cox hazard ratios, and Kaplan–Meier log-rank stratification).</w:t>
      </w:r>
    </w:p>
    <w:p>
      <w:pPr>
        <w:pStyle w:val="Heading2"/>
      </w:pPr>
      <w:r>
        <w:t>2.2. Data Modalities</w:t>
      </w:r>
    </w:p>
    <w:p>
      <w:r>
        <w:t xml:space="preserve">Six data sources were assembled for each patient (Table 2). Because CT radiomics is modelled separately per lesion site (PC, PL, LN) and the two pathology feature sets (IHC-A, IHC-G) are used as alternative arms rather than jointly, a single model receives up to seven input modalities. CT radiomics features were extracted from baseline scans using PyRadiomics </w:t>
      </w:r>
      <w:r>
        <w:t>[</w:t>
      </w:r>
      <w:hyperlink w:anchor="ref_19" w:history="1">
        <w:r>
          <w:rPr>
            <w:color w:val="0563C1"/>
          </w:rPr>
          <w:t>19</w:t>
        </w:r>
      </w:hyperlink>
      <w:r>
        <w:t>]</w:t>
      </w:r>
      <w:r>
        <w:t xml:space="preserve">, following the preprocessing of </w:t>
      </w:r>
      <w:r>
        <w:t>[</w:t>
      </w:r>
      <w:hyperlink w:anchor="ref_15" w:history="1">
        <w:r>
          <w:rPr>
            <w:color w:val="0563C1"/>
          </w:rPr>
          <w:t>15</w:t>
        </w:r>
      </w:hyperlink>
      <w:r>
        <w:t>]</w:t>
      </w:r>
      <w:r>
        <w:t xml:space="preserve">, at 1.0 mm isotropic spacing with a window of [−1350, 250] HU, yielding 1,688 features per lesion type. Lesions were categorised by anatomical site: primary tumour (PC), pleural lesion (PL), and lymph node (LN). Up to three lesions per site were included, ranked by volume. Pathology features were derived from PD-L1 immunohistochemistry (IHC) slides: </w:t>
      </w:r>
      <w:r>
        <w:rPr>
          <w:i/>
        </w:rPr>
        <w:t>IHC-A</w:t>
      </w:r>
      <w:r>
        <w:t xml:space="preserve"> comprised 18 pixel-intensity aggregation features (area, mean intensity, percentiles), while </w:t>
      </w:r>
      <w:r>
        <w:rPr>
          <w:i/>
        </w:rPr>
        <w:t>IHC-G</w:t>
      </w:r>
      <w:r>
        <w:t xml:space="preserve"> comprised 150 grey-level co-occurrence matrix (GLCM) texture features across six aggregation levels </w:t>
      </w:r>
      <w:r>
        <w:t>[</w:t>
      </w:r>
      <w:hyperlink w:anchor="ref_15" w:history="1">
        <w:r>
          <w:rPr>
            <w:color w:val="0563C1"/>
          </w:rPr>
          <w:t>15</w:t>
        </w:r>
      </w:hyperlink>
      <w:r>
        <w:t>]</w:t>
      </w:r>
      <w:r>
        <w:t xml:space="preserve">. Genomic features (11 variables) included tumour mutational burden (TMB) and the status of eight driver mutations and amplifications derived from MSK-IMPACT targeted next-generation sequencing (NGS) </w:t>
      </w:r>
      <w:r>
        <w:t>[</w:t>
      </w:r>
      <w:hyperlink w:anchor="ref_20" w:history="1">
        <w:r>
          <w:rPr>
            <w:color w:val="0563C1"/>
          </w:rPr>
          <w:t>20</w:t>
        </w:r>
      </w:hyperlink>
      <w:r>
        <w:t>]</w:t>
      </w:r>
      <w:r>
        <w:t>. The PD-L1 tumour proportion score (TPS) was obtained from clinical pathology reports (range 0–100%). Clinical laboratory features comprised 13 variables: age, smoking pack-years, Eastern Cooperative Oncology Group (ECOG) performance status, serum albumin, derived neutrophil-to-lymphocyte ratio (dNLR), initial tumour burden, brain and liver metastasis status, line of therapy, combination therapy, primary lung site, prior PD-L1 therapy, and adenocarcinoma histology.</w:t>
      </w:r>
    </w:p>
    <w:p>
      <w:r>
        <w:t xml:space="preserve">For radiomics modalities, features with an intraclass correlation coefficient (ICC) below 0.15 across test–retest perturbation scans were removed (robustness filter), and features with a z-score exceeding 6 in any patient were flagged as outliers and excluded. All modalities except the NLP embedding (Section 2.3) were standardised with RobustScaler (median centring, IQR scaling). Missing modalities were handled via a binary indicator mask </w:t>
      </w:r>
      <m:oMath>
        <m:r>
          <m:t xml:space="preserve">m ∈ </m:t>
        </m:r>
        <m:sSup>
          <m:e>
            <m:d>
              <m:dPr>
                <m:begChr m:val="{"/>
                <m:endChr m:val="}"/>
              </m:dPr>
              <m:e>
                <m:r>
                  <m:t xml:space="preserve">0,1</m:t>
                </m:r>
              </m:e>
            </m:d>
          </m:e>
          <m:sup>
            <m:r>
              <m:t xml:space="preserve">N</m:t>
            </m:r>
          </m:sup>
        </m:sSup>
      </m:oMath>
      <w:r>
        <w:t>; masked modalities contribute zero attention and zero risk to the fused prediction (Section 2.4).</w:t>
      </w:r>
    </w:p>
    <w:p>
      <w:pPr>
        <w:spacing w:before="200" w:after="80"/>
      </w:pPr>
      <w:r>
        <w:rPr>
          <w:b/>
          <w:sz w:val="19"/>
        </w:rPr>
        <w:t>Table 2.</w:t>
      </w:r>
      <w:r>
        <w:rPr>
          <w:sz w:val="19"/>
        </w:rPr>
        <w:t xml:space="preserve"> Summary of data modalities used in this study. All feature counts are post-selection (after ICC and outlier filtering for radiomics).</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tcPr>
          <w:p>
            <w:pPr>
              <w:spacing w:after="40"/>
              <w:jc w:val="center"/>
            </w:pPr>
            <w:r/>
            <w:r>
              <w:rPr>
                <w:b/>
                <w:sz w:val="18"/>
              </w:rPr>
              <w:t>Modality</w:t>
            </w:r>
          </w:p>
        </w:tc>
        <w:tc>
          <w:tcPr>
            <w:tcW w:type="dxa" w:w="2351"/>
          </w:tcPr>
          <w:p>
            <w:pPr>
              <w:spacing w:after="40"/>
              <w:jc w:val="center"/>
            </w:pPr>
            <w:r/>
            <w:r>
              <w:rPr>
                <w:b/>
                <w:sz w:val="18"/>
              </w:rPr>
              <w:t>Source</w:t>
            </w:r>
          </w:p>
        </w:tc>
        <w:tc>
          <w:tcPr>
            <w:tcW w:type="dxa" w:w="2351"/>
          </w:tcPr>
          <w:p>
            <w:pPr>
              <w:spacing w:after="40"/>
              <w:jc w:val="center"/>
            </w:pPr>
            <w:r/>
            <w:r>
              <w:rPr>
                <w:b/>
                <w:sz w:val="18"/>
              </w:rPr>
              <w:t>Features</w:t>
            </w:r>
          </w:p>
        </w:tc>
        <w:tc>
          <w:tcPr>
            <w:tcW w:type="dxa" w:w="2351"/>
          </w:tcPr>
          <w:p>
            <w:pPr>
              <w:spacing w:after="40"/>
              <w:jc w:val="center"/>
            </w:pPr>
            <w:r/>
            <w:r>
              <w:rPr>
                <w:b/>
                <w:sz w:val="18"/>
              </w:rPr>
              <w:t>Clinical meaning</w:t>
            </w:r>
          </w:p>
        </w:tc>
      </w:tr>
      <w:tr>
        <w:tc>
          <w:tcPr>
            <w:tcW w:type="dxa" w:w="2351"/>
          </w:tcPr>
          <w:p>
            <w:pPr>
              <w:spacing w:after="40"/>
              <w:jc w:val="left"/>
            </w:pPr>
            <w:r/>
            <w:r>
              <w:rPr>
                <w:sz w:val="18"/>
              </w:rPr>
              <w:t>CT Radiomics (PC, PL, LN)</w:t>
            </w:r>
          </w:p>
        </w:tc>
        <w:tc>
          <w:tcPr>
            <w:tcW w:type="dxa" w:w="2351"/>
          </w:tcPr>
          <w:p>
            <w:pPr>
              <w:spacing w:after="40"/>
              <w:jc w:val="center"/>
            </w:pPr>
            <w:r/>
            <w:r>
              <w:rPr>
                <w:sz w:val="18"/>
              </w:rPr>
              <w:t>PyRadiomics</w:t>
            </w:r>
          </w:p>
        </w:tc>
        <w:tc>
          <w:tcPr>
            <w:tcW w:type="dxa" w:w="2351"/>
          </w:tcPr>
          <w:p>
            <w:pPr>
              <w:spacing w:after="40"/>
              <w:jc w:val="center"/>
            </w:pPr>
            <w:r/>
            <w:r>
              <w:rPr>
                <w:sz w:val="18"/>
              </w:rPr>
              <w:t>≤1,688</w:t>
            </w:r>
          </w:p>
        </w:tc>
        <w:tc>
          <w:tcPr>
            <w:tcW w:type="dxa" w:w="2351"/>
          </w:tcPr>
          <w:p>
            <w:pPr>
              <w:spacing w:after="40"/>
              <w:jc w:val="center"/>
            </w:pPr>
            <w:r/>
            <w:r>
              <w:rPr>
                <w:sz w:val="18"/>
              </w:rPr>
              <w:t>Tumour shape, size, and texture from baseline CT</w:t>
            </w:r>
          </w:p>
        </w:tc>
      </w:tr>
      <w:tr>
        <w:tc>
          <w:tcPr>
            <w:tcW w:type="dxa" w:w="2351"/>
          </w:tcPr>
          <w:p>
            <w:pPr>
              <w:spacing w:after="40"/>
              <w:jc w:val="left"/>
            </w:pPr>
            <w:r/>
            <w:r>
              <w:rPr>
                <w:sz w:val="18"/>
              </w:rPr>
              <w:t>Pathology IHC-A</w:t>
            </w:r>
          </w:p>
        </w:tc>
        <w:tc>
          <w:tcPr>
            <w:tcW w:type="dxa" w:w="2351"/>
          </w:tcPr>
          <w:p>
            <w:pPr>
              <w:spacing w:after="40"/>
              <w:jc w:val="center"/>
            </w:pPr>
            <w:r/>
            <w:r>
              <w:rPr>
                <w:sz w:val="18"/>
              </w:rPr>
              <w:t>PD-L1 IHC slides</w:t>
            </w:r>
          </w:p>
        </w:tc>
        <w:tc>
          <w:tcPr>
            <w:tcW w:type="dxa" w:w="2351"/>
          </w:tcPr>
          <w:p>
            <w:pPr>
              <w:spacing w:after="40"/>
              <w:jc w:val="center"/>
            </w:pPr>
            <w:r/>
            <w:r>
              <w:rPr>
                <w:sz w:val="18"/>
              </w:rPr>
              <w:t>18</w:t>
            </w:r>
          </w:p>
        </w:tc>
        <w:tc>
          <w:tcPr>
            <w:tcW w:type="dxa" w:w="2351"/>
          </w:tcPr>
          <w:p>
            <w:pPr>
              <w:spacing w:after="40"/>
              <w:jc w:val="center"/>
            </w:pPr>
            <w:r/>
            <w:r>
              <w:rPr>
                <w:sz w:val="18"/>
              </w:rPr>
              <w:t>Pixel-intensity aggregation of PD-L1 expression</w:t>
            </w:r>
          </w:p>
        </w:tc>
      </w:tr>
      <w:tr>
        <w:tc>
          <w:tcPr>
            <w:tcW w:type="dxa" w:w="2351"/>
          </w:tcPr>
          <w:p>
            <w:pPr>
              <w:spacing w:after="40"/>
              <w:jc w:val="left"/>
            </w:pPr>
            <w:r/>
            <w:r>
              <w:rPr>
                <w:sz w:val="18"/>
              </w:rPr>
              <w:t>Pathology IHC-G</w:t>
            </w:r>
          </w:p>
        </w:tc>
        <w:tc>
          <w:tcPr>
            <w:tcW w:type="dxa" w:w="2351"/>
          </w:tcPr>
          <w:p>
            <w:pPr>
              <w:spacing w:after="40"/>
              <w:jc w:val="center"/>
            </w:pPr>
            <w:r/>
            <w:r>
              <w:rPr>
                <w:sz w:val="18"/>
              </w:rPr>
              <w:t>PD-L1 IHC slides</w:t>
            </w:r>
          </w:p>
        </w:tc>
        <w:tc>
          <w:tcPr>
            <w:tcW w:type="dxa" w:w="2351"/>
          </w:tcPr>
          <w:p>
            <w:pPr>
              <w:spacing w:after="40"/>
              <w:jc w:val="center"/>
            </w:pPr>
            <w:r/>
            <w:r>
              <w:rPr>
                <w:sz w:val="18"/>
              </w:rPr>
              <w:t>150</w:t>
            </w:r>
          </w:p>
        </w:tc>
        <w:tc>
          <w:tcPr>
            <w:tcW w:type="dxa" w:w="2351"/>
          </w:tcPr>
          <w:p>
            <w:pPr>
              <w:spacing w:after="40"/>
              <w:jc w:val="center"/>
            </w:pPr>
            <w:r/>
            <w:r>
              <w:rPr>
                <w:sz w:val="18"/>
              </w:rPr>
              <w:t>GLCM texture of PD-L1 signal</w:t>
            </w:r>
          </w:p>
        </w:tc>
      </w:tr>
      <w:tr>
        <w:tc>
          <w:tcPr>
            <w:tcW w:type="dxa" w:w="2351"/>
          </w:tcPr>
          <w:p>
            <w:pPr>
              <w:spacing w:after="40"/>
              <w:jc w:val="left"/>
            </w:pPr>
            <w:r/>
            <w:r>
              <w:rPr>
                <w:sz w:val="18"/>
              </w:rPr>
              <w:t>Genomics</w:t>
            </w:r>
          </w:p>
        </w:tc>
        <w:tc>
          <w:tcPr>
            <w:tcW w:type="dxa" w:w="2351"/>
          </w:tcPr>
          <w:p>
            <w:pPr>
              <w:spacing w:after="40"/>
              <w:jc w:val="center"/>
            </w:pPr>
            <w:r/>
            <w:r>
              <w:rPr>
                <w:sz w:val="18"/>
              </w:rPr>
              <w:t>MSK-IMPACT</w:t>
            </w:r>
          </w:p>
        </w:tc>
        <w:tc>
          <w:tcPr>
            <w:tcW w:type="dxa" w:w="2351"/>
          </w:tcPr>
          <w:p>
            <w:pPr>
              <w:spacing w:after="40"/>
              <w:jc w:val="center"/>
            </w:pPr>
            <w:r/>
            <w:r>
              <w:rPr>
                <w:sz w:val="18"/>
              </w:rPr>
              <w:t>11</w:t>
            </w:r>
          </w:p>
        </w:tc>
        <w:tc>
          <w:tcPr>
            <w:tcW w:type="dxa" w:w="2351"/>
          </w:tcPr>
          <w:p>
            <w:pPr>
              <w:spacing w:after="40"/>
              <w:jc w:val="center"/>
            </w:pPr>
            <w:r/>
            <w:r>
              <w:rPr>
                <w:sz w:val="18"/>
              </w:rPr>
              <w:t>TMB + driver mutation/amplification status</w:t>
            </w:r>
          </w:p>
        </w:tc>
      </w:tr>
      <w:tr>
        <w:tc>
          <w:tcPr>
            <w:tcW w:type="dxa" w:w="2351"/>
          </w:tcPr>
          <w:p>
            <w:pPr>
              <w:spacing w:after="40"/>
              <w:jc w:val="left"/>
            </w:pPr>
            <w:r/>
            <w:r>
              <w:rPr>
                <w:sz w:val="18"/>
              </w:rPr>
              <w:t>PD-L1 TPS</w:t>
            </w:r>
          </w:p>
        </w:tc>
        <w:tc>
          <w:tcPr>
            <w:tcW w:type="dxa" w:w="2351"/>
          </w:tcPr>
          <w:p>
            <w:pPr>
              <w:spacing w:after="40"/>
              <w:jc w:val="center"/>
            </w:pPr>
            <w:r/>
            <w:r>
              <w:rPr>
                <w:sz w:val="18"/>
              </w:rPr>
              <w:t>Pathology report</w:t>
            </w:r>
          </w:p>
        </w:tc>
        <w:tc>
          <w:tcPr>
            <w:tcW w:type="dxa" w:w="2351"/>
          </w:tcPr>
          <w:p>
            <w:pPr>
              <w:spacing w:after="40"/>
              <w:jc w:val="center"/>
            </w:pPr>
            <w:r/>
            <w:r>
              <w:rPr>
                <w:sz w:val="18"/>
              </w:rPr>
              <w:t>1</w:t>
            </w:r>
          </w:p>
        </w:tc>
        <w:tc>
          <w:tcPr>
            <w:tcW w:type="dxa" w:w="2351"/>
          </w:tcPr>
          <w:p>
            <w:pPr>
              <w:spacing w:after="40"/>
              <w:jc w:val="center"/>
            </w:pPr>
            <w:r/>
            <w:r>
              <w:rPr>
                <w:sz w:val="18"/>
              </w:rPr>
              <w:t>Tumour proportion score (0–100%)</w:t>
            </w:r>
          </w:p>
        </w:tc>
      </w:tr>
      <w:tr>
        <w:tc>
          <w:tcPr>
            <w:tcW w:type="dxa" w:w="2351"/>
          </w:tcPr>
          <w:p>
            <w:pPr>
              <w:spacing w:after="40"/>
              <w:jc w:val="left"/>
            </w:pPr>
            <w:r/>
            <w:r>
              <w:rPr>
                <w:sz w:val="18"/>
              </w:rPr>
              <w:t>Clinical labs</w:t>
            </w:r>
          </w:p>
        </w:tc>
        <w:tc>
          <w:tcPr>
            <w:tcW w:type="dxa" w:w="2351"/>
          </w:tcPr>
          <w:p>
            <w:pPr>
              <w:spacing w:after="40"/>
              <w:jc w:val="center"/>
            </w:pPr>
            <w:r/>
            <w:r>
              <w:rPr>
                <w:sz w:val="18"/>
              </w:rPr>
              <w:t>EHR</w:t>
            </w:r>
          </w:p>
        </w:tc>
        <w:tc>
          <w:tcPr>
            <w:tcW w:type="dxa" w:w="2351"/>
          </w:tcPr>
          <w:p>
            <w:pPr>
              <w:spacing w:after="40"/>
              <w:jc w:val="center"/>
            </w:pPr>
            <w:r/>
            <w:r>
              <w:rPr>
                <w:sz w:val="18"/>
              </w:rPr>
              <w:t>13</w:t>
            </w:r>
          </w:p>
        </w:tc>
        <w:tc>
          <w:tcPr>
            <w:tcW w:type="dxa" w:w="2351"/>
          </w:tcPr>
          <w:p>
            <w:pPr>
              <w:spacing w:after="40"/>
              <w:jc w:val="center"/>
            </w:pPr>
            <w:r/>
            <w:r>
              <w:rPr>
                <w:sz w:val="18"/>
              </w:rPr>
              <w:t>Demographics, performance status, labs</w:t>
            </w:r>
          </w:p>
        </w:tc>
      </w:tr>
      <w:tr>
        <w:tc>
          <w:tcPr>
            <w:tcW w:type="dxa" w:w="2351"/>
          </w:tcPr>
          <w:p>
            <w:pPr>
              <w:spacing w:after="40"/>
              <w:jc w:val="left"/>
            </w:pPr>
            <w:r/>
            <w:r>
              <w:rPr>
                <w:b/>
                <w:sz w:val="18"/>
              </w:rPr>
              <w:t>NLP embedding (new)</w:t>
            </w:r>
          </w:p>
        </w:tc>
        <w:tc>
          <w:tcPr>
            <w:tcW w:type="dxa" w:w="2351"/>
          </w:tcPr>
          <w:p>
            <w:pPr>
              <w:spacing w:after="40"/>
              <w:jc w:val="center"/>
            </w:pPr>
            <w:r/>
            <w:r>
              <w:rPr>
                <w:sz w:val="18"/>
              </w:rPr>
              <w:t>all-MiniLM-L6-v2</w:t>
            </w:r>
          </w:p>
        </w:tc>
        <w:tc>
          <w:tcPr>
            <w:tcW w:type="dxa" w:w="2351"/>
          </w:tcPr>
          <w:p>
            <w:pPr>
              <w:spacing w:after="40"/>
              <w:jc w:val="center"/>
            </w:pPr>
            <w:r/>
            <w:r>
              <w:rPr>
                <w:sz w:val="18"/>
              </w:rPr>
              <w:t>384</w:t>
            </w:r>
          </w:p>
        </w:tc>
        <w:tc>
          <w:tcPr>
            <w:tcW w:type="dxa" w:w="2351"/>
          </w:tcPr>
          <w:p>
            <w:pPr>
              <w:spacing w:after="40"/>
              <w:jc w:val="center"/>
            </w:pPr>
            <w:r/>
            <w:r>
              <w:rPr>
                <w:sz w:val="18"/>
              </w:rPr>
              <w:t>Sentence embedding of clinical lab text</w:t>
            </w:r>
          </w:p>
        </w:tc>
      </w:tr>
      <w:tr>
        <w:tc>
          <w:tcPr>
            <w:tcW w:type="dxa" w:w="2351"/>
          </w:tcPr>
          <w:p>
            <w:pPr>
              <w:spacing w:after="40"/>
              <w:jc w:val="left"/>
            </w:pPr>
            <w:r/>
            <w:r>
              <w:rPr>
                <w:b/>
                <w:sz w:val="18"/>
              </w:rPr>
              <w:t>NLP-PCA16 (new)</w:t>
            </w:r>
          </w:p>
        </w:tc>
        <w:tc>
          <w:tcPr>
            <w:tcW w:type="dxa" w:w="2351"/>
          </w:tcPr>
          <w:p>
            <w:pPr>
              <w:spacing w:after="40"/>
              <w:jc w:val="center"/>
            </w:pPr>
            <w:r/>
            <w:r>
              <w:rPr>
                <w:sz w:val="18"/>
              </w:rPr>
              <w:t>PCA of NLP</w:t>
            </w:r>
          </w:p>
        </w:tc>
        <w:tc>
          <w:tcPr>
            <w:tcW w:type="dxa" w:w="2351"/>
          </w:tcPr>
          <w:p>
            <w:pPr>
              <w:spacing w:after="40"/>
              <w:jc w:val="center"/>
            </w:pPr>
            <w:r/>
            <w:r>
              <w:rPr>
                <w:sz w:val="18"/>
              </w:rPr>
              <w:t>16</w:t>
            </w:r>
          </w:p>
        </w:tc>
        <w:tc>
          <w:tcPr>
            <w:tcW w:type="dxa" w:w="2351"/>
          </w:tcPr>
          <w:p>
            <w:pPr>
              <w:spacing w:after="40"/>
              <w:jc w:val="center"/>
            </w:pPr>
            <w:r/>
            <w:r>
              <w:rPr>
                <w:sz w:val="18"/>
              </w:rPr>
              <w:t>PCA-compressed NLP (approx. 94% variance)</w:t>
            </w:r>
          </w:p>
        </w:tc>
      </w:tr>
    </w:tbl>
    <w:p>
      <w:pPr>
        <w:spacing w:after="80"/>
      </w:pPr>
    </w:p>
    <w:p>
      <w:pPr>
        <w:pStyle w:val="Heading2"/>
      </w:pPr>
      <w:r>
        <w:t>2.3. NLP Encoding of Tabular Clinical Features</w:t>
      </w:r>
    </w:p>
    <w:p>
      <w:r>
        <w:t>Standard encoding of clinical variables as a 13-dimensional numeric vector treats each feature independently and loses contextual relationships between variables (e.g., an elderly patient with low albumin and ECOG 2 implies a different prognosis than the same values in isolation). To capture inter-feature context, we converted each patient's clinical profile into an English-language sentence and extracted a dense semantic embedding.</w:t>
      </w:r>
    </w:p>
    <w:p>
      <w:r>
        <w:rPr>
          <w:b/>
        </w:rPr>
        <w:t>Text prompt construction.</w:t>
      </w:r>
      <w:r>
        <w:t xml:space="preserve"> For each patient, the 13 clinical variables were formatted into a structured natural-language sentence, for example: “The patient is a 69-year-old. Smoking history in pack-years is 48.0. ECOG performance status is 1.0. Blood albumin concentration is 4.00. Derived neutrophil-to-lymphocyte ratio (dNLR) is 2.40. Initial tumor burden stands at 52.00. The patient is diagnosed with adenocarcinoma at the lung site. Metastatic status: without brain metastasis and without liver metastasis. Currently undergoing therapy line 2, utilizing combination therapy. The patient received prior PD-L1 immunotherapy.” Binary variables were expanded to descriptive phrases to exploit the pretrained vocabulary of the encoder.</w:t>
      </w:r>
    </w:p>
    <w:p>
      <w:r>
        <w:rPr>
          <w:b/>
        </w:rPr>
        <w:t>Sentence encoder.</w:t>
      </w:r>
      <w:r>
        <w:t xml:space="preserve"> Prompts were encoded with sentence-transformers/all-MiniLM-L6-v2 </w:t>
      </w:r>
      <w:r>
        <w:t>[</w:t>
      </w:r>
      <w:hyperlink w:anchor="ref_16" w:history="1">
        <w:r>
          <w:rPr>
            <w:color w:val="0563C1"/>
          </w:rPr>
          <w:t>16</w:t>
        </w:r>
      </w:hyperlink>
      <w:r>
        <w:t>,</w:t>
      </w:r>
      <w:hyperlink w:anchor="ref_17" w:history="1">
        <w:r>
          <w:rPr>
            <w:color w:val="0563C1"/>
          </w:rPr>
          <w:t>17</w:t>
        </w:r>
      </w:hyperlink>
      <w:r>
        <w:t>]</w:t>
      </w:r>
      <w:r>
        <w:t xml:space="preserve">, a 6-layer transformer distilled for semantic sentence similarity and trained on over one billion sentence pairs. Each patient was represented as a 384-dimensional L2-normalised vector. No fine-tuning was performed; the model was applied in zero-shot transfer. We compared this general-purpose encoder against the domain-specific Bio_ClinicalBERT </w:t>
      </w:r>
      <w:r>
        <w:t>[</w:t>
      </w:r>
      <w:hyperlink w:anchor="ref_18" w:history="1">
        <w:r>
          <w:rPr>
            <w:color w:val="0563C1"/>
          </w:rPr>
          <w:t>18</w:t>
        </w:r>
      </w:hyperlink>
      <w:r>
        <w:t>]</w:t>
      </w:r>
      <w:r>
        <w:t>; the domain-specific model performed inferiorly (ΔAUC = −0.012 versus MiniLM-L6-v2 in the IHC-A arm), consistent with its design for masked language modelling rather than sentence-similarity tasks.</w:t>
      </w:r>
    </w:p>
    <w:p>
      <w:r>
        <w:rPr>
          <w:b/>
        </w:rPr>
        <w:t>Dimensionality reduction.</w:t>
      </w:r>
      <w:r>
        <w:t xml:space="preserve"> Principal component analysis (PCA) was applied to the 384-dimensional embeddings, retaining the top 16 components (≈94% of variance explained). Both the raw 384-dimensional (</w:t>
      </w:r>
      <w:r>
        <w:rPr>
          <w:i/>
        </w:rPr>
        <w:t>NLP raw</w:t>
      </w:r>
      <w:r>
        <w:t>) and PCA-compressed 16-dimensional (</w:t>
      </w:r>
      <w:r>
        <w:rPr>
          <w:i/>
        </w:rPr>
        <w:t>NLP-PCA16</w:t>
      </w:r>
      <w:r>
        <w:t>) variants were evaluated. Crucially, the NLP modality was passed to the model with the RobustScaler disabled (no_scale=True), as the embeddings are already L2-normalised and scaling would distort the cosine-similarity geometry of the embedding space.</w:t>
      </w:r>
    </w:p>
    <w:p>
      <w:pPr>
        <w:spacing w:before="200"/>
        <w:jc w:val="center"/>
      </w:pPr>
      <w:r>
        <w:drawing>
          <wp:inline xmlns:a="http://schemas.openxmlformats.org/drawingml/2006/main" xmlns:pic="http://schemas.openxmlformats.org/drawingml/2006/picture">
            <wp:extent cx="5486400" cy="5118225"/>
            <wp:docPr id="2" name="Picture 2"/>
            <wp:cNvGraphicFramePr>
              <a:graphicFrameLocks noChangeAspect="1"/>
            </wp:cNvGraphicFramePr>
            <a:graphic>
              <a:graphicData uri="http://schemas.openxmlformats.org/drawingml/2006/picture">
                <pic:pic>
                  <pic:nvPicPr>
                    <pic:cNvPr id="0" name="fig2_nlp_pipeline_demo.png"/>
                    <pic:cNvPicPr/>
                  </pic:nvPicPr>
                  <pic:blipFill>
                    <a:blip r:embed="rId10"/>
                    <a:stretch>
                      <a:fillRect/>
                    </a:stretch>
                  </pic:blipFill>
                  <pic:spPr>
                    <a:xfrm>
                      <a:off x="0" y="0"/>
                      <a:ext cx="5486400" cy="5118225"/>
                    </a:xfrm>
                    <a:prstGeom prst="rect"/>
                  </pic:spPr>
                </pic:pic>
              </a:graphicData>
            </a:graphic>
          </wp:inline>
        </w:drawing>
      </w:r>
    </w:p>
    <w:p>
      <w:pPr>
        <w:spacing w:after="200"/>
      </w:pPr>
      <w:r>
        <w:rPr>
          <w:b/>
          <w:sz w:val="19"/>
        </w:rPr>
        <w:t>Figure 2.</w:t>
      </w:r>
      <w:r>
        <w:rPr>
          <w:sz w:val="19"/>
        </w:rPr>
        <w:t xml:space="preserve"> NLP-based encoding of structured clinical features. Thirteen numeric clinical variables per patient are converted into a natural-language sentence describing the patient's clinical profile (example shown), which is then encoded into a 384-dimensional embedding using a pretrained sentence transformer (all-MiniLM-L6-v2). The 384-dimensional embedding (“NLP raw”) is used directly, or further reduced to 16 dimensions via PCA (“NLP-PCA16”, retaining ≈94% of variance) prior to fusion with other modalities. no_scale=True is applied to NLP embeddings to preserve their cosine-normalised geometry.</w:t>
      </w:r>
    </w:p>
    <w:p>
      <w:pPr>
        <w:pStyle w:val="Heading2"/>
      </w:pPr>
      <w:r>
        <w:t>2.4. Model Architecture</w:t>
      </w:r>
    </w:p>
    <w:p>
      <w:r>
        <w:rPr>
          <w:b/>
        </w:rPr>
        <w:t>Dynamic Attention Multimodal (DyAM) model.</w:t>
      </w:r>
      <w:r>
        <w:t xml:space="preserve"> The base model, DyAM </w:t>
      </w:r>
      <w:r>
        <w:t>[</w:t>
      </w:r>
      <w:hyperlink w:anchor="ref_15" w:history="1">
        <w:r>
          <w:rPr>
            <w:color w:val="0563C1"/>
          </w:rPr>
          <w:t>15</w:t>
        </w:r>
      </w:hyperlink>
      <w:r>
        <w:t>]</w:t>
      </w:r>
      <w:r>
        <w:t xml:space="preserve">, fuses </w:t>
      </w:r>
      <m:oMath>
        <m:r>
          <m:t xml:space="preserve">N</m:t>
        </m:r>
      </m:oMath>
      <w:r>
        <w:t xml:space="preserve"> modalities through per-modality risk scores and a learned attention mechanism, in the spirit of attention-based architectures broadly </w:t>
      </w:r>
      <w:r>
        <w:t>[</w:t>
      </w:r>
      <w:hyperlink w:anchor="ref_21" w:history="1">
        <w:r>
          <w:rPr>
            <w:color w:val="0563C1"/>
          </w:rPr>
          <w:t>21</w:t>
        </w:r>
      </w:hyperlink>
      <w:r>
        <w:t>]</w:t>
      </w:r>
      <w:r>
        <w:t xml:space="preserve">. Let </w:t>
      </w:r>
      <m:oMath>
        <m:sSub>
          <m:e>
            <m:r>
              <m:t xml:space="preserve">x</m:t>
            </m:r>
          </m:e>
          <m:sub>
            <m:r>
              <m:t xml:space="preserve">i</m:t>
            </m:r>
          </m:sub>
        </m:sSub>
        <m:r>
          <m:t xml:space="preserve"> ∈ </m:t>
        </m:r>
        <m:sSup>
          <m:e>
            <m:r>
              <m:t xml:space="preserve">ℝ</m:t>
            </m:r>
          </m:e>
          <m:sup>
            <m:sSub>
              <m:e>
                <m:r>
                  <m:t xml:space="preserve">d</m:t>
                </m:r>
              </m:e>
              <m:sub>
                <m:r>
                  <m:t xml:space="preserve">i</m:t>
                </m:r>
              </m:sub>
            </m:sSub>
          </m:sup>
        </m:sSup>
      </m:oMath>
      <w:r>
        <w:t xml:space="preserve"> denote the feature vector of modality </w:t>
      </w:r>
      <m:oMath>
        <m:r>
          <m:t xml:space="preserve">i</m:t>
        </m:r>
      </m:oMath>
      <w:r>
        <w:t xml:space="preserve"> after optional RobustScaling. A scalar risk score is computed as:</w:t>
      </w:r>
    </w:p>
    <w:p>
      <w:pPr>
        <w:tabs>
          <w:tab w:pos="4535" w:val="center"/>
          <w:tab w:pos="9071" w:val="right"/>
        </w:tabs>
        <w:spacing w:before="80" w:after="160"/>
      </w:pPr>
      <w:r>
        <w:tab/>
      </w:r>
      <m:oMath>
        <m:sSub>
          <m:e>
            <m:r>
              <m:t xml:space="preserve">r</m:t>
            </m:r>
          </m:e>
          <m:sub>
            <m:r>
              <m:t xml:space="preserve">i</m:t>
            </m:r>
          </m:sub>
        </m:sSub>
        <m:r>
          <m:t xml:space="preserve"> = </m:t>
        </m:r>
        <m:func>
          <m:fName>
            <m:r>
              <m:rPr>
                <m:sty m:val="p"/>
              </m:rPr>
              <m:t xml:space="preserve">tanh</m:t>
            </m:r>
          </m:fName>
          <m:e>
            <m:sSubSup>
              <m:e>
                <m:r>
                  <m:t xml:space="preserve">W</m:t>
                </m:r>
              </m:e>
              <m:sub>
                <m:r>
                  <m:t xml:space="preserve">r,i</m:t>
                </m:r>
              </m:sub>
              <m:sup>
                <m:r>
                  <m:t xml:space="preserve">T</m:t>
                </m:r>
              </m:sup>
            </m:sSubSup>
            <m:r>
              <m:t xml:space="preserve"> </m:t>
            </m:r>
            <m:sSub>
              <m:e>
                <m:r>
                  <m:t xml:space="preserve">x</m:t>
                </m:r>
              </m:e>
              <m:sub>
                <m:r>
                  <m:t xml:space="preserve">i</m:t>
                </m:r>
              </m:sub>
            </m:sSub>
          </m:e>
        </m:func>
      </m:oMath>
      <w:r>
        <w:tab/>
        <w:t>(1)</w:t>
      </w:r>
    </w:p>
    <w:p>
      <w:r>
        <w:t xml:space="preserve">where </w:t>
      </w:r>
      <m:oMath>
        <m:sSub>
          <m:e>
            <m:r>
              <m:t xml:space="preserve">W</m:t>
            </m:r>
          </m:e>
          <m:sub>
            <m:r>
              <m:t xml:space="preserve">r,i</m:t>
            </m:r>
          </m:sub>
        </m:sSub>
        <m:r>
          <m:t xml:space="preserve"> ∈ </m:t>
        </m:r>
        <m:sSup>
          <m:e>
            <m:r>
              <m:t xml:space="preserve">ℝ</m:t>
            </m:r>
          </m:e>
          <m:sup>
            <m:sSub>
              <m:e>
                <m:r>
                  <m:t xml:space="preserve">d</m:t>
                </m:r>
              </m:e>
              <m:sub>
                <m:r>
                  <m:t xml:space="preserve">i</m:t>
                </m:r>
              </m:sub>
            </m:sSub>
          </m:sup>
        </m:sSup>
      </m:oMath>
      <w:r>
        <w:t xml:space="preserve"> are learnable weights. An attention score is produced by an </w:t>
      </w:r>
      <m:oMath>
        <m:r>
          <m:t xml:space="preserve">N × N</m:t>
        </m:r>
      </m:oMath>
      <w:r>
        <w:t xml:space="preserve"> grid of linear layers with softplus activation, </w:t>
      </w:r>
      <m:oMath>
        <m:sSub>
          <m:e>
            <m:r>
              <m:t xml:space="preserve">ℓ</m:t>
            </m:r>
          </m:e>
          <m:sub>
            <m:r>
              <m:t xml:space="preserve">2</m:t>
            </m:r>
          </m:sub>
        </m:sSub>
      </m:oMath>
      <w:r>
        <w:t>-normalised by the modality vector norm:</w:t>
      </w:r>
    </w:p>
    <w:p>
      <w:pPr>
        <w:tabs>
          <w:tab w:pos="4535" w:val="center"/>
          <w:tab w:pos="9071" w:val="right"/>
        </w:tabs>
        <w:spacing w:before="80" w:after="160"/>
      </w:pPr>
      <w:r>
        <w:tab/>
      </w:r>
      <m:oMath>
        <m:sSub>
          <m:e>
            <m:r>
              <m:t xml:space="preserve">s</m:t>
            </m:r>
          </m:e>
          <m:sub>
            <m:r>
              <m:t xml:space="preserve">i</m:t>
            </m:r>
          </m:sub>
        </m:sSub>
        <m:r>
          <m:t xml:space="preserve"> = </m:t>
        </m:r>
        <m:f>
          <m:fPr/>
          <m:num>
            <m:func>
              <m:fName>
                <m:r>
                  <m:rPr>
                    <m:sty m:val="p"/>
                  </m:rPr>
                  <m:t xml:space="preserve">softplus</m:t>
                </m:r>
              </m:fName>
              <m:e>
                <m:sSubSup>
                  <m:e>
                    <m:r>
                      <m:t xml:space="preserve">W</m:t>
                    </m:r>
                  </m:e>
                  <m:sub>
                    <m:r>
                      <m:t xml:space="preserve">a,ij</m:t>
                    </m:r>
                  </m:sub>
                  <m:sup>
                    <m:r>
                      <m:t xml:space="preserve">T</m:t>
                    </m:r>
                  </m:sup>
                </m:sSubSup>
                <m:r>
                  <m:t xml:space="preserve"> </m:t>
                </m:r>
                <m:sSub>
                  <m:e>
                    <m:r>
                      <m:t xml:space="preserve">x</m:t>
                    </m:r>
                  </m:e>
                  <m:sub>
                    <m:r>
                      <m:t xml:space="preserve">i</m:t>
                    </m:r>
                  </m:sub>
                </m:sSub>
              </m:e>
            </m:func>
          </m:num>
          <m:den>
            <m:sSub>
              <m:e>
                <m:d>
                  <m:dPr>
                    <m:begChr m:val="‖"/>
                    <m:endChr m:val="‖"/>
                  </m:dPr>
                  <m:e>
                    <m:sSub>
                      <m:e>
                        <m:r>
                          <m:t xml:space="preserve">x</m:t>
                        </m:r>
                      </m:e>
                      <m:sub>
                        <m:r>
                          <m:t xml:space="preserve">i</m:t>
                        </m:r>
                      </m:sub>
                    </m:sSub>
                  </m:e>
                </m:d>
              </m:e>
              <m:sub>
                <m:r>
                  <m:t xml:space="preserve">2</m:t>
                </m:r>
              </m:sub>
            </m:sSub>
          </m:den>
        </m:f>
      </m:oMath>
      <w:r>
        <w:tab/>
        <w:t>(2)</w:t>
      </w:r>
    </w:p>
    <w:p>
      <w:r>
        <w:t>Attention weights are obtained by L1 normalisation across modalities:</w:t>
      </w:r>
    </w:p>
    <w:p>
      <w:pPr>
        <w:tabs>
          <w:tab w:pos="4535" w:val="center"/>
          <w:tab w:pos="9071" w:val="right"/>
        </w:tabs>
        <w:spacing w:before="80" w:after="160"/>
      </w:pPr>
      <w:r>
        <w:tab/>
      </w:r>
      <m:oMath>
        <m:sSub>
          <m:e>
            <m:r>
              <m:t xml:space="preserve">a</m:t>
            </m:r>
          </m:e>
          <m:sub>
            <m:r>
              <m:t xml:space="preserve">i</m:t>
            </m:r>
          </m:sub>
        </m:sSub>
        <m:r>
          <m:t xml:space="preserve"> = </m:t>
        </m:r>
        <m:f>
          <m:fPr/>
          <m:num>
            <m:sSub>
              <m:e>
                <m:r>
                  <m:t xml:space="preserve">s</m:t>
                </m:r>
              </m:e>
              <m:sub>
                <m:r>
                  <m:t xml:space="preserve">i</m:t>
                </m:r>
              </m:sub>
            </m:sSub>
          </m:num>
          <m:den>
            <m:nary>
              <m:naryPr>
                <m:chr m:val="∑"/>
                <m:limLoc m:val="subSup"/>
                <m:grow>
                  <m:val m:val="1"/>
                </m:grow>
              </m:naryPr>
              <m:sub>
                <m:r>
                  <m:t xml:space="preserve">j = 1</m:t>
                </m:r>
              </m:sub>
              <m:sup>
                <m:r>
                  <m:t xml:space="preserve">N</m:t>
                </m:r>
              </m:sup>
              <m:e>
                <m:sSub>
                  <m:e>
                    <m:r>
                      <m:t xml:space="preserve">s</m:t>
                    </m:r>
                  </m:e>
                  <m:sub>
                    <m:r>
                      <m:t xml:space="preserve">j</m:t>
                    </m:r>
                  </m:sub>
                </m:sSub>
              </m:e>
            </m:nary>
          </m:den>
        </m:f>
      </m:oMath>
      <w:r>
        <w:tab/>
        <w:t>(3)</w:t>
      </w:r>
    </w:p>
    <w:p>
      <w:r>
        <w:rPr>
          <w:b/>
        </w:rPr>
        <w:t>OvO competitive attention.</w:t>
      </w:r>
      <w:r>
        <w:t xml:space="preserve"> We propose an alternative attention mechanism inspired by one-versus-others (OvO) classification </w:t>
      </w:r>
      <w:r>
        <w:t>[</w:t>
      </w:r>
      <w:hyperlink w:anchor="ref_22" w:history="1">
        <w:r>
          <w:rPr>
            <w:color w:val="0563C1"/>
          </w:rPr>
          <w:t>22</w:t>
        </w:r>
      </w:hyperlink>
      <w:r>
        <w:t>]</w:t>
      </w:r>
      <w:r>
        <w:t xml:space="preserve">, in which each modality </w:t>
      </w:r>
      <w:r>
        <w:rPr>
          <w:i/>
        </w:rPr>
        <w:t>competes</w:t>
      </w:r>
      <w:r>
        <w:t xml:space="preserve"> against the mean score of all remaining modalities rather than sharing a fixed budget. The mean score of the </w:t>
      </w:r>
      <m:oMath>
        <m:r>
          <m:t xml:space="preserve">N − 1</m:t>
        </m:r>
      </m:oMath>
      <w:r>
        <w:t xml:space="preserve"> competing modalities is:</w:t>
      </w:r>
    </w:p>
    <w:p>
      <w:pPr>
        <w:tabs>
          <w:tab w:pos="4535" w:val="center"/>
          <w:tab w:pos="9071" w:val="right"/>
        </w:tabs>
        <w:spacing w:before="80" w:after="160"/>
      </w:pPr>
      <w:r>
        <w:tab/>
      </w:r>
      <m:oMath>
        <m:sSub>
          <m:e>
            <m:r>
              <m:t xml:space="preserve">μ</m:t>
            </m:r>
          </m:e>
          <m:sub>
            <m:r>
              <m:t xml:space="preserve">−i</m:t>
            </m:r>
          </m:sub>
        </m:sSub>
        <m:r>
          <m:t xml:space="preserve"> = </m:t>
        </m:r>
        <m:f>
          <m:fPr/>
          <m:num>
            <m:r>
              <m:t xml:space="preserve">1</m:t>
            </m:r>
          </m:num>
          <m:den>
            <m:r>
              <m:t xml:space="preserve">N − 1</m:t>
            </m:r>
          </m:den>
        </m:f>
        <m:nary>
          <m:naryPr>
            <m:chr m:val="∑"/>
            <m:limLoc m:val="subSup"/>
            <m:grow>
              <m:val m:val="1"/>
            </m:grow>
          </m:naryPr>
          <m:sub>
            <m:r>
              <m:t xml:space="preserve">j ≠ i</m:t>
            </m:r>
          </m:sub>
          <m:e>
            <m:sSub>
              <m:e>
                <m:r>
                  <m:t xml:space="preserve">s</m:t>
                </m:r>
              </m:e>
              <m:sub>
                <m:r>
                  <m:t xml:space="preserve">j</m:t>
                </m:r>
              </m:sub>
            </m:sSub>
          </m:e>
        </m:nary>
      </m:oMath>
      <w:r>
        <w:tab/>
        <w:t>(4)</w:t>
      </w:r>
    </w:p>
    <w:p>
      <w:r>
        <w:t>and the OvO attention score is:</w:t>
      </w:r>
    </w:p>
    <w:p>
      <w:pPr>
        <w:tabs>
          <w:tab w:pos="4535" w:val="center"/>
          <w:tab w:pos="9071" w:val="right"/>
        </w:tabs>
        <w:spacing w:before="80" w:after="160"/>
      </w:pPr>
      <w:r>
        <w:tab/>
      </w:r>
      <m:oMath>
        <m:sSub>
          <m:e>
            <m:r>
              <m:t xml:space="preserve">ovo</m:t>
            </m:r>
          </m:e>
          <m:sub>
            <m:r>
              <m:t xml:space="preserve">i</m:t>
            </m:r>
          </m:sub>
        </m:sSub>
        <m:r>
          <m:t xml:space="preserve"> = σ</m:t>
        </m:r>
        <m:d>
          <m:dPr>
            <m:begChr m:val="("/>
            <m:endChr m:val=")"/>
          </m:dPr>
          <m:e>
            <m:sSub>
              <m:e>
                <m:r>
                  <m:t xml:space="preserve">s</m:t>
                </m:r>
              </m:e>
              <m:sub>
                <m:r>
                  <m:t xml:space="preserve">i</m:t>
                </m:r>
              </m:sub>
            </m:sSub>
            <m:r>
              <m:t xml:space="preserve"> − </m:t>
            </m:r>
            <m:sSub>
              <m:e>
                <m:r>
                  <m:t xml:space="preserve">μ</m:t>
                </m:r>
              </m:e>
              <m:sub>
                <m:r>
                  <m:t xml:space="preserve">−i</m:t>
                </m:r>
              </m:sub>
            </m:sSub>
          </m:e>
        </m:d>
        <m:r>
          <m:t xml:space="preserve">,    σ(z) = </m:t>
        </m:r>
        <m:sSup>
          <m:e>
            <m:d>
              <m:dPr>
                <m:begChr m:val="("/>
                <m:endChr m:val=")"/>
              </m:dPr>
              <m:e>
                <m:r>
                  <m:t xml:space="preserve">1 + </m:t>
                </m:r>
                <m:sSup>
                  <m:e>
                    <m:r>
                      <m:t xml:space="preserve">e</m:t>
                    </m:r>
                  </m:e>
                  <m:sup>
                    <m:r>
                      <m:t xml:space="preserve">−z</m:t>
                    </m:r>
                  </m:sup>
                </m:sSup>
              </m:e>
            </m:d>
          </m:e>
          <m:sup>
            <m:r>
              <m:t xml:space="preserve">−1</m:t>
            </m:r>
          </m:sup>
        </m:sSup>
      </m:oMath>
      <w:r>
        <w:tab/>
        <w:t>(5)</w:t>
      </w:r>
    </w:p>
    <w:p>
      <w:r>
        <w:t xml:space="preserve">The sigmoid function yields an independent probability that modality </w:t>
      </w:r>
      <m:oMath>
        <m:r>
          <m:t xml:space="preserve">i</m:t>
        </m:r>
      </m:oMath>
      <w:r>
        <w:t xml:space="preserve"> outperforms the others, rather than a jointly normalised score. After applying the binary missingness mask </w:t>
      </w:r>
      <m:oMath>
        <m:sSub>
          <m:e>
            <m:r>
              <m:t xml:space="preserve">m</m:t>
            </m:r>
          </m:e>
          <m:sub>
            <m:r>
              <m:t xml:space="preserve">i</m:t>
            </m:r>
          </m:sub>
        </m:sSub>
        <m:r>
          <m:t xml:space="preserve"> ∈ </m:t>
        </m:r>
        <m:d>
          <m:dPr>
            <m:begChr m:val="{"/>
            <m:endChr m:val="}"/>
          </m:dPr>
          <m:e>
            <m:r>
              <m:t xml:space="preserve">0,1</m:t>
            </m:r>
          </m:e>
        </m:d>
      </m:oMath>
      <w:r>
        <w:t xml:space="preserve">, the weights are L1-normalised: </w:t>
      </w:r>
      <m:oMath>
        <m:sSub>
          <m:e>
            <m:r>
              <m:t xml:space="preserve">a</m:t>
            </m:r>
          </m:e>
          <m:sub>
            <m:r>
              <m:t xml:space="preserve">i</m:t>
            </m:r>
          </m:sub>
        </m:sSub>
        <m:r>
          <m:t xml:space="preserve"> = </m:t>
        </m:r>
        <m:f>
          <m:fPr/>
          <m:num>
            <m:sSub>
              <m:e>
                <m:r>
                  <m:t xml:space="preserve">ovo</m:t>
                </m:r>
              </m:e>
              <m:sub>
                <m:r>
                  <m:t xml:space="preserve">i</m:t>
                </m:r>
              </m:sub>
            </m:sSub>
            <m:r>
              <m:t xml:space="preserve"> · </m:t>
            </m:r>
            <m:sSub>
              <m:e>
                <m:r>
                  <m:t xml:space="preserve">m</m:t>
                </m:r>
              </m:e>
              <m:sub>
                <m:r>
                  <m:t xml:space="preserve">i</m:t>
                </m:r>
              </m:sub>
            </m:sSub>
          </m:num>
          <m:den>
            <m:nary>
              <m:naryPr>
                <m:chr m:val="∑"/>
                <m:limLoc m:val="subSup"/>
                <m:grow>
                  <m:val m:val="1"/>
                </m:grow>
              </m:naryPr>
              <m:sub>
                <m:r>
                  <m:t xml:space="preserve">j</m:t>
                </m:r>
              </m:sub>
              <m:e>
                <m:sSub>
                  <m:e>
                    <m:r>
                      <m:t xml:space="preserve">ovo</m:t>
                    </m:r>
                  </m:e>
                  <m:sub>
                    <m:r>
                      <m:t xml:space="preserve">j</m:t>
                    </m:r>
                  </m:sub>
                </m:sSub>
                <m:r>
                  <m:t xml:space="preserve"> · </m:t>
                </m:r>
                <m:sSub>
                  <m:e>
                    <m:r>
                      <m:t xml:space="preserve">m</m:t>
                    </m:r>
                  </m:e>
                  <m:sub>
                    <m:r>
                      <m:t xml:space="preserve">j</m:t>
                    </m:r>
                  </m:sub>
                </m:sSub>
              </m:e>
            </m:nary>
          </m:den>
        </m:f>
      </m:oMath>
      <w:r>
        <w:t>.</w:t>
      </w:r>
    </w:p>
    <w:p>
      <w:r>
        <w:rPr>
          <w:b/>
        </w:rPr>
        <w:t>Fused prediction and training.</w:t>
      </w:r>
      <w:r>
        <w:t xml:space="preserve"> For both variants, the final risk prediction is:</w:t>
      </w:r>
    </w:p>
    <w:p>
      <w:pPr>
        <w:tabs>
          <w:tab w:pos="4535" w:val="center"/>
          <w:tab w:pos="9071" w:val="right"/>
        </w:tabs>
        <w:spacing w:before="80" w:after="160"/>
      </w:pPr>
      <w:r>
        <w:tab/>
      </w:r>
      <m:oMath>
        <m:acc>
          <m:accPr>
            <m:chr m:val="̂"/>
          </m:accPr>
          <m:e>
            <m:r>
              <m:t xml:space="preserve">y</m:t>
            </m:r>
          </m:e>
        </m:acc>
        <m:r>
          <m:t xml:space="preserve"> = </m:t>
        </m:r>
        <m:nary>
          <m:naryPr>
            <m:chr m:val="∑"/>
            <m:limLoc m:val="subSup"/>
            <m:grow>
              <m:val m:val="1"/>
            </m:grow>
          </m:naryPr>
          <m:sub>
            <m:r>
              <m:t xml:space="preserve">i = 1</m:t>
            </m:r>
          </m:sub>
          <m:sup>
            <m:r>
              <m:t xml:space="preserve">N</m:t>
            </m:r>
          </m:sup>
          <m:e>
            <m:sSub>
              <m:e>
                <m:r>
                  <m:t xml:space="preserve">r</m:t>
                </m:r>
              </m:e>
              <m:sub>
                <m:r>
                  <m:t xml:space="preserve">i</m:t>
                </m:r>
              </m:sub>
            </m:sSub>
            <m:r>
              <m:t xml:space="preserve"> · </m:t>
            </m:r>
            <m:sSub>
              <m:e>
                <m:r>
                  <m:t xml:space="preserve">a</m:t>
                </m:r>
              </m:e>
              <m:sub>
                <m:r>
                  <m:t xml:space="preserve">i</m:t>
                </m:r>
              </m:sub>
            </m:sSub>
          </m:e>
        </m:nary>
      </m:oMath>
      <w:r>
        <w:tab/>
        <w:t>(6)</w:t>
      </w:r>
    </w:p>
    <w:p>
      <w:pPr>
        <w:spacing w:before="200"/>
        <w:jc w:val="center"/>
      </w:pPr>
      <w:r>
        <w:drawing>
          <wp:inline xmlns:a="http://schemas.openxmlformats.org/drawingml/2006/main" xmlns:pic="http://schemas.openxmlformats.org/drawingml/2006/picture">
            <wp:extent cx="5486400" cy="3311484"/>
            <wp:docPr id="3" name="Picture 3"/>
            <wp:cNvGraphicFramePr>
              <a:graphicFrameLocks noChangeAspect="1"/>
            </wp:cNvGraphicFramePr>
            <a:graphic>
              <a:graphicData uri="http://schemas.openxmlformats.org/drawingml/2006/picture">
                <pic:pic>
                  <pic:nvPicPr>
                    <pic:cNvPr id="0" name="fig_attention_arch_demo.png"/>
                    <pic:cNvPicPr/>
                  </pic:nvPicPr>
                  <pic:blipFill>
                    <a:blip r:embed="rId11"/>
                    <a:stretch>
                      <a:fillRect/>
                    </a:stretch>
                  </pic:blipFill>
                  <pic:spPr>
                    <a:xfrm>
                      <a:off x="0" y="0"/>
                      <a:ext cx="5486400" cy="3311484"/>
                    </a:xfrm>
                    <a:prstGeom prst="rect"/>
                  </pic:spPr>
                </pic:pic>
              </a:graphicData>
            </a:graphic>
          </wp:inline>
        </w:drawing>
      </w:r>
    </w:p>
    <w:p>
      <w:pPr>
        <w:spacing w:after="200"/>
      </w:pPr>
      <w:r>
        <w:rPr>
          <w:b/>
          <w:sz w:val="19"/>
        </w:rPr>
        <w:t>Figure 3.</w:t>
      </w:r>
      <w:r>
        <w:rPr>
          <w:sz w:val="19"/>
        </w:rPr>
        <w:t xml:space="preserve"> Architecture of the two attention mechanisms. Both variants compute a per-modality risk score </w:t>
      </w:r>
      <m:oMath>
        <m:sSub>
          <m:e>
            <m:r>
              <m:t xml:space="preserve">r</m:t>
            </m:r>
          </m:e>
          <m:sub>
            <m:r>
              <m:t xml:space="preserve">i</m:t>
            </m:r>
          </m:sub>
        </m:sSub>
        <m:r>
          <m:t xml:space="preserve"> = </m:t>
        </m:r>
        <m:func>
          <m:fName>
            <m:r>
              <m:rPr>
                <m:sty m:val="p"/>
              </m:rPr>
              <m:t xml:space="preserve">tanh</m:t>
            </m:r>
          </m:fName>
          <m:e>
            <m:sSubSup>
              <m:e>
                <m:r>
                  <m:t xml:space="preserve">W</m:t>
                </m:r>
              </m:e>
              <m:sub>
                <m:r>
                  <m:t xml:space="preserve">r,i</m:t>
                </m:r>
              </m:sub>
              <m:sup>
                <m:r>
                  <m:t xml:space="preserve">T</m:t>
                </m:r>
              </m:sup>
            </m:sSubSup>
            <m:r>
              <m:t xml:space="preserve"> </m:t>
            </m:r>
            <m:sSub>
              <m:e>
                <m:r>
                  <m:t xml:space="preserve">x</m:t>
                </m:r>
              </m:e>
              <m:sub>
                <m:r>
                  <m:t xml:space="preserve">i</m:t>
                </m:r>
              </m:sub>
            </m:sSub>
          </m:e>
        </m:func>
      </m:oMath>
      <w:r>
        <w:rPr>
          <w:sz w:val="19"/>
        </w:rPr>
        <w:t xml:space="preserve"> and produce the fused prediction </w:t>
      </w:r>
      <m:oMath>
        <m:acc>
          <m:accPr>
            <m:chr m:val="̂"/>
          </m:accPr>
          <m:e>
            <m:r>
              <m:t xml:space="preserve">y</m:t>
            </m:r>
          </m:e>
        </m:acc>
        <m:r>
          <m:t xml:space="preserve"> = </m:t>
        </m:r>
        <m:nary>
          <m:naryPr>
            <m:chr m:val="∑"/>
            <m:limLoc m:val="subSup"/>
            <m:grow>
              <m:val m:val="1"/>
            </m:grow>
          </m:naryPr>
          <m:sub>
            <m:r>
              <m:t xml:space="preserve">i</m:t>
            </m:r>
          </m:sub>
          <m:e>
            <m:sSub>
              <m:e>
                <m:r>
                  <m:t xml:space="preserve">r</m:t>
                </m:r>
              </m:e>
              <m:sub>
                <m:r>
                  <m:t xml:space="preserve">i</m:t>
                </m:r>
              </m:sub>
            </m:sSub>
            <m:r>
              <m:t xml:space="preserve"> · </m:t>
            </m:r>
            <m:sSub>
              <m:e>
                <m:r>
                  <m:t xml:space="preserve">a</m:t>
                </m:r>
              </m:e>
              <m:sub>
                <m:r>
                  <m:t xml:space="preserve">i</m:t>
                </m:r>
              </m:sub>
            </m:sSub>
          </m:e>
        </m:nary>
      </m:oMath>
      <w:r>
        <w:rPr>
          <w:sz w:val="19"/>
        </w:rPr>
        <w:t xml:space="preserve">; they differ only in how the attention weights </w:t>
      </w:r>
      <m:oMath>
        <m:sSub>
          <m:e>
            <m:r>
              <m:t xml:space="preserve">a</m:t>
            </m:r>
          </m:e>
          <m:sub>
            <m:r>
              <m:t xml:space="preserve">i</m:t>
            </m:r>
          </m:sub>
        </m:sSub>
      </m:oMath>
      <w:r>
        <w:rPr>
          <w:sz w:val="19"/>
        </w:rPr>
        <w:t xml:space="preserve"> are obtained. (A) Cooperative attention (AttentionMatrix): an </w:t>
      </w:r>
      <m:oMath>
        <m:r>
          <m:t xml:space="preserve">N × N</m:t>
        </m:r>
      </m:oMath>
      <w:r>
        <w:rPr>
          <w:sz w:val="19"/>
        </w:rPr>
        <w:t xml:space="preserve"> grid of linear layers with softplus activation produces pairwise scores that are column-summed into </w:t>
      </w:r>
      <m:oMath>
        <m:sSub>
          <m:e>
            <m:r>
              <m:t xml:space="preserve">s</m:t>
            </m:r>
          </m:e>
          <m:sub>
            <m:r>
              <m:t xml:space="preserve">j</m:t>
            </m:r>
          </m:sub>
        </m:sSub>
      </m:oMath>
      <w:r>
        <w:rPr>
          <w:sz w:val="19"/>
        </w:rPr>
        <w:t xml:space="preserve"> and L1-normalised so that the modalities share a fixed attention budget. (B) Competitive one-vs-others attention (AttentionMatrixOvO): each modality produces a single score </w:t>
      </w:r>
      <m:oMath>
        <m:sSub>
          <m:e>
            <m:r>
              <m:t xml:space="preserve">s</m:t>
            </m:r>
          </m:e>
          <m:sub>
            <m:r>
              <m:t xml:space="preserve">i</m:t>
            </m:r>
          </m:sub>
        </m:sSub>
      </m:oMath>
      <w:r>
        <w:rPr>
          <w:sz w:val="19"/>
        </w:rPr>
        <w:t xml:space="preserve"> that is compared against the mean score of the remaining modalities </w:t>
      </w:r>
      <m:oMath>
        <m:sSub>
          <m:e>
            <m:r>
              <m:t xml:space="preserve">μ</m:t>
            </m:r>
          </m:e>
          <m:sub>
            <m:r>
              <m:t xml:space="preserve">−i</m:t>
            </m:r>
          </m:sub>
        </m:sSub>
      </m:oMath>
      <w:r>
        <w:rPr>
          <w:sz w:val="19"/>
        </w:rPr>
        <w:t xml:space="preserve"> through a sigmoid, </w:t>
      </w:r>
      <m:oMath>
        <m:r>
          <m:t xml:space="preserve">σ</m:t>
        </m:r>
        <m:d>
          <m:dPr>
            <m:begChr m:val="("/>
            <m:endChr m:val=")"/>
          </m:dPr>
          <m:e>
            <m:sSub>
              <m:e>
                <m:r>
                  <m:t xml:space="preserve">s</m:t>
                </m:r>
              </m:e>
              <m:sub>
                <m:r>
                  <m:t xml:space="preserve">i</m:t>
                </m:r>
              </m:sub>
            </m:sSub>
            <m:r>
              <m:t xml:space="preserve"> − </m:t>
            </m:r>
            <m:sSub>
              <m:e>
                <m:r>
                  <m:t xml:space="preserve">μ</m:t>
                </m:r>
              </m:e>
              <m:sub>
                <m:r>
                  <m:t xml:space="preserve">−i</m:t>
                </m:r>
              </m:sub>
            </m:sSub>
          </m:e>
        </m:d>
      </m:oMath>
      <w:r>
        <w:rPr>
          <w:sz w:val="19"/>
        </w:rPr>
        <w:t xml:space="preserve">, yielding an independent competitive weight before L1 normalisation. Heatmap bars denote modality feature vectors; the diagram is drawn for </w:t>
      </w:r>
      <m:oMath>
        <m:r>
          <m:t xml:space="preserve">N = 4</m:t>
        </m:r>
      </m:oMath>
      <w:r>
        <w:rPr>
          <w:sz w:val="19"/>
        </w:rPr>
        <w:t xml:space="preserve"> modalities for clarity.</w:t>
      </w:r>
    </w:p>
    <w:p>
      <w:r>
        <w:t>The model was trained with binary cross-entropy loss (BCEWithLogitsLoss) with automatic inverse-frequency class weighting to address the ≈1:3 class imbalance, an ℓ2 penalty on the weights (coefficient α = 0.001); the attention-norm penalty was disabled (β = 0). The Adam optimiser was used with a learning rate of 0.01 for 125 epochs. All experiments used 10-fold cross-validation (shuffled, not stratified) on the discovery cohort; predictions were pooled across held-out folds for AUC computation.</w:t>
      </w:r>
    </w:p>
    <w:p>
      <w:pPr>
        <w:pStyle w:val="Heading2"/>
      </w:pPr>
      <w:r>
        <w:t>2.5. Statistical Analysis and Evaluation</w:t>
      </w:r>
    </w:p>
    <w:p>
      <w:r>
        <w:rPr>
          <w:b/>
        </w:rPr>
        <w:t>Discriminative performance.</w:t>
      </w:r>
      <w:r>
        <w:t xml:space="preserve"> Area under the receiver operating characteristic curve (AUC-ROC) was computed on pooled out-of-fold predictions from 10-fold cross-validation. Ninety-five percent confidence intervals (CIs) were estimated using the DeLong structural components method </w:t>
      </w:r>
      <w:r>
        <w:t>[</w:t>
      </w:r>
      <w:hyperlink w:anchor="ref_23" w:history="1">
        <w:r>
          <w:rPr>
            <w:color w:val="0563C1"/>
          </w:rPr>
          <w:t>23</w:t>
        </w:r>
      </w:hyperlink>
      <w:r>
        <w:t>]</w:t>
      </w:r>
      <w:r>
        <w:t>. All results come from a single 10-fold cross-validation partition (seed 42, natural patient order, the protocol of the original publication). Differences between models are reported as the difference in AUC and the number of configurations favouring each model. Because the cohort is small, hypothesis tests were not used to claim that one model is superior; DeLong intervals are reported for single AUC values.</w:t>
      </w:r>
    </w:p>
    <w:p>
      <w:r>
        <w:rPr>
          <w:b/>
        </w:rPr>
        <w:t>Survival analysis.</w:t>
      </w:r>
      <w:r>
        <w:t xml:space="preserve"> Harrell's concordance index (C-index) </w:t>
      </w:r>
      <w:r>
        <w:t>[</w:t>
      </w:r>
      <w:hyperlink w:anchor="ref_24" w:history="1">
        <w:r>
          <w:rPr>
            <w:color w:val="0563C1"/>
          </w:rPr>
          <w:t>24</w:t>
        </w:r>
      </w:hyperlink>
      <w:r>
        <w:t>]</w:t>
      </w:r>
      <w:r>
        <w:t xml:space="preserve"> was computed from pooled out-of-fold risk scores against PFS, from the same partition. Multivariate Cox proportional hazards regression was fitted with the DyAM risk score as the primary predictor, adjusted for five clinical covariates: age, ECOG performance status, serum albumin, dNLR, and liver metastasis status; hazard ratios are per unit of risk score. Time-dependent AUC (6, 12 and 18 months; cumulative/dynamic estimator </w:t>
      </w:r>
      <w:r>
        <w:t>[</w:t>
      </w:r>
      <w:hyperlink w:anchor="ref_25" w:history="1">
        <w:r>
          <w:rPr>
            <w:color w:val="0563C1"/>
          </w:rPr>
          <w:t>25</w:t>
        </w:r>
      </w:hyperlink>
      <w:r>
        <w:t>,</w:t>
      </w:r>
      <w:hyperlink w:anchor="ref_26" w:history="1">
        <w:r>
          <w:rPr>
            <w:color w:val="0563C1"/>
          </w:rPr>
          <w:t>26</w:t>
        </w:r>
      </w:hyperlink>
      <w:r>
        <w:t>]</w:t>
      </w:r>
      <w:r>
        <w:t>) was computed from the same partition (scikit-survival 0.28 with numpy 2.5.4 in a separate environment, from the stored out-of-fold risk scores).</w:t>
      </w:r>
    </w:p>
    <w:p>
      <w:r>
        <w:rPr>
          <w:b/>
        </w:rPr>
        <w:t>Kaplan–Meier survival stratification.</w:t>
      </w:r>
      <w:r>
        <w:t xml:space="preserve"> Patients were dichotomised at the median risk score, and PFS curves for the two groups were compared with the log-rank test. The log-rank χ² is reported with χ² &gt; 3.84 (p &lt; 0.05) and χ² &gt; 7.88 (p &lt; 0.005) as reference values.</w:t>
      </w:r>
    </w:p>
    <w:p>
      <w:r>
        <w:rPr>
          <w:b/>
        </w:rPr>
        <w:t>Software.</w:t>
      </w:r>
      <w:r>
        <w:t xml:space="preserve"> All numerical results in Tables 3–8 were computed in one pinned environment (Linux under WSL2, Ubuntu 22.04; Python 3.8.15, PyTorch 1.8.1 (CPU), scikit-learn 0.24.2, scipy 1.6.3, numpy 1.20.3, pandas 1.2.5, and lifelines 0.26.0 for Kaplan–Meier, Cox regression and the C-index). In this environment the original DyAM code reproduced the single-partition AUC of the original publication at its primary benchmark (0.798) to within one patient pair. The same code and library versions on another operating system gave AUCs that differed in the second or third decimal place, so results were never compared across platforms; the radiomics feature selection used the original procedure, without removal of degenerate columns. The sentence-encoder embeddings (MiniLM-L6-v2 and Bio_ClinicalBERT) were computed once in a separate environment and cached, and time-dependent AUC was computed from the stored out-of-fold risk scores with scikit-survival 0.28 (numpy 2.5.4).</w:t>
      </w:r>
    </w:p>
    <w:p>
      <w:pPr>
        <w:pStyle w:val="Heading1"/>
      </w:pPr>
      <w:r>
        <w:t>3. Results</w:t>
      </w:r>
    </w:p>
    <w:p>
      <w:r>
        <w:t>All results are from a single 10-fold cross-validation partition of the 247-patient discovery cohort (natural patient order, the evaluation protocol of the original DyAM publication). Because one partition can favour any model by chance, differences of the size reported below are described by direction and magnitude, and the confidence intervals reflect patient sampling only.</w:t>
      </w:r>
    </w:p>
    <w:p>
      <w:pPr>
        <w:pStyle w:val="Heading2"/>
      </w:pPr>
      <w:r>
        <w:t>3.1. Multimodal Fusion Outperforms Single-Modality Baselines</w:t>
      </w:r>
    </w:p>
    <w:p>
      <w:r>
        <w:t>Within the DyAM framework, models restricted to a single data source achieved AUC values of 0.615 (TMB), 0.606 (pathology IHC-A), 0.701 (CT radiomics), 0.676 (genomics), and 0.708 (PD-L1 TPS) on the discovery cohort. PD-L1 TPS was the strongest individual predictor among the biomarkers of routine clinical use, although CT radiomics was comparable.</w:t>
      </w:r>
    </w:p>
    <w:p>
      <w:r>
        <w:t>Fusing four data sources (CT radiomics, pathology IHC-A, genomics, and PD-L1 TPS) raised the AUC to 0.798 under the cooperative attention of the original framework, exceeding the best single source by 0.090 AUC; with IHC-G in place of IHC-A the four-source model reached 0.783 (95% CI 0.714–0.853), and adding NLP-encoded clinical variables raised the latter to 0.803 (0.738–0.868) (Table 6). Multimodal fusion is therefore the primary driver of predictive performance in this cohort, with no individual source approaching the discrimination of the fused model.</w:t>
      </w:r>
    </w:p>
    <w:p>
      <w:pPr>
        <w:pStyle w:val="Heading2"/>
      </w:pPr>
      <w:r>
        <w:t>3.2. NLP Encoding Improves AUC over Numeric Clinical Labs</w:t>
      </w:r>
    </w:p>
    <w:p>
      <w:r>
        <w:t>Seven clinical-encoding variants were evaluated under the DyAM architecture in two pathology arms (IHC-A: seven variants; IHC-G: four variants) (Tables 3 and 4; Figure 4). Relative to numeric labs, the NLP raw (384-dimensional) encoding raised the AUC by +0.018 in the IHC-A arm (0.786 vs. 0.768) and by +0.019 in the IHC-G arm (0.812 vs. 0.792); the PCA-compressed NLP variant gave +0.015 and +0.013. These differences are within the width of the confidence intervals (≈ 0.14), so they should be read as a consistent direction of modest size. The same advantage over numeric labs was present in the 21-configuration analysis for both attention mechanisms: in the two seven-source configurations that contain labs (Table 6, rows 20 and 21), replacing labs by the NLP encoding raised the AUC from 0.753 to 0.772 and from 0.781 to 0.803 for DyAM, and from 0.749 to 0.782 and from 0.794 to 0.824 for OvO.</w:t>
      </w:r>
    </w:p>
    <w:p>
      <w:r>
        <w:t>Comparison with no clinical information. The NLP raw encoding was above the no-clinical baseline by +0.014 in both arms (IHC-A: 0.786 vs. 0.772; IHC-G: 0.812 vs. 0.797), whereas numeric labs were slightly below it (−0.004 and −0.005). At BM2 of the 21-configuration analysis NLP was above BM1 (the configuration without clinical variables) by +0.020 for DyAM and +0.024 for OvO. These gains are small relative to the confidence intervals, so we base the main claim on NLP versus numeric labs and regard the benefit of NLP encoding over omitting clinical variables as small and not established in this cohort.</w:t>
      </w:r>
    </w:p>
    <w:p>
      <w:r>
        <w:t xml:space="preserve">Domain-specific versus general-purpose encoder. Bio_ClinicalBERT </w:t>
      </w:r>
      <w:r>
        <w:t>[</w:t>
      </w:r>
      <w:hyperlink w:anchor="ref_18" w:history="1">
        <w:r>
          <w:rPr>
            <w:color w:val="0563C1"/>
          </w:rPr>
          <w:t>18</w:t>
        </w:r>
      </w:hyperlink>
      <w:r>
        <w:t>]</w:t>
      </w:r>
      <w:r>
        <w:t>, PCA-compressed to 16 dimensions, reached 0.770 in the IHC-A arm, below MiniLM-L6-v2 with the same compression (0.784; ΔAUC = −0.014) and equal to numeric labs (0.768) and slightly below the no-clinical baseline (0.772; Supplementary Note S2), consistent with its pretraining objective of masked language modelling on clinical notes rather than semantic sentence similarity.</w:t>
      </w:r>
    </w:p>
    <w:p>
      <w:r>
        <w:t>Combined encoding. Concatenating numeric labs and the NLP encoding as separate sources (8 sources in total) did not improve on the NLP encoding alone (IHC-A: 0.784 for NLP-PCA16 alone vs. 0.767 for labs + NLP-PCA16), and with n/N = 247/8 ≈ 31 the attention weights are poorly determined. NLP encoding is therefore used as a replacement for, rather than an addition to, numeric clinical features.</w:t>
      </w:r>
    </w:p>
    <w:p>
      <w:pPr>
        <w:spacing w:before="200" w:after="80"/>
      </w:pPr>
      <w:r>
        <w:rPr>
          <w:b/>
          <w:sz w:val="19"/>
        </w:rPr>
        <w:t>Table 3.</w:t>
      </w:r>
      <w:r>
        <w:rPr>
          <w:sz w:val="19"/>
        </w:rPr>
        <w:t xml:space="preserve"> AUC comparison across clinical encoding strategies — IHC-A arm. All models use the DyAM architecture with CT radiomics (PC, PL, LN), pathology IHC-A, genomics, and PD-L1 TPS as base modalities; clinical encoding is the varied factor. Values are the AUC of a single 10-fold cross-validation partition (n = 247) with the DeLong 95% confidence interval. ΔAUC is the difference relative to the no-clinical baseline and to numeric labs. n/a, not applicable. NLP, natural language processing; PCA, principal component analysis.</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tcPr>
          <w:p>
            <w:pPr>
              <w:spacing w:after="40"/>
              <w:jc w:val="center"/>
            </w:pPr>
            <w:r/>
            <w:r>
              <w:rPr>
                <w:b/>
                <w:sz w:val="18"/>
              </w:rPr>
              <w:t>Model</w:t>
            </w:r>
          </w:p>
        </w:tc>
        <w:tc>
          <w:tcPr>
            <w:tcW w:type="dxa" w:w="2351"/>
          </w:tcPr>
          <w:p>
            <w:pPr>
              <w:spacing w:after="40"/>
              <w:jc w:val="center"/>
            </w:pPr>
            <w:r/>
            <w:r>
              <w:rPr>
                <w:b/>
                <w:sz w:val="18"/>
              </w:rPr>
              <w:t>AUC [95% CI]</w:t>
            </w:r>
          </w:p>
        </w:tc>
        <w:tc>
          <w:tcPr>
            <w:tcW w:type="dxa" w:w="2351"/>
          </w:tcPr>
          <w:p>
            <w:pPr>
              <w:spacing w:after="40"/>
              <w:jc w:val="center"/>
            </w:pPr>
            <w:r/>
            <w:r>
              <w:rPr>
                <w:b/>
                <w:sz w:val="18"/>
              </w:rPr>
              <w:t>Δ</w:t>
            </w:r>
            <w:r>
              <w:rPr>
                <w:b/>
                <w:sz w:val="18"/>
              </w:rPr>
              <w:t xml:space="preserve"> vs no clinical</w:t>
            </w:r>
          </w:p>
        </w:tc>
        <w:tc>
          <w:tcPr>
            <w:tcW w:type="dxa" w:w="2351"/>
          </w:tcPr>
          <w:p>
            <w:pPr>
              <w:spacing w:after="40"/>
              <w:jc w:val="center"/>
            </w:pPr>
            <w:r/>
            <w:r>
              <w:rPr>
                <w:b/>
                <w:sz w:val="18"/>
              </w:rPr>
              <w:t>Δ</w:t>
            </w:r>
            <w:r>
              <w:rPr>
                <w:b/>
                <w:sz w:val="18"/>
              </w:rPr>
              <w:t xml:space="preserve"> vs labs</w:t>
            </w:r>
          </w:p>
        </w:tc>
      </w:tr>
      <w:tr>
        <w:tc>
          <w:tcPr>
            <w:tcW w:type="dxa" w:w="2351"/>
          </w:tcPr>
          <w:p>
            <w:pPr>
              <w:spacing w:after="40"/>
              <w:jc w:val="left"/>
            </w:pPr>
            <w:r/>
            <w:r>
              <w:rPr>
                <w:sz w:val="18"/>
              </w:rPr>
              <w:t>No clinical (baseline)</w:t>
            </w:r>
          </w:p>
        </w:tc>
        <w:tc>
          <w:tcPr>
            <w:tcW w:type="dxa" w:w="2351"/>
          </w:tcPr>
          <w:p>
            <w:pPr>
              <w:spacing w:after="40"/>
              <w:jc w:val="center"/>
            </w:pPr>
            <w:r/>
            <w:r>
              <w:rPr>
                <w:sz w:val="18"/>
              </w:rPr>
              <w:t>0.772 [0.707, 0.838]</w:t>
            </w:r>
          </w:p>
        </w:tc>
        <w:tc>
          <w:tcPr>
            <w:tcW w:type="dxa" w:w="2351"/>
          </w:tcPr>
          <w:p>
            <w:pPr>
              <w:spacing w:after="40"/>
              <w:jc w:val="center"/>
            </w:pPr>
            <w:r/>
            <w:r>
              <w:rPr>
                <w:sz w:val="18"/>
              </w:rPr>
              <w:t>(ref)</w:t>
            </w:r>
          </w:p>
        </w:tc>
        <w:tc>
          <w:tcPr>
            <w:tcW w:type="dxa" w:w="2351"/>
          </w:tcPr>
          <w:p>
            <w:pPr>
              <w:spacing w:after="40"/>
              <w:jc w:val="center"/>
            </w:pPr>
            <w:r/>
            <w:r>
              <w:rPr>
                <w:sz w:val="18"/>
              </w:rPr>
              <w:t>n/a</w:t>
            </w:r>
          </w:p>
        </w:tc>
      </w:tr>
      <w:tr>
        <w:tc>
          <w:tcPr>
            <w:tcW w:type="dxa" w:w="2351"/>
          </w:tcPr>
          <w:p>
            <w:pPr>
              <w:spacing w:after="40"/>
              <w:jc w:val="left"/>
            </w:pPr>
            <w:r/>
            <w:r>
              <w:rPr>
                <w:sz w:val="18"/>
              </w:rPr>
              <w:t>+ Labs (13-dim numeric)</w:t>
            </w:r>
          </w:p>
        </w:tc>
        <w:tc>
          <w:tcPr>
            <w:tcW w:type="dxa" w:w="2351"/>
          </w:tcPr>
          <w:p>
            <w:pPr>
              <w:spacing w:after="40"/>
              <w:jc w:val="center"/>
            </w:pPr>
            <w:r/>
            <w:r>
              <w:rPr>
                <w:sz w:val="18"/>
              </w:rPr>
              <w:t>0.768 [0.701, 0.836]</w:t>
            </w:r>
          </w:p>
        </w:tc>
        <w:tc>
          <w:tcPr>
            <w:tcW w:type="dxa" w:w="2351"/>
          </w:tcPr>
          <w:p>
            <w:pPr>
              <w:spacing w:after="40"/>
              <w:jc w:val="center"/>
            </w:pPr>
            <w:r/>
            <w:r>
              <w:rPr>
                <w:sz w:val="18"/>
              </w:rPr>
              <w:t>−0.004</w:t>
            </w:r>
          </w:p>
        </w:tc>
        <w:tc>
          <w:tcPr>
            <w:tcW w:type="dxa" w:w="2351"/>
          </w:tcPr>
          <w:p>
            <w:pPr>
              <w:spacing w:after="40"/>
              <w:jc w:val="center"/>
            </w:pPr>
            <w:r/>
            <w:r>
              <w:rPr>
                <w:sz w:val="18"/>
              </w:rPr>
              <w:t>n/a</w:t>
            </w:r>
          </w:p>
        </w:tc>
      </w:tr>
      <w:tr>
        <w:tc>
          <w:tcPr>
            <w:tcW w:type="dxa" w:w="2351"/>
          </w:tcPr>
          <w:p>
            <w:pPr>
              <w:spacing w:after="40"/>
              <w:jc w:val="left"/>
            </w:pPr>
            <w:r/>
            <w:r>
              <w:rPr>
                <w:sz w:val="18"/>
              </w:rPr>
              <w:t>+ NLP raw (384-dim)</w:t>
            </w:r>
          </w:p>
        </w:tc>
        <w:tc>
          <w:tcPr>
            <w:tcW w:type="dxa" w:w="2351"/>
          </w:tcPr>
          <w:p>
            <w:pPr>
              <w:spacing w:after="40"/>
              <w:jc w:val="center"/>
            </w:pPr>
            <w:r/>
            <w:r>
              <w:rPr>
                <w:sz w:val="18"/>
              </w:rPr>
              <w:t>0.786 [0.725, 0.847]</w:t>
            </w:r>
          </w:p>
        </w:tc>
        <w:tc>
          <w:tcPr>
            <w:tcW w:type="dxa" w:w="2351"/>
          </w:tcPr>
          <w:p>
            <w:pPr>
              <w:spacing w:after="40"/>
              <w:jc w:val="center"/>
            </w:pPr>
            <w:r/>
            <w:r>
              <w:rPr>
                <w:sz w:val="18"/>
              </w:rPr>
              <w:t>+0.014</w:t>
            </w:r>
          </w:p>
        </w:tc>
        <w:tc>
          <w:tcPr>
            <w:tcW w:type="dxa" w:w="2351"/>
          </w:tcPr>
          <w:p>
            <w:pPr>
              <w:spacing w:after="40"/>
              <w:jc w:val="center"/>
            </w:pPr>
            <w:r/>
            <w:r>
              <w:rPr>
                <w:sz w:val="18"/>
              </w:rPr>
              <w:t>+0.018</w:t>
            </w:r>
          </w:p>
        </w:tc>
      </w:tr>
      <w:tr>
        <w:tc>
          <w:tcPr>
            <w:tcW w:type="dxa" w:w="2351"/>
          </w:tcPr>
          <w:p>
            <w:pPr>
              <w:spacing w:after="40"/>
              <w:jc w:val="left"/>
            </w:pPr>
            <w:r/>
            <w:r>
              <w:rPr>
                <w:sz w:val="18"/>
              </w:rPr>
              <w:t>+ NLP-PCA16 (16-dim)</w:t>
            </w:r>
          </w:p>
        </w:tc>
        <w:tc>
          <w:tcPr>
            <w:tcW w:type="dxa" w:w="2351"/>
          </w:tcPr>
          <w:p>
            <w:pPr>
              <w:spacing w:after="40"/>
              <w:jc w:val="center"/>
            </w:pPr>
            <w:r/>
            <w:r>
              <w:rPr>
                <w:sz w:val="18"/>
              </w:rPr>
              <w:t>0.784 [0.722, 0.845]</w:t>
            </w:r>
          </w:p>
        </w:tc>
        <w:tc>
          <w:tcPr>
            <w:tcW w:type="dxa" w:w="2351"/>
          </w:tcPr>
          <w:p>
            <w:pPr>
              <w:spacing w:after="40"/>
              <w:jc w:val="center"/>
            </w:pPr>
            <w:r/>
            <w:r>
              <w:rPr>
                <w:sz w:val="18"/>
              </w:rPr>
              <w:t>+0.012</w:t>
            </w:r>
          </w:p>
        </w:tc>
        <w:tc>
          <w:tcPr>
            <w:tcW w:type="dxa" w:w="2351"/>
          </w:tcPr>
          <w:p>
            <w:pPr>
              <w:spacing w:after="40"/>
              <w:jc w:val="center"/>
            </w:pPr>
            <w:r/>
            <w:r>
              <w:rPr>
                <w:sz w:val="18"/>
              </w:rPr>
              <w:t>+0.015</w:t>
            </w:r>
          </w:p>
        </w:tc>
      </w:tr>
      <w:tr>
        <w:tc>
          <w:tcPr>
            <w:tcW w:type="dxa" w:w="2351"/>
          </w:tcPr>
          <w:p>
            <w:pPr>
              <w:spacing w:after="40"/>
              <w:jc w:val="left"/>
            </w:pPr>
            <w:r/>
            <w:r>
              <w:rPr>
                <w:sz w:val="18"/>
              </w:rPr>
              <w:t>+ Labs + NLP (combined)</w:t>
            </w:r>
          </w:p>
        </w:tc>
        <w:tc>
          <w:tcPr>
            <w:tcW w:type="dxa" w:w="2351"/>
          </w:tcPr>
          <w:p>
            <w:pPr>
              <w:spacing w:after="40"/>
              <w:jc w:val="center"/>
            </w:pPr>
            <w:r/>
            <w:r>
              <w:rPr>
                <w:sz w:val="18"/>
              </w:rPr>
              <w:t>0.758 [0.690, 0.826]</w:t>
            </w:r>
          </w:p>
        </w:tc>
        <w:tc>
          <w:tcPr>
            <w:tcW w:type="dxa" w:w="2351"/>
          </w:tcPr>
          <w:p>
            <w:pPr>
              <w:spacing w:after="40"/>
              <w:jc w:val="center"/>
            </w:pPr>
            <w:r/>
            <w:r>
              <w:rPr>
                <w:sz w:val="18"/>
              </w:rPr>
              <w:t>−0.014</w:t>
            </w:r>
          </w:p>
        </w:tc>
        <w:tc>
          <w:tcPr>
            <w:tcW w:type="dxa" w:w="2351"/>
          </w:tcPr>
          <w:p>
            <w:pPr>
              <w:spacing w:after="40"/>
              <w:jc w:val="center"/>
            </w:pPr>
            <w:r/>
            <w:r>
              <w:rPr>
                <w:sz w:val="18"/>
              </w:rPr>
              <w:t>−0.010</w:t>
            </w:r>
          </w:p>
        </w:tc>
      </w:tr>
      <w:tr>
        <w:tc>
          <w:tcPr>
            <w:tcW w:type="dxa" w:w="2351"/>
          </w:tcPr>
          <w:p>
            <w:pPr>
              <w:spacing w:after="40"/>
              <w:jc w:val="left"/>
            </w:pPr>
            <w:r/>
            <w:r>
              <w:rPr>
                <w:sz w:val="18"/>
              </w:rPr>
              <w:t>+ Labs + NLP-PCA16 (combined)</w:t>
            </w:r>
          </w:p>
        </w:tc>
        <w:tc>
          <w:tcPr>
            <w:tcW w:type="dxa" w:w="2351"/>
          </w:tcPr>
          <w:p>
            <w:pPr>
              <w:spacing w:after="40"/>
              <w:jc w:val="center"/>
            </w:pPr>
            <w:r/>
            <w:r>
              <w:rPr>
                <w:sz w:val="18"/>
              </w:rPr>
              <w:t>0.767 [0.700, 0.834]</w:t>
            </w:r>
          </w:p>
        </w:tc>
        <w:tc>
          <w:tcPr>
            <w:tcW w:type="dxa" w:w="2351"/>
          </w:tcPr>
          <w:p>
            <w:pPr>
              <w:spacing w:after="40"/>
              <w:jc w:val="center"/>
            </w:pPr>
            <w:r/>
            <w:r>
              <w:rPr>
                <w:sz w:val="18"/>
              </w:rPr>
              <w:t>−0.005</w:t>
            </w:r>
          </w:p>
        </w:tc>
        <w:tc>
          <w:tcPr>
            <w:tcW w:type="dxa" w:w="2351"/>
          </w:tcPr>
          <w:p>
            <w:pPr>
              <w:spacing w:after="40"/>
              <w:jc w:val="center"/>
            </w:pPr>
            <w:r/>
            <w:r>
              <w:rPr>
                <w:sz w:val="18"/>
              </w:rPr>
              <w:t>−0.001</w:t>
            </w:r>
          </w:p>
        </w:tc>
      </w:tr>
      <w:tr>
        <w:tc>
          <w:tcPr>
            <w:tcW w:type="dxa" w:w="2351"/>
          </w:tcPr>
          <w:p>
            <w:pPr>
              <w:spacing w:after="40"/>
              <w:jc w:val="left"/>
            </w:pPr>
            <w:r/>
            <w:r>
              <w:rPr>
                <w:sz w:val="18"/>
              </w:rPr>
              <w:t>+ BioClinBERT-PCA16</w:t>
            </w:r>
          </w:p>
        </w:tc>
        <w:tc>
          <w:tcPr>
            <w:tcW w:type="dxa" w:w="2351"/>
          </w:tcPr>
          <w:p>
            <w:pPr>
              <w:spacing w:after="40"/>
              <w:jc w:val="center"/>
            </w:pPr>
            <w:r/>
            <w:r>
              <w:rPr>
                <w:sz w:val="18"/>
              </w:rPr>
              <w:t>0.769 [0.705, 0.834]</w:t>
            </w:r>
          </w:p>
        </w:tc>
        <w:tc>
          <w:tcPr>
            <w:tcW w:type="dxa" w:w="2351"/>
          </w:tcPr>
          <w:p>
            <w:pPr>
              <w:spacing w:after="40"/>
              <w:jc w:val="center"/>
            </w:pPr>
            <w:r/>
            <w:r>
              <w:rPr>
                <w:sz w:val="18"/>
              </w:rPr>
              <w:t>−0.003</w:t>
            </w:r>
          </w:p>
        </w:tc>
        <w:tc>
          <w:tcPr>
            <w:tcW w:type="dxa" w:w="2351"/>
          </w:tcPr>
          <w:p>
            <w:pPr>
              <w:spacing w:after="40"/>
              <w:jc w:val="center"/>
            </w:pPr>
            <w:r/>
            <w:r>
              <w:rPr>
                <w:sz w:val="18"/>
              </w:rPr>
              <w:t>+0.001</w:t>
            </w:r>
          </w:p>
        </w:tc>
      </w:tr>
    </w:tbl>
    <w:p>
      <w:pPr>
        <w:spacing w:after="80"/>
      </w:pPr>
    </w:p>
    <w:p>
      <w:pPr>
        <w:spacing w:before="200" w:after="80"/>
      </w:pPr>
      <w:r>
        <w:rPr>
          <w:b/>
          <w:sz w:val="19"/>
        </w:rPr>
        <w:t>Table 4.</w:t>
      </w:r>
      <w:r>
        <w:rPr>
          <w:sz w:val="19"/>
        </w:rPr>
        <w:t xml:space="preserve"> AUC comparison across clinical encoding strategies — IHC-G arm. All models use the DyAM architecture with CT radiomics (PC, PL, LN), pathology IHC-G, genomics, and PD-L1 TPS as base modalities; clinical encoding is the varied factor. Values are the AUC of a single 10-fold cross-validation partition (n = 247) with the DeLong 95% confidence interval. ΔAUC is the difference relative to the no-clinical baseline and to numeric labs. n/a, not applicable. NLP, natural language processing; PCA, principal component analysis.</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tcPr>
          <w:p>
            <w:pPr>
              <w:spacing w:after="40"/>
              <w:jc w:val="center"/>
            </w:pPr>
            <w:r/>
            <w:r>
              <w:rPr>
                <w:b/>
                <w:sz w:val="18"/>
              </w:rPr>
              <w:t>Model</w:t>
            </w:r>
          </w:p>
        </w:tc>
        <w:tc>
          <w:tcPr>
            <w:tcW w:type="dxa" w:w="2351"/>
          </w:tcPr>
          <w:p>
            <w:pPr>
              <w:spacing w:after="40"/>
              <w:jc w:val="center"/>
            </w:pPr>
            <w:r/>
            <w:r>
              <w:rPr>
                <w:b/>
                <w:sz w:val="18"/>
              </w:rPr>
              <w:t>AUC [95% CI]</w:t>
            </w:r>
          </w:p>
        </w:tc>
        <w:tc>
          <w:tcPr>
            <w:tcW w:type="dxa" w:w="2351"/>
          </w:tcPr>
          <w:p>
            <w:pPr>
              <w:spacing w:after="40"/>
              <w:jc w:val="center"/>
            </w:pPr>
            <w:r/>
            <w:r>
              <w:rPr>
                <w:b/>
                <w:sz w:val="18"/>
              </w:rPr>
              <w:t>Δ</w:t>
            </w:r>
            <w:r>
              <w:rPr>
                <w:b/>
                <w:sz w:val="18"/>
              </w:rPr>
              <w:t xml:space="preserve"> vs no clinical</w:t>
            </w:r>
          </w:p>
        </w:tc>
        <w:tc>
          <w:tcPr>
            <w:tcW w:type="dxa" w:w="2351"/>
          </w:tcPr>
          <w:p>
            <w:pPr>
              <w:spacing w:after="40"/>
              <w:jc w:val="center"/>
            </w:pPr>
            <w:r/>
            <w:r>
              <w:rPr>
                <w:b/>
                <w:sz w:val="18"/>
              </w:rPr>
              <w:t>Δ</w:t>
            </w:r>
            <w:r>
              <w:rPr>
                <w:b/>
                <w:sz w:val="18"/>
              </w:rPr>
              <w:t xml:space="preserve"> vs labs</w:t>
            </w:r>
          </w:p>
        </w:tc>
      </w:tr>
      <w:tr>
        <w:tc>
          <w:tcPr>
            <w:tcW w:type="dxa" w:w="2351"/>
          </w:tcPr>
          <w:p>
            <w:pPr>
              <w:spacing w:after="40"/>
              <w:jc w:val="left"/>
            </w:pPr>
            <w:r/>
            <w:r>
              <w:rPr>
                <w:sz w:val="18"/>
              </w:rPr>
              <w:t>No clinical (baseline)</w:t>
            </w:r>
          </w:p>
        </w:tc>
        <w:tc>
          <w:tcPr>
            <w:tcW w:type="dxa" w:w="2351"/>
          </w:tcPr>
          <w:p>
            <w:pPr>
              <w:spacing w:after="40"/>
              <w:jc w:val="center"/>
            </w:pPr>
            <w:r/>
            <w:r>
              <w:rPr>
                <w:sz w:val="18"/>
              </w:rPr>
              <w:t>0.797 [0.731, 0.863]</w:t>
            </w:r>
          </w:p>
        </w:tc>
        <w:tc>
          <w:tcPr>
            <w:tcW w:type="dxa" w:w="2351"/>
          </w:tcPr>
          <w:p>
            <w:pPr>
              <w:spacing w:after="40"/>
              <w:jc w:val="center"/>
            </w:pPr>
            <w:r/>
            <w:r>
              <w:rPr>
                <w:sz w:val="18"/>
              </w:rPr>
              <w:t>(ref)</w:t>
            </w:r>
          </w:p>
        </w:tc>
        <w:tc>
          <w:tcPr>
            <w:tcW w:type="dxa" w:w="2351"/>
          </w:tcPr>
          <w:p>
            <w:pPr>
              <w:spacing w:after="40"/>
              <w:jc w:val="center"/>
            </w:pPr>
            <w:r/>
            <w:r>
              <w:rPr>
                <w:sz w:val="18"/>
              </w:rPr>
              <w:t>n/a</w:t>
            </w:r>
          </w:p>
        </w:tc>
      </w:tr>
      <w:tr>
        <w:tc>
          <w:tcPr>
            <w:tcW w:type="dxa" w:w="2351"/>
          </w:tcPr>
          <w:p>
            <w:pPr>
              <w:spacing w:after="40"/>
              <w:jc w:val="left"/>
            </w:pPr>
            <w:r/>
            <w:r>
              <w:rPr>
                <w:sz w:val="18"/>
              </w:rPr>
              <w:t>+ Labs (13-dim numeric)</w:t>
            </w:r>
          </w:p>
        </w:tc>
        <w:tc>
          <w:tcPr>
            <w:tcW w:type="dxa" w:w="2351"/>
          </w:tcPr>
          <w:p>
            <w:pPr>
              <w:spacing w:after="40"/>
              <w:jc w:val="center"/>
            </w:pPr>
            <w:r/>
            <w:r>
              <w:rPr>
                <w:sz w:val="18"/>
              </w:rPr>
              <w:t>0.792 [0.726, 0.859]</w:t>
            </w:r>
          </w:p>
        </w:tc>
        <w:tc>
          <w:tcPr>
            <w:tcW w:type="dxa" w:w="2351"/>
          </w:tcPr>
          <w:p>
            <w:pPr>
              <w:spacing w:after="40"/>
              <w:jc w:val="center"/>
            </w:pPr>
            <w:r/>
            <w:r>
              <w:rPr>
                <w:sz w:val="18"/>
              </w:rPr>
              <w:t>−0.005</w:t>
            </w:r>
          </w:p>
        </w:tc>
        <w:tc>
          <w:tcPr>
            <w:tcW w:type="dxa" w:w="2351"/>
          </w:tcPr>
          <w:p>
            <w:pPr>
              <w:spacing w:after="40"/>
              <w:jc w:val="center"/>
            </w:pPr>
            <w:r/>
            <w:r>
              <w:rPr>
                <w:sz w:val="18"/>
              </w:rPr>
              <w:t>n/a</w:t>
            </w:r>
          </w:p>
        </w:tc>
      </w:tr>
      <w:tr>
        <w:tc>
          <w:tcPr>
            <w:tcW w:type="dxa" w:w="2351"/>
          </w:tcPr>
          <w:p>
            <w:pPr>
              <w:spacing w:after="40"/>
              <w:jc w:val="left"/>
            </w:pPr>
            <w:r/>
            <w:r>
              <w:rPr>
                <w:sz w:val="18"/>
              </w:rPr>
              <w:t>+ NLP raw (384-dim)</w:t>
            </w:r>
          </w:p>
        </w:tc>
        <w:tc>
          <w:tcPr>
            <w:tcW w:type="dxa" w:w="2351"/>
          </w:tcPr>
          <w:p>
            <w:pPr>
              <w:spacing w:after="40"/>
              <w:jc w:val="center"/>
            </w:pPr>
            <w:r/>
            <w:r>
              <w:rPr>
                <w:sz w:val="18"/>
              </w:rPr>
              <w:t>0.812 [0.753, 0.871]</w:t>
            </w:r>
          </w:p>
        </w:tc>
        <w:tc>
          <w:tcPr>
            <w:tcW w:type="dxa" w:w="2351"/>
          </w:tcPr>
          <w:p>
            <w:pPr>
              <w:spacing w:after="40"/>
              <w:jc w:val="center"/>
            </w:pPr>
            <w:r/>
            <w:r>
              <w:rPr>
                <w:sz w:val="18"/>
              </w:rPr>
              <w:t>+0.014</w:t>
            </w:r>
          </w:p>
        </w:tc>
        <w:tc>
          <w:tcPr>
            <w:tcW w:type="dxa" w:w="2351"/>
          </w:tcPr>
          <w:p>
            <w:pPr>
              <w:spacing w:after="40"/>
              <w:jc w:val="center"/>
            </w:pPr>
            <w:r/>
            <w:r>
              <w:rPr>
                <w:sz w:val="18"/>
              </w:rPr>
              <w:t>+0.019</w:t>
            </w:r>
          </w:p>
        </w:tc>
      </w:tr>
      <w:tr>
        <w:tc>
          <w:tcPr>
            <w:tcW w:type="dxa" w:w="2351"/>
          </w:tcPr>
          <w:p>
            <w:pPr>
              <w:spacing w:after="40"/>
              <w:jc w:val="left"/>
            </w:pPr>
            <w:r/>
            <w:r>
              <w:rPr>
                <w:sz w:val="18"/>
              </w:rPr>
              <w:t>+ NLP-PCA16 (16-dim)</w:t>
            </w:r>
          </w:p>
        </w:tc>
        <w:tc>
          <w:tcPr>
            <w:tcW w:type="dxa" w:w="2351"/>
          </w:tcPr>
          <w:p>
            <w:pPr>
              <w:spacing w:after="40"/>
              <w:jc w:val="center"/>
            </w:pPr>
            <w:r/>
            <w:r>
              <w:rPr>
                <w:sz w:val="18"/>
              </w:rPr>
              <w:t>0.805 [0.745, 0.866]</w:t>
            </w:r>
          </w:p>
        </w:tc>
        <w:tc>
          <w:tcPr>
            <w:tcW w:type="dxa" w:w="2351"/>
          </w:tcPr>
          <w:p>
            <w:pPr>
              <w:spacing w:after="40"/>
              <w:jc w:val="center"/>
            </w:pPr>
            <w:r/>
            <w:r>
              <w:rPr>
                <w:sz w:val="18"/>
              </w:rPr>
              <w:t>+0.008</w:t>
            </w:r>
          </w:p>
        </w:tc>
        <w:tc>
          <w:tcPr>
            <w:tcW w:type="dxa" w:w="2351"/>
          </w:tcPr>
          <w:p>
            <w:pPr>
              <w:spacing w:after="40"/>
              <w:jc w:val="center"/>
            </w:pPr>
            <w:r/>
            <w:r>
              <w:rPr>
                <w:sz w:val="18"/>
              </w:rPr>
              <w:t>+0.013</w:t>
            </w:r>
          </w:p>
        </w:tc>
      </w:tr>
    </w:tbl>
    <w:p>
      <w:pPr>
        <w:spacing w:after="80"/>
      </w:pPr>
    </w:p>
    <w:p>
      <w:pPr>
        <w:spacing w:before="200"/>
        <w:jc w:val="center"/>
      </w:pPr>
      <w:r>
        <w:drawing>
          <wp:inline xmlns:a="http://schemas.openxmlformats.org/drawingml/2006/main" xmlns:pic="http://schemas.openxmlformats.org/drawingml/2006/picture">
            <wp:extent cx="5760720" cy="2752402"/>
            <wp:docPr id="4" name="Picture 4"/>
            <wp:cNvGraphicFramePr>
              <a:graphicFrameLocks noChangeAspect="1"/>
            </wp:cNvGraphicFramePr>
            <a:graphic>
              <a:graphicData uri="http://schemas.openxmlformats.org/drawingml/2006/picture">
                <pic:pic>
                  <pic:nvPicPr>
                    <pic:cNvPr id="0" name="composite_fig4.png"/>
                    <pic:cNvPicPr/>
                  </pic:nvPicPr>
                  <pic:blipFill>
                    <a:blip r:embed="rId12"/>
                    <a:stretch>
                      <a:fillRect/>
                    </a:stretch>
                  </pic:blipFill>
                  <pic:spPr>
                    <a:xfrm>
                      <a:off x="0" y="0"/>
                      <a:ext cx="5760720" cy="2752402"/>
                    </a:xfrm>
                    <a:prstGeom prst="rect"/>
                  </pic:spPr>
                </pic:pic>
              </a:graphicData>
            </a:graphic>
          </wp:inline>
        </w:drawing>
      </w:r>
    </w:p>
    <w:p>
      <w:pPr>
        <w:spacing w:after="200"/>
      </w:pPr>
      <w:r>
        <w:rPr>
          <w:b/>
          <w:sz w:val="19"/>
        </w:rPr>
        <w:t>Figure 4.</w:t>
      </w:r>
      <w:r>
        <w:rPr>
          <w:sz w:val="19"/>
        </w:rPr>
        <w:t xml:space="preserve"> AUC comparison across clinical encoding strategies for (</w:t>
      </w:r>
      <w:r>
        <w:rPr>
          <w:b/>
          <w:sz w:val="19"/>
        </w:rPr>
        <w:t>A</w:t>
      </w:r>
      <w:r>
        <w:rPr>
          <w:sz w:val="19"/>
        </w:rPr>
        <w:t>) the IHC-A arm and (</w:t>
      </w:r>
      <w:r>
        <w:rPr>
          <w:b/>
          <w:sz w:val="19"/>
        </w:rPr>
        <w:t>B</w:t>
      </w:r>
      <w:r>
        <w:rPr>
          <w:sz w:val="19"/>
        </w:rPr>
        <w:t>) the IHC-G arm. Bars show the AUC of a single 10-fold cross-validation partition (n = 247); error bars denote the DeLong 95% confidence interval. The dashed horizontal line at AUC =0.80 marks the conventional threshold for clinically useful discrimination.</w:t>
      </w:r>
    </w:p>
    <w:p>
      <w:pPr>
        <w:pStyle w:val="Heading2"/>
      </w:pPr>
      <w:r>
        <w:t>3.3. OvO Competitive Attention with NLP Encoding Gives the Highest Fusion AUC with a Simpler Parameterization</w:t>
      </w:r>
    </w:p>
    <w:p>
      <w:r>
        <w:t>We compared the OvO attention variant with the original cooperative attention across the 21 modality combinations of the primary paper-matched configuration set, without and with the NLP-clinical encoding of Section 3.2 (Table 6). Because a cohort of 247 patients cannot support reliable hypothesis tests of differences of this size, we report the difference in AUC and the number of configurations favouring each model; we do not use significance testing to claim superiority.</w:t>
      </w:r>
    </w:p>
    <w:p>
      <w:r>
        <w:t>Without NLP, the largest gains for OvO over the cooperative model were for TMB+PDL1 (ΔAUC = +6.29%, AUC 0.699 vs. 0.636) and PDL1+Gen (+2.27%, 0.716 vs. 0.693; Table 5); the cooperative model was higher for IHC-G+Gen (−3.27%) and Rad+IHC-A+Gen+PDL1 (−3.03%). At the primary benchmark (Rad+IHC-G+Gen+PDL1, BM1), OvO reached an AUC of 0.801 (95% CI 0.735–0.866) versus 0.783 (0.714–0.853) for the cooperative model (ΔAUC = +0.017).</w:t>
      </w:r>
    </w:p>
    <w:p>
      <w:r>
        <w:t>Only the two configurations that contain numeric labs (rows 20 and 21) have an NLP counterpart in Table 6, because the NLP encoding replaces the labs source; the remaining configurations contain no clinical information, so their +NLP entries simply repeat the values without NLP. In the labs-replaced configuration of BM2 (Rad+IHC-G+Gen+PDL1 with NLP), DyAM+NLP reached 0.803 (0.738–0.868) and OvO+NLP 0.824 (0.765–0.883) (Δ = +0.021); the intervals overlap almost completely. Relative to BM1, which has the same sources without any clinical variable, the NLP gain was +0.020 for DyAM and +0.024 for OvO. OvO+NLP reached the highest AUC in this study (0.824), against 0.803 for DyAM+NLP and 0.798 for the cooperative model without NLP (Rad+IHC-A+Gen+PDL1, the primary result of the original publication, which this evaluation reproduced).</w:t>
      </w:r>
    </w:p>
    <w:p>
      <w:r>
        <w:t>OvO's potential advantage is plausibly one of parameter economy: with the 384-dimensional NLP source in the BM2 configuration, the cooperative model has 4,969 trainable parameters against 1,242 for OvO. We did not test this explanation directly; for example, we did not shrink the cooperative attention matrix to see whether the gap closes. Table 5 gives the largest single-configuration differences and Table 6 the AUC of both attention mechanisms, with and without NLP, across all 21 configurations.</w:t>
      </w:r>
    </w:p>
    <w:p>
      <w:pPr>
        <w:spacing w:before="200" w:after="80"/>
      </w:pPr>
      <w:r>
        <w:rPr>
          <w:b/>
          <w:sz w:val="19"/>
        </w:rPr>
        <w:t>Table 5.</w:t>
      </w:r>
      <w:r>
        <w:rPr>
          <w:sz w:val="19"/>
        </w:rPr>
        <w:t xml:space="preserve"> Largest differences between OvO competitive attention and original cooperative attention among the 21 configurations, from a single 10-fold partition. ΔAUC is computed as OvO minus Original. The upper block lists configurations in which OvO was higher, the lower block those in which the original was higher. Bold denotes the higher AUC for each row. Differences from one partition can favour either model by chance. Gen, genomics; Rad, CT radiomics; IHC-A/G, immunohistochemistry variants; PDL1, PD-L1 TPS score.</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tcPr>
          <w:p>
            <w:pPr>
              <w:spacing w:after="40"/>
              <w:jc w:val="center"/>
            </w:pPr>
            <w:r/>
            <w:r>
              <w:rPr>
                <w:b/>
                <w:sz w:val="18"/>
              </w:rPr>
              <w:t>Configuration</w:t>
            </w:r>
          </w:p>
        </w:tc>
        <w:tc>
          <w:tcPr>
            <w:tcW w:type="dxa" w:w="2351"/>
          </w:tcPr>
          <w:p>
            <w:pPr>
              <w:spacing w:after="40"/>
              <w:jc w:val="center"/>
            </w:pPr>
            <w:r/>
            <w:r>
              <w:rPr>
                <w:b/>
                <w:sz w:val="18"/>
              </w:rPr>
              <w:t>Orig.</w:t>
            </w:r>
          </w:p>
        </w:tc>
        <w:tc>
          <w:tcPr>
            <w:tcW w:type="dxa" w:w="2351"/>
          </w:tcPr>
          <w:p>
            <w:pPr>
              <w:spacing w:after="40"/>
              <w:jc w:val="center"/>
            </w:pPr>
            <w:r/>
            <w:r>
              <w:rPr>
                <w:b/>
                <w:sz w:val="18"/>
              </w:rPr>
              <w:t>OvO</w:t>
            </w:r>
          </w:p>
        </w:tc>
        <w:tc>
          <w:tcPr>
            <w:tcW w:type="dxa" w:w="2351"/>
          </w:tcPr>
          <w:p>
            <w:pPr>
              <w:spacing w:after="40"/>
              <w:jc w:val="center"/>
            </w:pPr>
            <w:r/>
            <w:r>
              <w:rPr>
                <w:b/>
                <w:sz w:val="18"/>
              </w:rPr>
              <w:t>Δ</w:t>
            </w:r>
          </w:p>
        </w:tc>
      </w:tr>
      <w:tr>
        <w:tc>
          <w:tcPr>
            <w:tcW w:type="dxa" w:w="2351"/>
          </w:tcPr>
          <w:p>
            <w:pPr>
              <w:spacing w:after="40"/>
              <w:jc w:val="left"/>
            </w:pPr>
            <w:r/>
            <w:r>
              <w:rPr>
                <w:sz w:val="18"/>
              </w:rPr>
              <w:t>TMB+PDL1</w:t>
            </w:r>
          </w:p>
        </w:tc>
        <w:tc>
          <w:tcPr>
            <w:tcW w:type="dxa" w:w="2351"/>
          </w:tcPr>
          <w:p>
            <w:pPr>
              <w:spacing w:after="40"/>
              <w:jc w:val="center"/>
            </w:pPr>
            <w:r/>
            <w:r>
              <w:rPr>
                <w:sz w:val="18"/>
              </w:rPr>
              <w:t>0.636</w:t>
            </w:r>
          </w:p>
        </w:tc>
        <w:tc>
          <w:tcPr>
            <w:tcW w:type="dxa" w:w="2351"/>
          </w:tcPr>
          <w:p>
            <w:pPr>
              <w:spacing w:after="40"/>
              <w:jc w:val="center"/>
            </w:pPr>
            <w:r/>
            <w:r>
              <w:rPr>
                <w:b/>
                <w:sz w:val="18"/>
              </w:rPr>
              <w:t>0.699</w:t>
            </w:r>
          </w:p>
        </w:tc>
        <w:tc>
          <w:tcPr>
            <w:tcW w:type="dxa" w:w="2351"/>
          </w:tcPr>
          <w:p>
            <w:pPr>
              <w:spacing w:after="40"/>
              <w:jc w:val="center"/>
            </w:pPr>
            <w:r/>
            <w:r>
              <w:rPr>
                <w:sz w:val="18"/>
              </w:rPr>
              <w:t>+6.29%</w:t>
            </w:r>
          </w:p>
        </w:tc>
      </w:tr>
      <w:tr>
        <w:tc>
          <w:tcPr>
            <w:tcW w:type="dxa" w:w="2351"/>
          </w:tcPr>
          <w:p>
            <w:pPr>
              <w:spacing w:after="40"/>
              <w:jc w:val="left"/>
            </w:pPr>
            <w:r/>
            <w:r>
              <w:rPr>
                <w:sz w:val="18"/>
              </w:rPr>
              <w:t>PDL1+Gen</w:t>
            </w:r>
          </w:p>
        </w:tc>
        <w:tc>
          <w:tcPr>
            <w:tcW w:type="dxa" w:w="2351"/>
          </w:tcPr>
          <w:p>
            <w:pPr>
              <w:spacing w:after="40"/>
              <w:jc w:val="center"/>
            </w:pPr>
            <w:r/>
            <w:r>
              <w:rPr>
                <w:sz w:val="18"/>
              </w:rPr>
              <w:t>0.693</w:t>
            </w:r>
          </w:p>
        </w:tc>
        <w:tc>
          <w:tcPr>
            <w:tcW w:type="dxa" w:w="2351"/>
          </w:tcPr>
          <w:p>
            <w:pPr>
              <w:spacing w:after="40"/>
              <w:jc w:val="center"/>
            </w:pPr>
            <w:r/>
            <w:r>
              <w:rPr>
                <w:b/>
                <w:sz w:val="18"/>
              </w:rPr>
              <w:t>0.716</w:t>
            </w:r>
          </w:p>
        </w:tc>
        <w:tc>
          <w:tcPr>
            <w:tcW w:type="dxa" w:w="2351"/>
          </w:tcPr>
          <w:p>
            <w:pPr>
              <w:spacing w:after="40"/>
              <w:jc w:val="center"/>
            </w:pPr>
            <w:r/>
            <w:r>
              <w:rPr>
                <w:sz w:val="18"/>
              </w:rPr>
              <w:t>+2.27%</w:t>
            </w:r>
          </w:p>
        </w:tc>
      </w:tr>
      <w:tr>
        <w:tc>
          <w:tcPr>
            <w:tcW w:type="dxa" w:w="2351"/>
          </w:tcPr>
          <w:p>
            <w:pPr>
              <w:spacing w:after="40"/>
              <w:jc w:val="left"/>
            </w:pPr>
            <w:r/>
            <w:r>
              <w:rPr>
                <w:sz w:val="18"/>
              </w:rPr>
              <w:t>Rad+IHC-G+Gen+PDL1</w:t>
            </w:r>
          </w:p>
        </w:tc>
        <w:tc>
          <w:tcPr>
            <w:tcW w:type="dxa" w:w="2351"/>
          </w:tcPr>
          <w:p>
            <w:pPr>
              <w:spacing w:after="40"/>
              <w:jc w:val="center"/>
            </w:pPr>
            <w:r/>
            <w:r>
              <w:rPr>
                <w:sz w:val="18"/>
              </w:rPr>
              <w:t>0.783</w:t>
            </w:r>
          </w:p>
        </w:tc>
        <w:tc>
          <w:tcPr>
            <w:tcW w:type="dxa" w:w="2351"/>
          </w:tcPr>
          <w:p>
            <w:pPr>
              <w:spacing w:after="40"/>
              <w:jc w:val="center"/>
            </w:pPr>
            <w:r/>
            <w:r>
              <w:rPr>
                <w:b/>
                <w:sz w:val="18"/>
              </w:rPr>
              <w:t>0.801</w:t>
            </w:r>
          </w:p>
        </w:tc>
        <w:tc>
          <w:tcPr>
            <w:tcW w:type="dxa" w:w="2351"/>
          </w:tcPr>
          <w:p>
            <w:pPr>
              <w:spacing w:after="40"/>
              <w:jc w:val="center"/>
            </w:pPr>
            <w:r/>
            <w:r>
              <w:rPr>
                <w:sz w:val="18"/>
              </w:rPr>
              <w:t>+1.71%</w:t>
            </w:r>
          </w:p>
        </w:tc>
      </w:tr>
      <w:tr>
        <w:tc>
          <w:tcPr>
            <w:tcW w:type="dxa" w:w="2351"/>
          </w:tcPr>
          <w:p>
            <w:pPr>
              <w:spacing w:after="40"/>
              <w:jc w:val="left"/>
            </w:pPr>
            <w:r/>
            <w:r>
              <w:rPr>
                <w:sz w:val="18"/>
              </w:rPr>
              <w:t>Rad+IHC-G+Gen+PDL1+Labs</w:t>
            </w:r>
          </w:p>
        </w:tc>
        <w:tc>
          <w:tcPr>
            <w:tcW w:type="dxa" w:w="2351"/>
          </w:tcPr>
          <w:p>
            <w:pPr>
              <w:spacing w:after="40"/>
              <w:jc w:val="center"/>
            </w:pPr>
            <w:r/>
            <w:r>
              <w:rPr>
                <w:sz w:val="18"/>
              </w:rPr>
              <w:t>0.781</w:t>
            </w:r>
          </w:p>
        </w:tc>
        <w:tc>
          <w:tcPr>
            <w:tcW w:type="dxa" w:w="2351"/>
          </w:tcPr>
          <w:p>
            <w:pPr>
              <w:spacing w:after="40"/>
              <w:jc w:val="center"/>
            </w:pPr>
            <w:r/>
            <w:r>
              <w:rPr>
                <w:b/>
                <w:sz w:val="18"/>
              </w:rPr>
              <w:t>0.794</w:t>
            </w:r>
          </w:p>
        </w:tc>
        <w:tc>
          <w:tcPr>
            <w:tcW w:type="dxa" w:w="2351"/>
          </w:tcPr>
          <w:p>
            <w:pPr>
              <w:spacing w:after="40"/>
              <w:jc w:val="center"/>
            </w:pPr>
            <w:r/>
            <w:r>
              <w:rPr>
                <w:sz w:val="18"/>
              </w:rPr>
              <w:t>+1.22%</w:t>
            </w:r>
          </w:p>
        </w:tc>
      </w:tr>
      <w:tr>
        <w:tc>
          <w:tcPr>
            <w:tcW w:type="dxa" w:w="2351"/>
          </w:tcPr>
          <w:p>
            <w:pPr>
              <w:spacing w:after="40"/>
              <w:jc w:val="left"/>
            </w:pPr>
            <w:r/>
            <w:r>
              <w:rPr>
                <w:sz w:val="18"/>
              </w:rPr>
              <w:t>Rad+IHC-A+Gen+TMB+PDL1</w:t>
            </w:r>
          </w:p>
        </w:tc>
        <w:tc>
          <w:tcPr>
            <w:tcW w:type="dxa" w:w="2351"/>
          </w:tcPr>
          <w:p>
            <w:pPr>
              <w:spacing w:after="40"/>
              <w:jc w:val="center"/>
            </w:pPr>
            <w:r/>
            <w:r>
              <w:rPr>
                <w:sz w:val="18"/>
              </w:rPr>
              <w:t>0.778</w:t>
            </w:r>
          </w:p>
        </w:tc>
        <w:tc>
          <w:tcPr>
            <w:tcW w:type="dxa" w:w="2351"/>
          </w:tcPr>
          <w:p>
            <w:pPr>
              <w:spacing w:after="40"/>
              <w:jc w:val="center"/>
            </w:pPr>
            <w:r/>
            <w:r>
              <w:rPr>
                <w:b/>
                <w:sz w:val="18"/>
              </w:rPr>
              <w:t>0.780</w:t>
            </w:r>
          </w:p>
        </w:tc>
        <w:tc>
          <w:tcPr>
            <w:tcW w:type="dxa" w:w="2351"/>
          </w:tcPr>
          <w:p>
            <w:pPr>
              <w:spacing w:after="40"/>
              <w:jc w:val="center"/>
            </w:pPr>
            <w:r/>
            <w:r>
              <w:rPr>
                <w:sz w:val="18"/>
              </w:rPr>
              <w:t>+0.24%</w:t>
            </w:r>
          </w:p>
        </w:tc>
      </w:tr>
      <w:tr>
        <w:tc>
          <w:tcPr>
            <w:tcW w:type="dxa" w:w="2351"/>
          </w:tcPr>
          <w:p>
            <w:pPr>
              <w:spacing w:after="40"/>
              <w:jc w:val="left"/>
            </w:pPr>
            <w:r/>
            <w:r>
              <w:rPr>
                <w:sz w:val="18"/>
              </w:rPr>
              <w:t>Rad+IHC-G</w:t>
            </w:r>
          </w:p>
        </w:tc>
        <w:tc>
          <w:tcPr>
            <w:tcW w:type="dxa" w:w="2351"/>
          </w:tcPr>
          <w:p>
            <w:pPr>
              <w:spacing w:after="40"/>
              <w:jc w:val="center"/>
            </w:pPr>
            <w:r/>
            <w:r>
              <w:rPr>
                <w:b/>
                <w:sz w:val="18"/>
              </w:rPr>
              <w:t>0.713</w:t>
            </w:r>
          </w:p>
        </w:tc>
        <w:tc>
          <w:tcPr>
            <w:tcW w:type="dxa" w:w="2351"/>
          </w:tcPr>
          <w:p>
            <w:pPr>
              <w:spacing w:after="40"/>
              <w:jc w:val="center"/>
            </w:pPr>
            <w:r/>
            <w:r>
              <w:rPr>
                <w:sz w:val="18"/>
              </w:rPr>
              <w:t>0.702</w:t>
            </w:r>
          </w:p>
        </w:tc>
        <w:tc>
          <w:tcPr>
            <w:tcW w:type="dxa" w:w="2351"/>
          </w:tcPr>
          <w:p>
            <w:pPr>
              <w:spacing w:after="40"/>
              <w:jc w:val="center"/>
            </w:pPr>
            <w:r/>
            <w:r>
              <w:rPr>
                <w:sz w:val="18"/>
              </w:rPr>
              <w:t>−1.10%</w:t>
            </w:r>
          </w:p>
        </w:tc>
      </w:tr>
      <w:tr>
        <w:tc>
          <w:tcPr>
            <w:tcW w:type="dxa" w:w="2351"/>
          </w:tcPr>
          <w:p>
            <w:pPr>
              <w:spacing w:after="40"/>
              <w:jc w:val="left"/>
            </w:pPr>
            <w:r/>
            <w:r>
              <w:rPr>
                <w:sz w:val="18"/>
              </w:rPr>
              <w:t>Rad-LU</w:t>
            </w:r>
          </w:p>
        </w:tc>
        <w:tc>
          <w:tcPr>
            <w:tcW w:type="dxa" w:w="2351"/>
          </w:tcPr>
          <w:p>
            <w:pPr>
              <w:spacing w:after="40"/>
              <w:jc w:val="center"/>
            </w:pPr>
            <w:r/>
            <w:r>
              <w:rPr>
                <w:b/>
                <w:sz w:val="18"/>
              </w:rPr>
              <w:t>0.699</w:t>
            </w:r>
          </w:p>
        </w:tc>
        <w:tc>
          <w:tcPr>
            <w:tcW w:type="dxa" w:w="2351"/>
          </w:tcPr>
          <w:p>
            <w:pPr>
              <w:spacing w:after="40"/>
              <w:jc w:val="center"/>
            </w:pPr>
            <w:r/>
            <w:r>
              <w:rPr>
                <w:sz w:val="18"/>
              </w:rPr>
              <w:t>0.684</w:t>
            </w:r>
          </w:p>
        </w:tc>
        <w:tc>
          <w:tcPr>
            <w:tcW w:type="dxa" w:w="2351"/>
          </w:tcPr>
          <w:p>
            <w:pPr>
              <w:spacing w:after="40"/>
              <w:jc w:val="center"/>
            </w:pPr>
            <w:r/>
            <w:r>
              <w:rPr>
                <w:sz w:val="18"/>
              </w:rPr>
              <w:t>−1.53%</w:t>
            </w:r>
          </w:p>
        </w:tc>
      </w:tr>
      <w:tr>
        <w:tc>
          <w:tcPr>
            <w:tcW w:type="dxa" w:w="2351"/>
          </w:tcPr>
          <w:p>
            <w:pPr>
              <w:spacing w:after="40"/>
              <w:jc w:val="left"/>
            </w:pPr>
            <w:r/>
            <w:r>
              <w:rPr>
                <w:sz w:val="18"/>
              </w:rPr>
              <w:t>Rad+IHC-A+MutAmp</w:t>
            </w:r>
          </w:p>
        </w:tc>
        <w:tc>
          <w:tcPr>
            <w:tcW w:type="dxa" w:w="2351"/>
          </w:tcPr>
          <w:p>
            <w:pPr>
              <w:spacing w:after="40"/>
              <w:jc w:val="center"/>
            </w:pPr>
            <w:r/>
            <w:r>
              <w:rPr>
                <w:b/>
                <w:sz w:val="18"/>
              </w:rPr>
              <w:t>0.782</w:t>
            </w:r>
          </w:p>
        </w:tc>
        <w:tc>
          <w:tcPr>
            <w:tcW w:type="dxa" w:w="2351"/>
          </w:tcPr>
          <w:p>
            <w:pPr>
              <w:spacing w:after="40"/>
              <w:jc w:val="center"/>
            </w:pPr>
            <w:r/>
            <w:r>
              <w:rPr>
                <w:sz w:val="18"/>
              </w:rPr>
              <w:t>0.767</w:t>
            </w:r>
          </w:p>
        </w:tc>
        <w:tc>
          <w:tcPr>
            <w:tcW w:type="dxa" w:w="2351"/>
          </w:tcPr>
          <w:p>
            <w:pPr>
              <w:spacing w:after="40"/>
              <w:jc w:val="center"/>
            </w:pPr>
            <w:r/>
            <w:r>
              <w:rPr>
                <w:sz w:val="18"/>
              </w:rPr>
              <w:t>−1.54%</w:t>
            </w:r>
          </w:p>
        </w:tc>
      </w:tr>
      <w:tr>
        <w:tc>
          <w:tcPr>
            <w:tcW w:type="dxa" w:w="2351"/>
          </w:tcPr>
          <w:p>
            <w:pPr>
              <w:spacing w:after="40"/>
              <w:jc w:val="left"/>
            </w:pPr>
            <w:r/>
            <w:r>
              <w:rPr>
                <w:sz w:val="18"/>
              </w:rPr>
              <w:t>Rad+IHC-A+Gen+PDL1</w:t>
            </w:r>
          </w:p>
        </w:tc>
        <w:tc>
          <w:tcPr>
            <w:tcW w:type="dxa" w:w="2351"/>
          </w:tcPr>
          <w:p>
            <w:pPr>
              <w:spacing w:after="40"/>
              <w:jc w:val="center"/>
            </w:pPr>
            <w:r/>
            <w:r>
              <w:rPr>
                <w:b/>
                <w:sz w:val="18"/>
              </w:rPr>
              <w:t>0.798</w:t>
            </w:r>
          </w:p>
        </w:tc>
        <w:tc>
          <w:tcPr>
            <w:tcW w:type="dxa" w:w="2351"/>
          </w:tcPr>
          <w:p>
            <w:pPr>
              <w:spacing w:after="40"/>
              <w:jc w:val="center"/>
            </w:pPr>
            <w:r/>
            <w:r>
              <w:rPr>
                <w:sz w:val="18"/>
              </w:rPr>
              <w:t>0.768</w:t>
            </w:r>
          </w:p>
        </w:tc>
        <w:tc>
          <w:tcPr>
            <w:tcW w:type="dxa" w:w="2351"/>
          </w:tcPr>
          <w:p>
            <w:pPr>
              <w:spacing w:after="40"/>
              <w:jc w:val="center"/>
            </w:pPr>
            <w:r/>
            <w:r>
              <w:rPr>
                <w:sz w:val="18"/>
              </w:rPr>
              <w:t>−3.03%</w:t>
            </w:r>
          </w:p>
        </w:tc>
      </w:tr>
      <w:tr>
        <w:tc>
          <w:tcPr>
            <w:tcW w:type="dxa" w:w="2351"/>
          </w:tcPr>
          <w:p>
            <w:pPr>
              <w:spacing w:after="40"/>
              <w:jc w:val="left"/>
            </w:pPr>
            <w:r/>
            <w:r>
              <w:rPr>
                <w:sz w:val="18"/>
              </w:rPr>
              <w:t>IHC-G+Gen</w:t>
            </w:r>
          </w:p>
        </w:tc>
        <w:tc>
          <w:tcPr>
            <w:tcW w:type="dxa" w:w="2351"/>
          </w:tcPr>
          <w:p>
            <w:pPr>
              <w:spacing w:after="40"/>
              <w:jc w:val="center"/>
            </w:pPr>
            <w:r/>
            <w:r>
              <w:rPr>
                <w:b/>
                <w:sz w:val="18"/>
              </w:rPr>
              <w:t>0.756</w:t>
            </w:r>
          </w:p>
        </w:tc>
        <w:tc>
          <w:tcPr>
            <w:tcW w:type="dxa" w:w="2351"/>
          </w:tcPr>
          <w:p>
            <w:pPr>
              <w:spacing w:after="40"/>
              <w:jc w:val="center"/>
            </w:pPr>
            <w:r/>
            <w:r>
              <w:rPr>
                <w:sz w:val="18"/>
              </w:rPr>
              <w:t>0.723</w:t>
            </w:r>
          </w:p>
        </w:tc>
        <w:tc>
          <w:tcPr>
            <w:tcW w:type="dxa" w:w="2351"/>
          </w:tcPr>
          <w:p>
            <w:pPr>
              <w:spacing w:after="40"/>
              <w:jc w:val="center"/>
            </w:pPr>
            <w:r/>
            <w:r>
              <w:rPr>
                <w:sz w:val="18"/>
              </w:rPr>
              <w:t>−3.27%</w:t>
            </w:r>
          </w:p>
        </w:tc>
      </w:tr>
    </w:tbl>
    <w:p>
      <w:pPr>
        <w:spacing w:after="80"/>
      </w:pPr>
    </w:p>
    <w:p>
      <w:pPr>
        <w:spacing w:before="200" w:after="80"/>
      </w:pPr>
      <w:r>
        <w:rPr>
          <w:b/>
          <w:sz w:val="19"/>
        </w:rPr>
        <w:t>Table 6.</w:t>
      </w:r>
      <w:r>
        <w:rPr>
          <w:sz w:val="19"/>
        </w:rPr>
        <w:t xml:space="preserve"> AUC across all 21 paper-matched modality combinations for cooperative attention (DyAM) and OvO competitive attention, each without and with NLP-clinical encoding, from a single 10-fold cross-validation partition (natural patient order, the protocol of the original DyAM publication; n = 247). k is the number of fused input sources (CT radiomics contributes one source per lesion site). For k = 1 OvO reduces algebraically to the cooperative formulation, hence the identical values. Configurations 8, 11, 18 and 21 are the primary benchmarks BM4, BM3, BM1 and BM2. The NLP encoding replaces the numeric labs source, so only the two configurations that contain labs (20 and 21) differ between the models with and without NLP; the other configurations contain no clinical source, and their +NLP values repeat those of the models without NLP (not in bold). Bold marks the highest value in each row.</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after="40"/>
              <w:jc w:val="center"/>
            </w:pPr>
            <w:r/>
            <w:r>
              <w:rPr>
                <w:b/>
                <w:sz w:val="18"/>
              </w:rPr>
              <w:t>#</w:t>
            </w:r>
          </w:p>
        </w:tc>
        <w:tc>
          <w:tcPr>
            <w:tcW w:type="dxa" w:w="1344"/>
          </w:tcPr>
          <w:p>
            <w:pPr>
              <w:spacing w:after="40"/>
              <w:jc w:val="center"/>
            </w:pPr>
            <w:r/>
            <w:r>
              <w:rPr>
                <w:b/>
                <w:sz w:val="18"/>
              </w:rPr>
              <w:t>Configuration</w:t>
            </w:r>
          </w:p>
        </w:tc>
        <w:tc>
          <w:tcPr>
            <w:tcW w:type="dxa" w:w="1344"/>
          </w:tcPr>
          <w:p>
            <w:pPr>
              <w:spacing w:after="40"/>
              <w:jc w:val="center"/>
            </w:pPr>
            <w:r/>
            <w:r>
              <w:rPr>
                <w:b/>
                <w:sz w:val="18"/>
              </w:rPr>
              <w:t>k</w:t>
            </w:r>
          </w:p>
        </w:tc>
        <w:tc>
          <w:tcPr>
            <w:tcW w:type="dxa" w:w="1344"/>
          </w:tcPr>
          <w:p>
            <w:pPr>
              <w:spacing w:after="40"/>
              <w:jc w:val="center"/>
            </w:pPr>
            <w:r/>
            <w:r>
              <w:rPr>
                <w:b/>
                <w:sz w:val="18"/>
              </w:rPr>
              <w:t>DyAM</w:t>
            </w:r>
          </w:p>
        </w:tc>
        <w:tc>
          <w:tcPr>
            <w:tcW w:type="dxa" w:w="1344"/>
          </w:tcPr>
          <w:p>
            <w:pPr>
              <w:spacing w:after="40"/>
              <w:jc w:val="center"/>
            </w:pPr>
            <w:r/>
            <w:r>
              <w:rPr>
                <w:b/>
                <w:sz w:val="18"/>
              </w:rPr>
              <w:t>OvO</w:t>
            </w:r>
          </w:p>
        </w:tc>
        <w:tc>
          <w:tcPr>
            <w:tcW w:type="dxa" w:w="1344"/>
          </w:tcPr>
          <w:p>
            <w:pPr>
              <w:spacing w:after="40"/>
              <w:jc w:val="center"/>
            </w:pPr>
            <w:r/>
            <w:r>
              <w:rPr>
                <w:b/>
                <w:sz w:val="18"/>
              </w:rPr>
              <w:t>DyAM+NLP</w:t>
            </w:r>
          </w:p>
        </w:tc>
        <w:tc>
          <w:tcPr>
            <w:tcW w:type="dxa" w:w="1344"/>
          </w:tcPr>
          <w:p>
            <w:pPr>
              <w:spacing w:after="40"/>
              <w:jc w:val="center"/>
            </w:pPr>
            <w:r/>
            <w:r>
              <w:rPr>
                <w:b/>
                <w:sz w:val="18"/>
              </w:rPr>
              <w:t>OvO+NLP</w:t>
            </w:r>
          </w:p>
        </w:tc>
      </w:tr>
      <w:tr>
        <w:tc>
          <w:tcPr>
            <w:tcW w:type="dxa" w:w="1344"/>
          </w:tcPr>
          <w:p>
            <w:pPr>
              <w:spacing w:after="40"/>
              <w:jc w:val="left"/>
            </w:pPr>
            <w:r/>
            <w:r>
              <w:rPr>
                <w:sz w:val="18"/>
              </w:rPr>
              <w:t>1</w:t>
            </w:r>
          </w:p>
        </w:tc>
        <w:tc>
          <w:tcPr>
            <w:tcW w:type="dxa" w:w="1344"/>
          </w:tcPr>
          <w:p>
            <w:pPr>
              <w:spacing w:after="40"/>
              <w:jc w:val="center"/>
            </w:pPr>
            <w:r/>
            <w:r>
              <w:rPr>
                <w:sz w:val="18"/>
              </w:rPr>
              <w:t>TMB</w:t>
            </w:r>
          </w:p>
        </w:tc>
        <w:tc>
          <w:tcPr>
            <w:tcW w:type="dxa" w:w="1344"/>
          </w:tcPr>
          <w:p>
            <w:pPr>
              <w:spacing w:after="40"/>
              <w:jc w:val="center"/>
            </w:pPr>
            <w:r/>
            <w:r>
              <w:rPr>
                <w:sz w:val="18"/>
              </w:rPr>
              <w:t>1</w:t>
            </w:r>
          </w:p>
        </w:tc>
        <w:tc>
          <w:tcPr>
            <w:tcW w:type="dxa" w:w="1344"/>
          </w:tcPr>
          <w:p>
            <w:pPr>
              <w:spacing w:after="40"/>
              <w:jc w:val="center"/>
            </w:pPr>
            <w:r/>
            <w:r>
              <w:rPr>
                <w:b/>
                <w:sz w:val="18"/>
              </w:rPr>
              <w:t>0.615</w:t>
            </w:r>
          </w:p>
        </w:tc>
        <w:tc>
          <w:tcPr>
            <w:tcW w:type="dxa" w:w="1344"/>
          </w:tcPr>
          <w:p>
            <w:pPr>
              <w:spacing w:after="40"/>
              <w:jc w:val="center"/>
            </w:pPr>
            <w:r/>
            <w:r>
              <w:rPr>
                <w:b/>
                <w:sz w:val="18"/>
              </w:rPr>
              <w:t>0.615</w:t>
            </w:r>
          </w:p>
        </w:tc>
        <w:tc>
          <w:tcPr>
            <w:tcW w:type="dxa" w:w="1344"/>
          </w:tcPr>
          <w:p>
            <w:pPr>
              <w:spacing w:after="40"/>
              <w:jc w:val="center"/>
            </w:pPr>
            <w:r/>
            <w:r>
              <w:rPr>
                <w:sz w:val="18"/>
              </w:rPr>
              <w:t>0.615</w:t>
            </w:r>
          </w:p>
        </w:tc>
        <w:tc>
          <w:tcPr>
            <w:tcW w:type="dxa" w:w="1344"/>
          </w:tcPr>
          <w:p>
            <w:pPr>
              <w:spacing w:after="40"/>
              <w:jc w:val="center"/>
            </w:pPr>
            <w:r/>
            <w:r>
              <w:rPr>
                <w:sz w:val="18"/>
              </w:rPr>
              <w:t>0.615</w:t>
            </w:r>
          </w:p>
        </w:tc>
      </w:tr>
      <w:tr>
        <w:tc>
          <w:tcPr>
            <w:tcW w:type="dxa" w:w="1344"/>
          </w:tcPr>
          <w:p>
            <w:pPr>
              <w:spacing w:after="40"/>
              <w:jc w:val="left"/>
            </w:pPr>
            <w:r/>
            <w:r>
              <w:rPr>
                <w:sz w:val="18"/>
              </w:rPr>
              <w:t>2</w:t>
            </w:r>
          </w:p>
        </w:tc>
        <w:tc>
          <w:tcPr>
            <w:tcW w:type="dxa" w:w="1344"/>
          </w:tcPr>
          <w:p>
            <w:pPr>
              <w:spacing w:after="40"/>
              <w:jc w:val="center"/>
            </w:pPr>
            <w:r/>
            <w:r>
              <w:rPr>
                <w:sz w:val="18"/>
              </w:rPr>
              <w:t>PDL1</w:t>
            </w:r>
          </w:p>
        </w:tc>
        <w:tc>
          <w:tcPr>
            <w:tcW w:type="dxa" w:w="1344"/>
          </w:tcPr>
          <w:p>
            <w:pPr>
              <w:spacing w:after="40"/>
              <w:jc w:val="center"/>
            </w:pPr>
            <w:r/>
            <w:r>
              <w:rPr>
                <w:sz w:val="18"/>
              </w:rPr>
              <w:t>1</w:t>
            </w:r>
          </w:p>
        </w:tc>
        <w:tc>
          <w:tcPr>
            <w:tcW w:type="dxa" w:w="1344"/>
          </w:tcPr>
          <w:p>
            <w:pPr>
              <w:spacing w:after="40"/>
              <w:jc w:val="center"/>
            </w:pPr>
            <w:r/>
            <w:r>
              <w:rPr>
                <w:b/>
                <w:sz w:val="18"/>
              </w:rPr>
              <w:t>0.708</w:t>
            </w:r>
          </w:p>
        </w:tc>
        <w:tc>
          <w:tcPr>
            <w:tcW w:type="dxa" w:w="1344"/>
          </w:tcPr>
          <w:p>
            <w:pPr>
              <w:spacing w:after="40"/>
              <w:jc w:val="center"/>
            </w:pPr>
            <w:r/>
            <w:r>
              <w:rPr>
                <w:b/>
                <w:sz w:val="18"/>
              </w:rPr>
              <w:t>0.708</w:t>
            </w:r>
          </w:p>
        </w:tc>
        <w:tc>
          <w:tcPr>
            <w:tcW w:type="dxa" w:w="1344"/>
          </w:tcPr>
          <w:p>
            <w:pPr>
              <w:spacing w:after="40"/>
              <w:jc w:val="center"/>
            </w:pPr>
            <w:r/>
            <w:r>
              <w:rPr>
                <w:sz w:val="18"/>
              </w:rPr>
              <w:t>0.708</w:t>
            </w:r>
          </w:p>
        </w:tc>
        <w:tc>
          <w:tcPr>
            <w:tcW w:type="dxa" w:w="1344"/>
          </w:tcPr>
          <w:p>
            <w:pPr>
              <w:spacing w:after="40"/>
              <w:jc w:val="center"/>
            </w:pPr>
            <w:r/>
            <w:r>
              <w:rPr>
                <w:sz w:val="18"/>
              </w:rPr>
              <w:t>0.708</w:t>
            </w:r>
          </w:p>
        </w:tc>
      </w:tr>
      <w:tr>
        <w:tc>
          <w:tcPr>
            <w:tcW w:type="dxa" w:w="1344"/>
          </w:tcPr>
          <w:p>
            <w:pPr>
              <w:spacing w:after="40"/>
              <w:jc w:val="left"/>
            </w:pPr>
            <w:r/>
            <w:r>
              <w:rPr>
                <w:sz w:val="18"/>
              </w:rPr>
              <w:t>3</w:t>
            </w:r>
          </w:p>
        </w:tc>
        <w:tc>
          <w:tcPr>
            <w:tcW w:type="dxa" w:w="1344"/>
          </w:tcPr>
          <w:p>
            <w:pPr>
              <w:spacing w:after="40"/>
              <w:jc w:val="center"/>
            </w:pPr>
            <w:r/>
            <w:r>
              <w:rPr>
                <w:sz w:val="18"/>
              </w:rPr>
              <w:t>IHC-A</w:t>
            </w:r>
          </w:p>
        </w:tc>
        <w:tc>
          <w:tcPr>
            <w:tcW w:type="dxa" w:w="1344"/>
          </w:tcPr>
          <w:p>
            <w:pPr>
              <w:spacing w:after="40"/>
              <w:jc w:val="center"/>
            </w:pPr>
            <w:r/>
            <w:r>
              <w:rPr>
                <w:sz w:val="18"/>
              </w:rPr>
              <w:t>1</w:t>
            </w:r>
          </w:p>
        </w:tc>
        <w:tc>
          <w:tcPr>
            <w:tcW w:type="dxa" w:w="1344"/>
          </w:tcPr>
          <w:p>
            <w:pPr>
              <w:spacing w:after="40"/>
              <w:jc w:val="center"/>
            </w:pPr>
            <w:r/>
            <w:r>
              <w:rPr>
                <w:b/>
                <w:sz w:val="18"/>
              </w:rPr>
              <w:t>0.606</w:t>
            </w:r>
          </w:p>
        </w:tc>
        <w:tc>
          <w:tcPr>
            <w:tcW w:type="dxa" w:w="1344"/>
          </w:tcPr>
          <w:p>
            <w:pPr>
              <w:spacing w:after="40"/>
              <w:jc w:val="center"/>
            </w:pPr>
            <w:r/>
            <w:r>
              <w:rPr>
                <w:b/>
                <w:sz w:val="18"/>
              </w:rPr>
              <w:t>0.606</w:t>
            </w:r>
          </w:p>
        </w:tc>
        <w:tc>
          <w:tcPr>
            <w:tcW w:type="dxa" w:w="1344"/>
          </w:tcPr>
          <w:p>
            <w:pPr>
              <w:spacing w:after="40"/>
              <w:jc w:val="center"/>
            </w:pPr>
            <w:r/>
            <w:r>
              <w:rPr>
                <w:sz w:val="18"/>
              </w:rPr>
              <w:t>0.606</w:t>
            </w:r>
          </w:p>
        </w:tc>
        <w:tc>
          <w:tcPr>
            <w:tcW w:type="dxa" w:w="1344"/>
          </w:tcPr>
          <w:p>
            <w:pPr>
              <w:spacing w:after="40"/>
              <w:jc w:val="center"/>
            </w:pPr>
            <w:r/>
            <w:r>
              <w:rPr>
                <w:sz w:val="18"/>
              </w:rPr>
              <w:t>0.606</w:t>
            </w:r>
          </w:p>
        </w:tc>
      </w:tr>
      <w:tr>
        <w:tc>
          <w:tcPr>
            <w:tcW w:type="dxa" w:w="1344"/>
          </w:tcPr>
          <w:p>
            <w:pPr>
              <w:spacing w:after="40"/>
              <w:jc w:val="left"/>
            </w:pPr>
            <w:r/>
            <w:r>
              <w:rPr>
                <w:sz w:val="18"/>
              </w:rPr>
              <w:t>4</w:t>
            </w:r>
          </w:p>
        </w:tc>
        <w:tc>
          <w:tcPr>
            <w:tcW w:type="dxa" w:w="1344"/>
          </w:tcPr>
          <w:p>
            <w:pPr>
              <w:spacing w:after="40"/>
              <w:jc w:val="center"/>
            </w:pPr>
            <w:r/>
            <w:r>
              <w:rPr>
                <w:sz w:val="18"/>
              </w:rPr>
              <w:t>Gen</w:t>
            </w:r>
          </w:p>
        </w:tc>
        <w:tc>
          <w:tcPr>
            <w:tcW w:type="dxa" w:w="1344"/>
          </w:tcPr>
          <w:p>
            <w:pPr>
              <w:spacing w:after="40"/>
              <w:jc w:val="center"/>
            </w:pPr>
            <w:r/>
            <w:r>
              <w:rPr>
                <w:sz w:val="18"/>
              </w:rPr>
              <w:t>1</w:t>
            </w:r>
          </w:p>
        </w:tc>
        <w:tc>
          <w:tcPr>
            <w:tcW w:type="dxa" w:w="1344"/>
          </w:tcPr>
          <w:p>
            <w:pPr>
              <w:spacing w:after="40"/>
              <w:jc w:val="center"/>
            </w:pPr>
            <w:r/>
            <w:r>
              <w:rPr>
                <w:b/>
                <w:sz w:val="18"/>
              </w:rPr>
              <w:t>0.676</w:t>
            </w:r>
          </w:p>
        </w:tc>
        <w:tc>
          <w:tcPr>
            <w:tcW w:type="dxa" w:w="1344"/>
          </w:tcPr>
          <w:p>
            <w:pPr>
              <w:spacing w:after="40"/>
              <w:jc w:val="center"/>
            </w:pPr>
            <w:r/>
            <w:r>
              <w:rPr>
                <w:b/>
                <w:sz w:val="18"/>
              </w:rPr>
              <w:t>0.676</w:t>
            </w:r>
          </w:p>
        </w:tc>
        <w:tc>
          <w:tcPr>
            <w:tcW w:type="dxa" w:w="1344"/>
          </w:tcPr>
          <w:p>
            <w:pPr>
              <w:spacing w:after="40"/>
              <w:jc w:val="center"/>
            </w:pPr>
            <w:r/>
            <w:r>
              <w:rPr>
                <w:sz w:val="18"/>
              </w:rPr>
              <w:t>0.676</w:t>
            </w:r>
          </w:p>
        </w:tc>
        <w:tc>
          <w:tcPr>
            <w:tcW w:type="dxa" w:w="1344"/>
          </w:tcPr>
          <w:p>
            <w:pPr>
              <w:spacing w:after="40"/>
              <w:jc w:val="center"/>
            </w:pPr>
            <w:r/>
            <w:r>
              <w:rPr>
                <w:sz w:val="18"/>
              </w:rPr>
              <w:t>0.676</w:t>
            </w:r>
          </w:p>
        </w:tc>
      </w:tr>
      <w:tr>
        <w:tc>
          <w:tcPr>
            <w:tcW w:type="dxa" w:w="1344"/>
          </w:tcPr>
          <w:p>
            <w:pPr>
              <w:spacing w:after="40"/>
              <w:jc w:val="left"/>
            </w:pPr>
            <w:r/>
            <w:r>
              <w:rPr>
                <w:sz w:val="18"/>
              </w:rPr>
              <w:t>5</w:t>
            </w:r>
          </w:p>
        </w:tc>
        <w:tc>
          <w:tcPr>
            <w:tcW w:type="dxa" w:w="1344"/>
          </w:tcPr>
          <w:p>
            <w:pPr>
              <w:spacing w:after="40"/>
              <w:jc w:val="center"/>
            </w:pPr>
            <w:r/>
            <w:r>
              <w:rPr>
                <w:sz w:val="18"/>
              </w:rPr>
              <w:t>Rad</w:t>
            </w:r>
          </w:p>
        </w:tc>
        <w:tc>
          <w:tcPr>
            <w:tcW w:type="dxa" w:w="1344"/>
          </w:tcPr>
          <w:p>
            <w:pPr>
              <w:spacing w:after="40"/>
              <w:jc w:val="center"/>
            </w:pPr>
            <w:r/>
            <w:r>
              <w:rPr>
                <w:sz w:val="18"/>
              </w:rPr>
              <w:t>3</w:t>
            </w:r>
          </w:p>
        </w:tc>
        <w:tc>
          <w:tcPr>
            <w:tcW w:type="dxa" w:w="1344"/>
          </w:tcPr>
          <w:p>
            <w:pPr>
              <w:spacing w:after="40"/>
              <w:jc w:val="center"/>
            </w:pPr>
            <w:r/>
            <w:r>
              <w:rPr>
                <w:b/>
                <w:sz w:val="18"/>
              </w:rPr>
              <w:t>0.701</w:t>
            </w:r>
          </w:p>
        </w:tc>
        <w:tc>
          <w:tcPr>
            <w:tcW w:type="dxa" w:w="1344"/>
          </w:tcPr>
          <w:p>
            <w:pPr>
              <w:spacing w:after="40"/>
              <w:jc w:val="center"/>
            </w:pPr>
            <w:r/>
            <w:r>
              <w:rPr>
                <w:sz w:val="18"/>
              </w:rPr>
              <w:t>0.700</w:t>
            </w:r>
          </w:p>
        </w:tc>
        <w:tc>
          <w:tcPr>
            <w:tcW w:type="dxa" w:w="1344"/>
          </w:tcPr>
          <w:p>
            <w:pPr>
              <w:spacing w:after="40"/>
              <w:jc w:val="center"/>
            </w:pPr>
            <w:r/>
            <w:r>
              <w:rPr>
                <w:sz w:val="18"/>
              </w:rPr>
              <w:t>0.701</w:t>
            </w:r>
          </w:p>
        </w:tc>
        <w:tc>
          <w:tcPr>
            <w:tcW w:type="dxa" w:w="1344"/>
          </w:tcPr>
          <w:p>
            <w:pPr>
              <w:spacing w:after="40"/>
              <w:jc w:val="center"/>
            </w:pPr>
            <w:r/>
            <w:r>
              <w:rPr>
                <w:sz w:val="18"/>
              </w:rPr>
              <w:t>0.700</w:t>
            </w:r>
          </w:p>
        </w:tc>
      </w:tr>
      <w:tr>
        <w:tc>
          <w:tcPr>
            <w:tcW w:type="dxa" w:w="1344"/>
          </w:tcPr>
          <w:p>
            <w:pPr>
              <w:spacing w:after="40"/>
              <w:jc w:val="left"/>
            </w:pPr>
            <w:r/>
            <w:r>
              <w:rPr>
                <w:sz w:val="18"/>
              </w:rPr>
              <w:t>6</w:t>
            </w:r>
          </w:p>
        </w:tc>
        <w:tc>
          <w:tcPr>
            <w:tcW w:type="dxa" w:w="1344"/>
          </w:tcPr>
          <w:p>
            <w:pPr>
              <w:spacing w:after="40"/>
              <w:jc w:val="center"/>
            </w:pPr>
            <w:r/>
            <w:r>
              <w:rPr>
                <w:sz w:val="18"/>
              </w:rPr>
              <w:t>Rad-LU</w:t>
            </w:r>
          </w:p>
        </w:tc>
        <w:tc>
          <w:tcPr>
            <w:tcW w:type="dxa" w:w="1344"/>
          </w:tcPr>
          <w:p>
            <w:pPr>
              <w:spacing w:after="40"/>
              <w:jc w:val="center"/>
            </w:pPr>
            <w:r/>
            <w:r>
              <w:rPr>
                <w:sz w:val="18"/>
              </w:rPr>
              <w:t>4</w:t>
            </w:r>
          </w:p>
        </w:tc>
        <w:tc>
          <w:tcPr>
            <w:tcW w:type="dxa" w:w="1344"/>
          </w:tcPr>
          <w:p>
            <w:pPr>
              <w:spacing w:after="40"/>
              <w:jc w:val="center"/>
            </w:pPr>
            <w:r/>
            <w:r>
              <w:rPr>
                <w:b/>
                <w:sz w:val="18"/>
              </w:rPr>
              <w:t>0.699</w:t>
            </w:r>
          </w:p>
        </w:tc>
        <w:tc>
          <w:tcPr>
            <w:tcW w:type="dxa" w:w="1344"/>
          </w:tcPr>
          <w:p>
            <w:pPr>
              <w:spacing w:after="40"/>
              <w:jc w:val="center"/>
            </w:pPr>
            <w:r/>
            <w:r>
              <w:rPr>
                <w:sz w:val="18"/>
              </w:rPr>
              <w:t>0.684</w:t>
            </w:r>
          </w:p>
        </w:tc>
        <w:tc>
          <w:tcPr>
            <w:tcW w:type="dxa" w:w="1344"/>
          </w:tcPr>
          <w:p>
            <w:pPr>
              <w:spacing w:after="40"/>
              <w:jc w:val="center"/>
            </w:pPr>
            <w:r/>
            <w:r>
              <w:rPr>
                <w:sz w:val="18"/>
              </w:rPr>
              <w:t>0.699</w:t>
            </w:r>
          </w:p>
        </w:tc>
        <w:tc>
          <w:tcPr>
            <w:tcW w:type="dxa" w:w="1344"/>
          </w:tcPr>
          <w:p>
            <w:pPr>
              <w:spacing w:after="40"/>
              <w:jc w:val="center"/>
            </w:pPr>
            <w:r/>
            <w:r>
              <w:rPr>
                <w:sz w:val="18"/>
              </w:rPr>
              <w:t>0.684</w:t>
            </w:r>
          </w:p>
        </w:tc>
      </w:tr>
      <w:tr>
        <w:tc>
          <w:tcPr>
            <w:tcW w:type="dxa" w:w="1344"/>
          </w:tcPr>
          <w:p>
            <w:pPr>
              <w:spacing w:after="40"/>
              <w:jc w:val="left"/>
            </w:pPr>
            <w:r/>
            <w:r>
              <w:rPr>
                <w:sz w:val="18"/>
              </w:rPr>
              <w:t>7</w:t>
            </w:r>
          </w:p>
        </w:tc>
        <w:tc>
          <w:tcPr>
            <w:tcW w:type="dxa" w:w="1344"/>
          </w:tcPr>
          <w:p>
            <w:pPr>
              <w:spacing w:after="40"/>
              <w:jc w:val="center"/>
            </w:pPr>
            <w:r/>
            <w:r>
              <w:rPr>
                <w:sz w:val="18"/>
              </w:rPr>
              <w:t>TMB+PDL1</w:t>
            </w:r>
          </w:p>
        </w:tc>
        <w:tc>
          <w:tcPr>
            <w:tcW w:type="dxa" w:w="1344"/>
          </w:tcPr>
          <w:p>
            <w:pPr>
              <w:spacing w:after="40"/>
              <w:jc w:val="center"/>
            </w:pPr>
            <w:r/>
            <w:r>
              <w:rPr>
                <w:sz w:val="18"/>
              </w:rPr>
              <w:t>2</w:t>
            </w:r>
          </w:p>
        </w:tc>
        <w:tc>
          <w:tcPr>
            <w:tcW w:type="dxa" w:w="1344"/>
          </w:tcPr>
          <w:p>
            <w:pPr>
              <w:spacing w:after="40"/>
              <w:jc w:val="center"/>
            </w:pPr>
            <w:r/>
            <w:r>
              <w:rPr>
                <w:sz w:val="18"/>
              </w:rPr>
              <w:t>0.636</w:t>
            </w:r>
          </w:p>
        </w:tc>
        <w:tc>
          <w:tcPr>
            <w:tcW w:type="dxa" w:w="1344"/>
          </w:tcPr>
          <w:p>
            <w:pPr>
              <w:spacing w:after="40"/>
              <w:jc w:val="center"/>
            </w:pPr>
            <w:r/>
            <w:r>
              <w:rPr>
                <w:b/>
                <w:sz w:val="18"/>
              </w:rPr>
              <w:t>0.699</w:t>
            </w:r>
          </w:p>
        </w:tc>
        <w:tc>
          <w:tcPr>
            <w:tcW w:type="dxa" w:w="1344"/>
          </w:tcPr>
          <w:p>
            <w:pPr>
              <w:spacing w:after="40"/>
              <w:jc w:val="center"/>
            </w:pPr>
            <w:r/>
            <w:r>
              <w:rPr>
                <w:sz w:val="18"/>
              </w:rPr>
              <w:t>0.636</w:t>
            </w:r>
          </w:p>
        </w:tc>
        <w:tc>
          <w:tcPr>
            <w:tcW w:type="dxa" w:w="1344"/>
          </w:tcPr>
          <w:p>
            <w:pPr>
              <w:spacing w:after="40"/>
              <w:jc w:val="center"/>
            </w:pPr>
            <w:r/>
            <w:r>
              <w:rPr>
                <w:sz w:val="18"/>
              </w:rPr>
              <w:t>0.699</w:t>
            </w:r>
          </w:p>
        </w:tc>
      </w:tr>
      <w:tr>
        <w:tc>
          <w:tcPr>
            <w:tcW w:type="dxa" w:w="1344"/>
          </w:tcPr>
          <w:p>
            <w:pPr>
              <w:spacing w:after="40"/>
              <w:jc w:val="left"/>
            </w:pPr>
            <w:r/>
            <w:r>
              <w:rPr>
                <w:sz w:val="18"/>
              </w:rPr>
              <w:t>8</w:t>
            </w:r>
          </w:p>
        </w:tc>
        <w:tc>
          <w:tcPr>
            <w:tcW w:type="dxa" w:w="1344"/>
          </w:tcPr>
          <w:p>
            <w:pPr>
              <w:spacing w:after="40"/>
              <w:jc w:val="center"/>
            </w:pPr>
            <w:r/>
            <w:r>
              <w:rPr>
                <w:sz w:val="18"/>
              </w:rPr>
              <w:t>PDL1+Gen (BM4)</w:t>
            </w:r>
          </w:p>
        </w:tc>
        <w:tc>
          <w:tcPr>
            <w:tcW w:type="dxa" w:w="1344"/>
          </w:tcPr>
          <w:p>
            <w:pPr>
              <w:spacing w:after="40"/>
              <w:jc w:val="center"/>
            </w:pPr>
            <w:r/>
            <w:r>
              <w:rPr>
                <w:sz w:val="18"/>
              </w:rPr>
              <w:t>2</w:t>
            </w:r>
          </w:p>
        </w:tc>
        <w:tc>
          <w:tcPr>
            <w:tcW w:type="dxa" w:w="1344"/>
          </w:tcPr>
          <w:p>
            <w:pPr>
              <w:spacing w:after="40"/>
              <w:jc w:val="center"/>
            </w:pPr>
            <w:r/>
            <w:r>
              <w:rPr>
                <w:sz w:val="18"/>
              </w:rPr>
              <w:t>0.693</w:t>
            </w:r>
          </w:p>
        </w:tc>
        <w:tc>
          <w:tcPr>
            <w:tcW w:type="dxa" w:w="1344"/>
          </w:tcPr>
          <w:p>
            <w:pPr>
              <w:spacing w:after="40"/>
              <w:jc w:val="center"/>
            </w:pPr>
            <w:r/>
            <w:r>
              <w:rPr>
                <w:b/>
                <w:sz w:val="18"/>
              </w:rPr>
              <w:t>0.716</w:t>
            </w:r>
          </w:p>
        </w:tc>
        <w:tc>
          <w:tcPr>
            <w:tcW w:type="dxa" w:w="1344"/>
          </w:tcPr>
          <w:p>
            <w:pPr>
              <w:spacing w:after="40"/>
              <w:jc w:val="center"/>
            </w:pPr>
            <w:r/>
            <w:r>
              <w:rPr>
                <w:sz w:val="18"/>
              </w:rPr>
              <w:t>0.693</w:t>
            </w:r>
          </w:p>
        </w:tc>
        <w:tc>
          <w:tcPr>
            <w:tcW w:type="dxa" w:w="1344"/>
          </w:tcPr>
          <w:p>
            <w:pPr>
              <w:spacing w:after="40"/>
              <w:jc w:val="center"/>
            </w:pPr>
            <w:r/>
            <w:r>
              <w:rPr>
                <w:sz w:val="18"/>
              </w:rPr>
              <w:t>0.716</w:t>
            </w:r>
          </w:p>
        </w:tc>
      </w:tr>
      <w:tr>
        <w:tc>
          <w:tcPr>
            <w:tcW w:type="dxa" w:w="1344"/>
          </w:tcPr>
          <w:p>
            <w:pPr>
              <w:spacing w:after="40"/>
              <w:jc w:val="left"/>
            </w:pPr>
            <w:r/>
            <w:r>
              <w:rPr>
                <w:sz w:val="18"/>
              </w:rPr>
              <w:t>9</w:t>
            </w:r>
          </w:p>
        </w:tc>
        <w:tc>
          <w:tcPr>
            <w:tcW w:type="dxa" w:w="1344"/>
          </w:tcPr>
          <w:p>
            <w:pPr>
              <w:spacing w:after="40"/>
              <w:jc w:val="center"/>
            </w:pPr>
            <w:r/>
            <w:r>
              <w:rPr>
                <w:sz w:val="18"/>
              </w:rPr>
              <w:t>Rad+IHC-A</w:t>
            </w:r>
          </w:p>
        </w:tc>
        <w:tc>
          <w:tcPr>
            <w:tcW w:type="dxa" w:w="1344"/>
          </w:tcPr>
          <w:p>
            <w:pPr>
              <w:spacing w:after="40"/>
              <w:jc w:val="center"/>
            </w:pPr>
            <w:r/>
            <w:r>
              <w:rPr>
                <w:sz w:val="18"/>
              </w:rPr>
              <w:t>4</w:t>
            </w:r>
          </w:p>
        </w:tc>
        <w:tc>
          <w:tcPr>
            <w:tcW w:type="dxa" w:w="1344"/>
          </w:tcPr>
          <w:p>
            <w:pPr>
              <w:spacing w:after="40"/>
              <w:jc w:val="center"/>
            </w:pPr>
            <w:r/>
            <w:r>
              <w:rPr>
                <w:b/>
                <w:sz w:val="18"/>
              </w:rPr>
              <w:t>0.681</w:t>
            </w:r>
          </w:p>
        </w:tc>
        <w:tc>
          <w:tcPr>
            <w:tcW w:type="dxa" w:w="1344"/>
          </w:tcPr>
          <w:p>
            <w:pPr>
              <w:spacing w:after="40"/>
              <w:jc w:val="center"/>
            </w:pPr>
            <w:r/>
            <w:r>
              <w:rPr>
                <w:sz w:val="18"/>
              </w:rPr>
              <w:t>0.672</w:t>
            </w:r>
          </w:p>
        </w:tc>
        <w:tc>
          <w:tcPr>
            <w:tcW w:type="dxa" w:w="1344"/>
          </w:tcPr>
          <w:p>
            <w:pPr>
              <w:spacing w:after="40"/>
              <w:jc w:val="center"/>
            </w:pPr>
            <w:r/>
            <w:r>
              <w:rPr>
                <w:sz w:val="18"/>
              </w:rPr>
              <w:t>0.681</w:t>
            </w:r>
          </w:p>
        </w:tc>
        <w:tc>
          <w:tcPr>
            <w:tcW w:type="dxa" w:w="1344"/>
          </w:tcPr>
          <w:p>
            <w:pPr>
              <w:spacing w:after="40"/>
              <w:jc w:val="center"/>
            </w:pPr>
            <w:r/>
            <w:r>
              <w:rPr>
                <w:sz w:val="18"/>
              </w:rPr>
              <w:t>0.672</w:t>
            </w:r>
          </w:p>
        </w:tc>
      </w:tr>
      <w:tr>
        <w:tc>
          <w:tcPr>
            <w:tcW w:type="dxa" w:w="1344"/>
          </w:tcPr>
          <w:p>
            <w:pPr>
              <w:spacing w:after="40"/>
              <w:jc w:val="left"/>
            </w:pPr>
            <w:r/>
            <w:r>
              <w:rPr>
                <w:sz w:val="18"/>
              </w:rPr>
              <w:t>10</w:t>
            </w:r>
          </w:p>
        </w:tc>
        <w:tc>
          <w:tcPr>
            <w:tcW w:type="dxa" w:w="1344"/>
          </w:tcPr>
          <w:p>
            <w:pPr>
              <w:spacing w:after="40"/>
              <w:jc w:val="center"/>
            </w:pPr>
            <w:r/>
            <w:r>
              <w:rPr>
                <w:sz w:val="18"/>
              </w:rPr>
              <w:t>Rad+IHC-G</w:t>
            </w:r>
          </w:p>
        </w:tc>
        <w:tc>
          <w:tcPr>
            <w:tcW w:type="dxa" w:w="1344"/>
          </w:tcPr>
          <w:p>
            <w:pPr>
              <w:spacing w:after="40"/>
              <w:jc w:val="center"/>
            </w:pPr>
            <w:r/>
            <w:r>
              <w:rPr>
                <w:sz w:val="18"/>
              </w:rPr>
              <w:t>4</w:t>
            </w:r>
          </w:p>
        </w:tc>
        <w:tc>
          <w:tcPr>
            <w:tcW w:type="dxa" w:w="1344"/>
          </w:tcPr>
          <w:p>
            <w:pPr>
              <w:spacing w:after="40"/>
              <w:jc w:val="center"/>
            </w:pPr>
            <w:r/>
            <w:r>
              <w:rPr>
                <w:b/>
                <w:sz w:val="18"/>
              </w:rPr>
              <w:t>0.713</w:t>
            </w:r>
          </w:p>
        </w:tc>
        <w:tc>
          <w:tcPr>
            <w:tcW w:type="dxa" w:w="1344"/>
          </w:tcPr>
          <w:p>
            <w:pPr>
              <w:spacing w:after="40"/>
              <w:jc w:val="center"/>
            </w:pPr>
            <w:r/>
            <w:r>
              <w:rPr>
                <w:sz w:val="18"/>
              </w:rPr>
              <w:t>0.702</w:t>
            </w:r>
          </w:p>
        </w:tc>
        <w:tc>
          <w:tcPr>
            <w:tcW w:type="dxa" w:w="1344"/>
          </w:tcPr>
          <w:p>
            <w:pPr>
              <w:spacing w:after="40"/>
              <w:jc w:val="center"/>
            </w:pPr>
            <w:r/>
            <w:r>
              <w:rPr>
                <w:sz w:val="18"/>
              </w:rPr>
              <w:t>0.713</w:t>
            </w:r>
          </w:p>
        </w:tc>
        <w:tc>
          <w:tcPr>
            <w:tcW w:type="dxa" w:w="1344"/>
          </w:tcPr>
          <w:p>
            <w:pPr>
              <w:spacing w:after="40"/>
              <w:jc w:val="center"/>
            </w:pPr>
            <w:r/>
            <w:r>
              <w:rPr>
                <w:sz w:val="18"/>
              </w:rPr>
              <w:t>0.702</w:t>
            </w:r>
          </w:p>
        </w:tc>
      </w:tr>
      <w:tr>
        <w:tc>
          <w:tcPr>
            <w:tcW w:type="dxa" w:w="1344"/>
          </w:tcPr>
          <w:p>
            <w:pPr>
              <w:spacing w:after="40"/>
              <w:jc w:val="left"/>
            </w:pPr>
            <w:r/>
            <w:r>
              <w:rPr>
                <w:sz w:val="18"/>
              </w:rPr>
              <w:t>11</w:t>
            </w:r>
          </w:p>
        </w:tc>
        <w:tc>
          <w:tcPr>
            <w:tcW w:type="dxa" w:w="1344"/>
          </w:tcPr>
          <w:p>
            <w:pPr>
              <w:spacing w:after="40"/>
              <w:jc w:val="center"/>
            </w:pPr>
            <w:r/>
            <w:r>
              <w:rPr>
                <w:sz w:val="18"/>
              </w:rPr>
              <w:t>Rad+Gen (BM3)</w:t>
            </w:r>
          </w:p>
        </w:tc>
        <w:tc>
          <w:tcPr>
            <w:tcW w:type="dxa" w:w="1344"/>
          </w:tcPr>
          <w:p>
            <w:pPr>
              <w:spacing w:after="40"/>
              <w:jc w:val="center"/>
            </w:pPr>
            <w:r/>
            <w:r>
              <w:rPr>
                <w:sz w:val="18"/>
              </w:rPr>
              <w:t>4</w:t>
            </w:r>
          </w:p>
        </w:tc>
        <w:tc>
          <w:tcPr>
            <w:tcW w:type="dxa" w:w="1344"/>
          </w:tcPr>
          <w:p>
            <w:pPr>
              <w:spacing w:after="40"/>
              <w:jc w:val="center"/>
            </w:pPr>
            <w:r/>
            <w:r>
              <w:rPr>
                <w:b/>
                <w:sz w:val="18"/>
              </w:rPr>
              <w:t>0.759</w:t>
            </w:r>
          </w:p>
        </w:tc>
        <w:tc>
          <w:tcPr>
            <w:tcW w:type="dxa" w:w="1344"/>
          </w:tcPr>
          <w:p>
            <w:pPr>
              <w:spacing w:after="40"/>
              <w:jc w:val="center"/>
            </w:pPr>
            <w:r/>
            <w:r>
              <w:rPr>
                <w:sz w:val="18"/>
              </w:rPr>
              <w:t>0.755</w:t>
            </w:r>
          </w:p>
        </w:tc>
        <w:tc>
          <w:tcPr>
            <w:tcW w:type="dxa" w:w="1344"/>
          </w:tcPr>
          <w:p>
            <w:pPr>
              <w:spacing w:after="40"/>
              <w:jc w:val="center"/>
            </w:pPr>
            <w:r/>
            <w:r>
              <w:rPr>
                <w:sz w:val="18"/>
              </w:rPr>
              <w:t>0.759</w:t>
            </w:r>
          </w:p>
        </w:tc>
        <w:tc>
          <w:tcPr>
            <w:tcW w:type="dxa" w:w="1344"/>
          </w:tcPr>
          <w:p>
            <w:pPr>
              <w:spacing w:after="40"/>
              <w:jc w:val="center"/>
            </w:pPr>
            <w:r/>
            <w:r>
              <w:rPr>
                <w:sz w:val="18"/>
              </w:rPr>
              <w:t>0.755</w:t>
            </w:r>
          </w:p>
        </w:tc>
      </w:tr>
      <w:tr>
        <w:tc>
          <w:tcPr>
            <w:tcW w:type="dxa" w:w="1344"/>
          </w:tcPr>
          <w:p>
            <w:pPr>
              <w:spacing w:after="40"/>
              <w:jc w:val="left"/>
            </w:pPr>
            <w:r/>
            <w:r>
              <w:rPr>
                <w:sz w:val="18"/>
              </w:rPr>
              <w:t>12</w:t>
            </w:r>
          </w:p>
        </w:tc>
        <w:tc>
          <w:tcPr>
            <w:tcW w:type="dxa" w:w="1344"/>
          </w:tcPr>
          <w:p>
            <w:pPr>
              <w:spacing w:after="40"/>
              <w:jc w:val="center"/>
            </w:pPr>
            <w:r/>
            <w:r>
              <w:rPr>
                <w:sz w:val="18"/>
              </w:rPr>
              <w:t>IHC-A+Gen</w:t>
            </w:r>
          </w:p>
        </w:tc>
        <w:tc>
          <w:tcPr>
            <w:tcW w:type="dxa" w:w="1344"/>
          </w:tcPr>
          <w:p>
            <w:pPr>
              <w:spacing w:after="40"/>
              <w:jc w:val="center"/>
            </w:pPr>
            <w:r/>
            <w:r>
              <w:rPr>
                <w:sz w:val="18"/>
              </w:rPr>
              <w:t>2</w:t>
            </w:r>
          </w:p>
        </w:tc>
        <w:tc>
          <w:tcPr>
            <w:tcW w:type="dxa" w:w="1344"/>
          </w:tcPr>
          <w:p>
            <w:pPr>
              <w:spacing w:after="40"/>
              <w:jc w:val="center"/>
            </w:pPr>
            <w:r/>
            <w:r>
              <w:rPr>
                <w:sz w:val="18"/>
              </w:rPr>
              <w:t>0.715</w:t>
            </w:r>
          </w:p>
        </w:tc>
        <w:tc>
          <w:tcPr>
            <w:tcW w:type="dxa" w:w="1344"/>
          </w:tcPr>
          <w:p>
            <w:pPr>
              <w:spacing w:after="40"/>
              <w:jc w:val="center"/>
            </w:pPr>
            <w:r/>
            <w:r>
              <w:rPr>
                <w:b/>
                <w:sz w:val="18"/>
              </w:rPr>
              <w:t>0.716</w:t>
            </w:r>
          </w:p>
        </w:tc>
        <w:tc>
          <w:tcPr>
            <w:tcW w:type="dxa" w:w="1344"/>
          </w:tcPr>
          <w:p>
            <w:pPr>
              <w:spacing w:after="40"/>
              <w:jc w:val="center"/>
            </w:pPr>
            <w:r/>
            <w:r>
              <w:rPr>
                <w:sz w:val="18"/>
              </w:rPr>
              <w:t>0.715</w:t>
            </w:r>
          </w:p>
        </w:tc>
        <w:tc>
          <w:tcPr>
            <w:tcW w:type="dxa" w:w="1344"/>
          </w:tcPr>
          <w:p>
            <w:pPr>
              <w:spacing w:after="40"/>
              <w:jc w:val="center"/>
            </w:pPr>
            <w:r/>
            <w:r>
              <w:rPr>
                <w:sz w:val="18"/>
              </w:rPr>
              <w:t>0.716</w:t>
            </w:r>
          </w:p>
        </w:tc>
      </w:tr>
      <w:tr>
        <w:tc>
          <w:tcPr>
            <w:tcW w:type="dxa" w:w="1344"/>
          </w:tcPr>
          <w:p>
            <w:pPr>
              <w:spacing w:after="40"/>
              <w:jc w:val="left"/>
            </w:pPr>
            <w:r/>
            <w:r>
              <w:rPr>
                <w:sz w:val="18"/>
              </w:rPr>
              <w:t>13</w:t>
            </w:r>
          </w:p>
        </w:tc>
        <w:tc>
          <w:tcPr>
            <w:tcW w:type="dxa" w:w="1344"/>
          </w:tcPr>
          <w:p>
            <w:pPr>
              <w:spacing w:after="40"/>
              <w:jc w:val="center"/>
            </w:pPr>
            <w:r/>
            <w:r>
              <w:rPr>
                <w:sz w:val="18"/>
              </w:rPr>
              <w:t>IHC-G+Gen</w:t>
            </w:r>
          </w:p>
        </w:tc>
        <w:tc>
          <w:tcPr>
            <w:tcW w:type="dxa" w:w="1344"/>
          </w:tcPr>
          <w:p>
            <w:pPr>
              <w:spacing w:after="40"/>
              <w:jc w:val="center"/>
            </w:pPr>
            <w:r/>
            <w:r>
              <w:rPr>
                <w:sz w:val="18"/>
              </w:rPr>
              <w:t>2</w:t>
            </w:r>
          </w:p>
        </w:tc>
        <w:tc>
          <w:tcPr>
            <w:tcW w:type="dxa" w:w="1344"/>
          </w:tcPr>
          <w:p>
            <w:pPr>
              <w:spacing w:after="40"/>
              <w:jc w:val="center"/>
            </w:pPr>
            <w:r/>
            <w:r>
              <w:rPr>
                <w:b/>
                <w:sz w:val="18"/>
              </w:rPr>
              <w:t>0.756</w:t>
            </w:r>
          </w:p>
        </w:tc>
        <w:tc>
          <w:tcPr>
            <w:tcW w:type="dxa" w:w="1344"/>
          </w:tcPr>
          <w:p>
            <w:pPr>
              <w:spacing w:after="40"/>
              <w:jc w:val="center"/>
            </w:pPr>
            <w:r/>
            <w:r>
              <w:rPr>
                <w:sz w:val="18"/>
              </w:rPr>
              <w:t>0.723</w:t>
            </w:r>
          </w:p>
        </w:tc>
        <w:tc>
          <w:tcPr>
            <w:tcW w:type="dxa" w:w="1344"/>
          </w:tcPr>
          <w:p>
            <w:pPr>
              <w:spacing w:after="40"/>
              <w:jc w:val="center"/>
            </w:pPr>
            <w:r/>
            <w:r>
              <w:rPr>
                <w:sz w:val="18"/>
              </w:rPr>
              <w:t>0.756</w:t>
            </w:r>
          </w:p>
        </w:tc>
        <w:tc>
          <w:tcPr>
            <w:tcW w:type="dxa" w:w="1344"/>
          </w:tcPr>
          <w:p>
            <w:pPr>
              <w:spacing w:after="40"/>
              <w:jc w:val="center"/>
            </w:pPr>
            <w:r/>
            <w:r>
              <w:rPr>
                <w:sz w:val="18"/>
              </w:rPr>
              <w:t>0.723</w:t>
            </w:r>
          </w:p>
        </w:tc>
      </w:tr>
      <w:tr>
        <w:tc>
          <w:tcPr>
            <w:tcW w:type="dxa" w:w="1344"/>
          </w:tcPr>
          <w:p>
            <w:pPr>
              <w:spacing w:after="40"/>
              <w:jc w:val="left"/>
            </w:pPr>
            <w:r/>
            <w:r>
              <w:rPr>
                <w:sz w:val="18"/>
              </w:rPr>
              <w:t>14</w:t>
            </w:r>
          </w:p>
        </w:tc>
        <w:tc>
          <w:tcPr>
            <w:tcW w:type="dxa" w:w="1344"/>
          </w:tcPr>
          <w:p>
            <w:pPr>
              <w:spacing w:after="40"/>
              <w:jc w:val="center"/>
            </w:pPr>
            <w:r/>
            <w:r>
              <w:rPr>
                <w:sz w:val="18"/>
              </w:rPr>
              <w:t>Rad+IHC-A+Gen</w:t>
            </w:r>
          </w:p>
        </w:tc>
        <w:tc>
          <w:tcPr>
            <w:tcW w:type="dxa" w:w="1344"/>
          </w:tcPr>
          <w:p>
            <w:pPr>
              <w:spacing w:after="40"/>
              <w:jc w:val="center"/>
            </w:pPr>
            <w:r/>
            <w:r>
              <w:rPr>
                <w:sz w:val="18"/>
              </w:rPr>
              <w:t>5</w:t>
            </w:r>
          </w:p>
        </w:tc>
        <w:tc>
          <w:tcPr>
            <w:tcW w:type="dxa" w:w="1344"/>
          </w:tcPr>
          <w:p>
            <w:pPr>
              <w:spacing w:after="40"/>
              <w:jc w:val="center"/>
            </w:pPr>
            <w:r/>
            <w:r>
              <w:rPr>
                <w:b/>
                <w:sz w:val="18"/>
              </w:rPr>
              <w:t>0.754</w:t>
            </w:r>
          </w:p>
        </w:tc>
        <w:tc>
          <w:tcPr>
            <w:tcW w:type="dxa" w:w="1344"/>
          </w:tcPr>
          <w:p>
            <w:pPr>
              <w:spacing w:after="40"/>
              <w:jc w:val="center"/>
            </w:pPr>
            <w:r/>
            <w:r>
              <w:rPr>
                <w:sz w:val="18"/>
              </w:rPr>
              <w:t>0.748</w:t>
            </w:r>
          </w:p>
        </w:tc>
        <w:tc>
          <w:tcPr>
            <w:tcW w:type="dxa" w:w="1344"/>
          </w:tcPr>
          <w:p>
            <w:pPr>
              <w:spacing w:after="40"/>
              <w:jc w:val="center"/>
            </w:pPr>
            <w:r/>
            <w:r>
              <w:rPr>
                <w:sz w:val="18"/>
              </w:rPr>
              <w:t>0.754</w:t>
            </w:r>
          </w:p>
        </w:tc>
        <w:tc>
          <w:tcPr>
            <w:tcW w:type="dxa" w:w="1344"/>
          </w:tcPr>
          <w:p>
            <w:pPr>
              <w:spacing w:after="40"/>
              <w:jc w:val="center"/>
            </w:pPr>
            <w:r/>
            <w:r>
              <w:rPr>
                <w:sz w:val="18"/>
              </w:rPr>
              <w:t>0.748</w:t>
            </w:r>
          </w:p>
        </w:tc>
      </w:tr>
      <w:tr>
        <w:tc>
          <w:tcPr>
            <w:tcW w:type="dxa" w:w="1344"/>
          </w:tcPr>
          <w:p>
            <w:pPr>
              <w:spacing w:after="40"/>
              <w:jc w:val="left"/>
            </w:pPr>
            <w:r/>
            <w:r>
              <w:rPr>
                <w:sz w:val="18"/>
              </w:rPr>
              <w:t>15</w:t>
            </w:r>
          </w:p>
        </w:tc>
        <w:tc>
          <w:tcPr>
            <w:tcW w:type="dxa" w:w="1344"/>
          </w:tcPr>
          <w:p>
            <w:pPr>
              <w:spacing w:after="40"/>
              <w:jc w:val="center"/>
            </w:pPr>
            <w:r/>
            <w:r>
              <w:rPr>
                <w:sz w:val="18"/>
              </w:rPr>
              <w:t>Rad+IHC-G+Gen</w:t>
            </w:r>
          </w:p>
        </w:tc>
        <w:tc>
          <w:tcPr>
            <w:tcW w:type="dxa" w:w="1344"/>
          </w:tcPr>
          <w:p>
            <w:pPr>
              <w:spacing w:after="40"/>
              <w:jc w:val="center"/>
            </w:pPr>
            <w:r/>
            <w:r>
              <w:rPr>
                <w:sz w:val="18"/>
              </w:rPr>
              <w:t>5</w:t>
            </w:r>
          </w:p>
        </w:tc>
        <w:tc>
          <w:tcPr>
            <w:tcW w:type="dxa" w:w="1344"/>
          </w:tcPr>
          <w:p>
            <w:pPr>
              <w:spacing w:after="40"/>
              <w:jc w:val="center"/>
            </w:pPr>
            <w:r/>
            <w:r>
              <w:rPr>
                <w:b/>
                <w:sz w:val="18"/>
              </w:rPr>
              <w:t>0.782</w:t>
            </w:r>
          </w:p>
        </w:tc>
        <w:tc>
          <w:tcPr>
            <w:tcW w:type="dxa" w:w="1344"/>
          </w:tcPr>
          <w:p>
            <w:pPr>
              <w:spacing w:after="40"/>
              <w:jc w:val="center"/>
            </w:pPr>
            <w:r/>
            <w:r>
              <w:rPr>
                <w:sz w:val="18"/>
              </w:rPr>
              <w:t>0.774</w:t>
            </w:r>
          </w:p>
        </w:tc>
        <w:tc>
          <w:tcPr>
            <w:tcW w:type="dxa" w:w="1344"/>
          </w:tcPr>
          <w:p>
            <w:pPr>
              <w:spacing w:after="40"/>
              <w:jc w:val="center"/>
            </w:pPr>
            <w:r/>
            <w:r>
              <w:rPr>
                <w:sz w:val="18"/>
              </w:rPr>
              <w:t>0.782</w:t>
            </w:r>
          </w:p>
        </w:tc>
        <w:tc>
          <w:tcPr>
            <w:tcW w:type="dxa" w:w="1344"/>
          </w:tcPr>
          <w:p>
            <w:pPr>
              <w:spacing w:after="40"/>
              <w:jc w:val="center"/>
            </w:pPr>
            <w:r/>
            <w:r>
              <w:rPr>
                <w:sz w:val="18"/>
              </w:rPr>
              <w:t>0.774</w:t>
            </w:r>
          </w:p>
        </w:tc>
      </w:tr>
      <w:tr>
        <w:tc>
          <w:tcPr>
            <w:tcW w:type="dxa" w:w="1344"/>
          </w:tcPr>
          <w:p>
            <w:pPr>
              <w:spacing w:after="40"/>
              <w:jc w:val="left"/>
            </w:pPr>
            <w:r/>
            <w:r>
              <w:rPr>
                <w:sz w:val="18"/>
              </w:rPr>
              <w:t>16</w:t>
            </w:r>
          </w:p>
        </w:tc>
        <w:tc>
          <w:tcPr>
            <w:tcW w:type="dxa" w:w="1344"/>
          </w:tcPr>
          <w:p>
            <w:pPr>
              <w:spacing w:after="40"/>
              <w:jc w:val="center"/>
            </w:pPr>
            <w:r/>
            <w:r>
              <w:rPr>
                <w:sz w:val="18"/>
              </w:rPr>
              <w:t>Rad+IHC-A+MutAmp</w:t>
            </w:r>
          </w:p>
        </w:tc>
        <w:tc>
          <w:tcPr>
            <w:tcW w:type="dxa" w:w="1344"/>
          </w:tcPr>
          <w:p>
            <w:pPr>
              <w:spacing w:after="40"/>
              <w:jc w:val="center"/>
            </w:pPr>
            <w:r/>
            <w:r>
              <w:rPr>
                <w:sz w:val="18"/>
              </w:rPr>
              <w:t>6</w:t>
            </w:r>
          </w:p>
        </w:tc>
        <w:tc>
          <w:tcPr>
            <w:tcW w:type="dxa" w:w="1344"/>
          </w:tcPr>
          <w:p>
            <w:pPr>
              <w:spacing w:after="40"/>
              <w:jc w:val="center"/>
            </w:pPr>
            <w:r/>
            <w:r>
              <w:rPr>
                <w:b/>
                <w:sz w:val="18"/>
              </w:rPr>
              <w:t>0.782</w:t>
            </w:r>
          </w:p>
        </w:tc>
        <w:tc>
          <w:tcPr>
            <w:tcW w:type="dxa" w:w="1344"/>
          </w:tcPr>
          <w:p>
            <w:pPr>
              <w:spacing w:after="40"/>
              <w:jc w:val="center"/>
            </w:pPr>
            <w:r/>
            <w:r>
              <w:rPr>
                <w:sz w:val="18"/>
              </w:rPr>
              <w:t>0.767</w:t>
            </w:r>
          </w:p>
        </w:tc>
        <w:tc>
          <w:tcPr>
            <w:tcW w:type="dxa" w:w="1344"/>
          </w:tcPr>
          <w:p>
            <w:pPr>
              <w:spacing w:after="40"/>
              <w:jc w:val="center"/>
            </w:pPr>
            <w:r/>
            <w:r>
              <w:rPr>
                <w:sz w:val="18"/>
              </w:rPr>
              <w:t>0.782</w:t>
            </w:r>
          </w:p>
        </w:tc>
        <w:tc>
          <w:tcPr>
            <w:tcW w:type="dxa" w:w="1344"/>
          </w:tcPr>
          <w:p>
            <w:pPr>
              <w:spacing w:after="40"/>
              <w:jc w:val="center"/>
            </w:pPr>
            <w:r/>
            <w:r>
              <w:rPr>
                <w:sz w:val="18"/>
              </w:rPr>
              <w:t>0.767</w:t>
            </w:r>
          </w:p>
        </w:tc>
      </w:tr>
      <w:tr>
        <w:tc>
          <w:tcPr>
            <w:tcW w:type="dxa" w:w="1344"/>
          </w:tcPr>
          <w:p>
            <w:pPr>
              <w:spacing w:after="40"/>
              <w:jc w:val="left"/>
            </w:pPr>
            <w:r/>
            <w:r>
              <w:rPr>
                <w:sz w:val="18"/>
              </w:rPr>
              <w:t>17</w:t>
            </w:r>
          </w:p>
        </w:tc>
        <w:tc>
          <w:tcPr>
            <w:tcW w:type="dxa" w:w="1344"/>
          </w:tcPr>
          <w:p>
            <w:pPr>
              <w:spacing w:after="40"/>
              <w:jc w:val="center"/>
            </w:pPr>
            <w:r/>
            <w:r>
              <w:rPr>
                <w:sz w:val="18"/>
              </w:rPr>
              <w:t>Rad+IHC-A+Gen+PDL1</w:t>
            </w:r>
          </w:p>
        </w:tc>
        <w:tc>
          <w:tcPr>
            <w:tcW w:type="dxa" w:w="1344"/>
          </w:tcPr>
          <w:p>
            <w:pPr>
              <w:spacing w:after="40"/>
              <w:jc w:val="center"/>
            </w:pPr>
            <w:r/>
            <w:r>
              <w:rPr>
                <w:sz w:val="18"/>
              </w:rPr>
              <w:t>6</w:t>
            </w:r>
          </w:p>
        </w:tc>
        <w:tc>
          <w:tcPr>
            <w:tcW w:type="dxa" w:w="1344"/>
          </w:tcPr>
          <w:p>
            <w:pPr>
              <w:spacing w:after="40"/>
              <w:jc w:val="center"/>
            </w:pPr>
            <w:r/>
            <w:r>
              <w:rPr>
                <w:b/>
                <w:sz w:val="18"/>
              </w:rPr>
              <w:t>0.798</w:t>
            </w:r>
          </w:p>
        </w:tc>
        <w:tc>
          <w:tcPr>
            <w:tcW w:type="dxa" w:w="1344"/>
          </w:tcPr>
          <w:p>
            <w:pPr>
              <w:spacing w:after="40"/>
              <w:jc w:val="center"/>
            </w:pPr>
            <w:r/>
            <w:r>
              <w:rPr>
                <w:sz w:val="18"/>
              </w:rPr>
              <w:t>0.768</w:t>
            </w:r>
          </w:p>
        </w:tc>
        <w:tc>
          <w:tcPr>
            <w:tcW w:type="dxa" w:w="1344"/>
          </w:tcPr>
          <w:p>
            <w:pPr>
              <w:spacing w:after="40"/>
              <w:jc w:val="center"/>
            </w:pPr>
            <w:r/>
            <w:r>
              <w:rPr>
                <w:sz w:val="18"/>
              </w:rPr>
              <w:t>0.798</w:t>
            </w:r>
          </w:p>
        </w:tc>
        <w:tc>
          <w:tcPr>
            <w:tcW w:type="dxa" w:w="1344"/>
          </w:tcPr>
          <w:p>
            <w:pPr>
              <w:spacing w:after="40"/>
              <w:jc w:val="center"/>
            </w:pPr>
            <w:r/>
            <w:r>
              <w:rPr>
                <w:sz w:val="18"/>
              </w:rPr>
              <w:t>0.768</w:t>
            </w:r>
          </w:p>
        </w:tc>
      </w:tr>
      <w:tr>
        <w:tc>
          <w:tcPr>
            <w:tcW w:type="dxa" w:w="1344"/>
          </w:tcPr>
          <w:p>
            <w:pPr>
              <w:spacing w:after="40"/>
              <w:jc w:val="left"/>
            </w:pPr>
            <w:r/>
            <w:r>
              <w:rPr>
                <w:sz w:val="18"/>
              </w:rPr>
              <w:t>18</w:t>
            </w:r>
          </w:p>
        </w:tc>
        <w:tc>
          <w:tcPr>
            <w:tcW w:type="dxa" w:w="1344"/>
          </w:tcPr>
          <w:p>
            <w:pPr>
              <w:spacing w:after="40"/>
              <w:jc w:val="center"/>
            </w:pPr>
            <w:r/>
            <w:r>
              <w:rPr>
                <w:sz w:val="18"/>
              </w:rPr>
              <w:t>Rad+IHC-G+Gen+PDL1 (BM1)</w:t>
            </w:r>
          </w:p>
        </w:tc>
        <w:tc>
          <w:tcPr>
            <w:tcW w:type="dxa" w:w="1344"/>
          </w:tcPr>
          <w:p>
            <w:pPr>
              <w:spacing w:after="40"/>
              <w:jc w:val="center"/>
            </w:pPr>
            <w:r/>
            <w:r>
              <w:rPr>
                <w:sz w:val="18"/>
              </w:rPr>
              <w:t>6</w:t>
            </w:r>
          </w:p>
        </w:tc>
        <w:tc>
          <w:tcPr>
            <w:tcW w:type="dxa" w:w="1344"/>
          </w:tcPr>
          <w:p>
            <w:pPr>
              <w:spacing w:after="40"/>
              <w:jc w:val="center"/>
            </w:pPr>
            <w:r/>
            <w:r>
              <w:rPr>
                <w:sz w:val="18"/>
              </w:rPr>
              <w:t>0.783</w:t>
            </w:r>
          </w:p>
        </w:tc>
        <w:tc>
          <w:tcPr>
            <w:tcW w:type="dxa" w:w="1344"/>
          </w:tcPr>
          <w:p>
            <w:pPr>
              <w:spacing w:after="40"/>
              <w:jc w:val="center"/>
            </w:pPr>
            <w:r/>
            <w:r>
              <w:rPr>
                <w:b/>
                <w:sz w:val="18"/>
              </w:rPr>
              <w:t>0.801</w:t>
            </w:r>
          </w:p>
        </w:tc>
        <w:tc>
          <w:tcPr>
            <w:tcW w:type="dxa" w:w="1344"/>
          </w:tcPr>
          <w:p>
            <w:pPr>
              <w:spacing w:after="40"/>
              <w:jc w:val="center"/>
            </w:pPr>
            <w:r/>
            <w:r>
              <w:rPr>
                <w:sz w:val="18"/>
              </w:rPr>
              <w:t>0.783</w:t>
            </w:r>
          </w:p>
        </w:tc>
        <w:tc>
          <w:tcPr>
            <w:tcW w:type="dxa" w:w="1344"/>
          </w:tcPr>
          <w:p>
            <w:pPr>
              <w:spacing w:after="40"/>
              <w:jc w:val="center"/>
            </w:pPr>
            <w:r/>
            <w:r>
              <w:rPr>
                <w:sz w:val="18"/>
              </w:rPr>
              <w:t>0.801</w:t>
            </w:r>
          </w:p>
        </w:tc>
      </w:tr>
      <w:tr>
        <w:tc>
          <w:tcPr>
            <w:tcW w:type="dxa" w:w="1344"/>
          </w:tcPr>
          <w:p>
            <w:pPr>
              <w:spacing w:after="40"/>
              <w:jc w:val="left"/>
            </w:pPr>
            <w:r/>
            <w:r>
              <w:rPr>
                <w:sz w:val="18"/>
              </w:rPr>
              <w:t>19</w:t>
            </w:r>
          </w:p>
        </w:tc>
        <w:tc>
          <w:tcPr>
            <w:tcW w:type="dxa" w:w="1344"/>
          </w:tcPr>
          <w:p>
            <w:pPr>
              <w:spacing w:after="40"/>
              <w:jc w:val="center"/>
            </w:pPr>
            <w:r/>
            <w:r>
              <w:rPr>
                <w:sz w:val="18"/>
              </w:rPr>
              <w:t>Rad+IHC-A+Gen+TMB+PDL1</w:t>
            </w:r>
          </w:p>
        </w:tc>
        <w:tc>
          <w:tcPr>
            <w:tcW w:type="dxa" w:w="1344"/>
          </w:tcPr>
          <w:p>
            <w:pPr>
              <w:spacing w:after="40"/>
              <w:jc w:val="center"/>
            </w:pPr>
            <w:r/>
            <w:r>
              <w:rPr>
                <w:sz w:val="18"/>
              </w:rPr>
              <w:t>7</w:t>
            </w:r>
          </w:p>
        </w:tc>
        <w:tc>
          <w:tcPr>
            <w:tcW w:type="dxa" w:w="1344"/>
          </w:tcPr>
          <w:p>
            <w:pPr>
              <w:spacing w:after="40"/>
              <w:jc w:val="center"/>
            </w:pPr>
            <w:r/>
            <w:r>
              <w:rPr>
                <w:sz w:val="18"/>
              </w:rPr>
              <w:t>0.778</w:t>
            </w:r>
          </w:p>
        </w:tc>
        <w:tc>
          <w:tcPr>
            <w:tcW w:type="dxa" w:w="1344"/>
          </w:tcPr>
          <w:p>
            <w:pPr>
              <w:spacing w:after="40"/>
              <w:jc w:val="center"/>
            </w:pPr>
            <w:r/>
            <w:r>
              <w:rPr>
                <w:b/>
                <w:sz w:val="18"/>
              </w:rPr>
              <w:t>0.780</w:t>
            </w:r>
          </w:p>
        </w:tc>
        <w:tc>
          <w:tcPr>
            <w:tcW w:type="dxa" w:w="1344"/>
          </w:tcPr>
          <w:p>
            <w:pPr>
              <w:spacing w:after="40"/>
              <w:jc w:val="center"/>
            </w:pPr>
            <w:r/>
            <w:r>
              <w:rPr>
                <w:sz w:val="18"/>
              </w:rPr>
              <w:t>0.778</w:t>
            </w:r>
          </w:p>
        </w:tc>
        <w:tc>
          <w:tcPr>
            <w:tcW w:type="dxa" w:w="1344"/>
          </w:tcPr>
          <w:p>
            <w:pPr>
              <w:spacing w:after="40"/>
              <w:jc w:val="center"/>
            </w:pPr>
            <w:r/>
            <w:r>
              <w:rPr>
                <w:sz w:val="18"/>
              </w:rPr>
              <w:t>0.780</w:t>
            </w:r>
          </w:p>
        </w:tc>
      </w:tr>
      <w:tr>
        <w:tc>
          <w:tcPr>
            <w:tcW w:type="dxa" w:w="1344"/>
          </w:tcPr>
          <w:p>
            <w:pPr>
              <w:spacing w:after="40"/>
              <w:jc w:val="left"/>
            </w:pPr>
            <w:r/>
            <w:r>
              <w:rPr>
                <w:sz w:val="18"/>
              </w:rPr>
              <w:t>20</w:t>
            </w:r>
          </w:p>
        </w:tc>
        <w:tc>
          <w:tcPr>
            <w:tcW w:type="dxa" w:w="1344"/>
          </w:tcPr>
          <w:p>
            <w:pPr>
              <w:spacing w:after="40"/>
              <w:jc w:val="center"/>
            </w:pPr>
            <w:r/>
            <w:r>
              <w:rPr>
                <w:sz w:val="18"/>
              </w:rPr>
              <w:t>Rad+IHC-A+Gen+PDL1+Labs</w:t>
            </w:r>
          </w:p>
        </w:tc>
        <w:tc>
          <w:tcPr>
            <w:tcW w:type="dxa" w:w="1344"/>
          </w:tcPr>
          <w:p>
            <w:pPr>
              <w:spacing w:after="40"/>
              <w:jc w:val="center"/>
            </w:pPr>
            <w:r/>
            <w:r>
              <w:rPr>
                <w:sz w:val="18"/>
              </w:rPr>
              <w:t>7</w:t>
            </w:r>
          </w:p>
        </w:tc>
        <w:tc>
          <w:tcPr>
            <w:tcW w:type="dxa" w:w="1344"/>
          </w:tcPr>
          <w:p>
            <w:pPr>
              <w:spacing w:after="40"/>
              <w:jc w:val="center"/>
            </w:pPr>
            <w:r/>
            <w:r>
              <w:rPr>
                <w:sz w:val="18"/>
              </w:rPr>
              <w:t>0.753</w:t>
            </w:r>
          </w:p>
        </w:tc>
        <w:tc>
          <w:tcPr>
            <w:tcW w:type="dxa" w:w="1344"/>
          </w:tcPr>
          <w:p>
            <w:pPr>
              <w:spacing w:after="40"/>
              <w:jc w:val="center"/>
            </w:pPr>
            <w:r/>
            <w:r>
              <w:rPr>
                <w:sz w:val="18"/>
              </w:rPr>
              <w:t>0.749</w:t>
            </w:r>
          </w:p>
        </w:tc>
        <w:tc>
          <w:tcPr>
            <w:tcW w:type="dxa" w:w="1344"/>
          </w:tcPr>
          <w:p>
            <w:pPr>
              <w:spacing w:after="40"/>
              <w:jc w:val="center"/>
            </w:pPr>
            <w:r/>
            <w:r>
              <w:rPr>
                <w:sz w:val="18"/>
              </w:rPr>
              <w:t>0.772</w:t>
            </w:r>
          </w:p>
        </w:tc>
        <w:tc>
          <w:tcPr>
            <w:tcW w:type="dxa" w:w="1344"/>
          </w:tcPr>
          <w:p>
            <w:pPr>
              <w:spacing w:after="40"/>
              <w:jc w:val="center"/>
            </w:pPr>
            <w:r/>
            <w:r>
              <w:rPr>
                <w:b/>
                <w:sz w:val="18"/>
              </w:rPr>
              <w:t>0.782</w:t>
            </w:r>
          </w:p>
        </w:tc>
      </w:tr>
      <w:tr>
        <w:tc>
          <w:tcPr>
            <w:tcW w:type="dxa" w:w="1344"/>
          </w:tcPr>
          <w:p>
            <w:pPr>
              <w:spacing w:after="40"/>
              <w:jc w:val="left"/>
            </w:pPr>
            <w:r/>
            <w:r>
              <w:rPr>
                <w:sz w:val="18"/>
              </w:rPr>
              <w:t>21</w:t>
            </w:r>
          </w:p>
        </w:tc>
        <w:tc>
          <w:tcPr>
            <w:tcW w:type="dxa" w:w="1344"/>
          </w:tcPr>
          <w:p>
            <w:pPr>
              <w:spacing w:after="40"/>
              <w:jc w:val="center"/>
            </w:pPr>
            <w:r/>
            <w:r>
              <w:rPr>
                <w:sz w:val="18"/>
              </w:rPr>
              <w:t>Rad+IHC-G+Gen+PDL1+Labs (BM2)</w:t>
            </w:r>
          </w:p>
        </w:tc>
        <w:tc>
          <w:tcPr>
            <w:tcW w:type="dxa" w:w="1344"/>
          </w:tcPr>
          <w:p>
            <w:pPr>
              <w:spacing w:after="40"/>
              <w:jc w:val="center"/>
            </w:pPr>
            <w:r/>
            <w:r>
              <w:rPr>
                <w:sz w:val="18"/>
              </w:rPr>
              <w:t>7</w:t>
            </w:r>
          </w:p>
        </w:tc>
        <w:tc>
          <w:tcPr>
            <w:tcW w:type="dxa" w:w="1344"/>
          </w:tcPr>
          <w:p>
            <w:pPr>
              <w:spacing w:after="40"/>
              <w:jc w:val="center"/>
            </w:pPr>
            <w:r/>
            <w:r>
              <w:rPr>
                <w:sz w:val="18"/>
              </w:rPr>
              <w:t>0.781</w:t>
            </w:r>
          </w:p>
        </w:tc>
        <w:tc>
          <w:tcPr>
            <w:tcW w:type="dxa" w:w="1344"/>
          </w:tcPr>
          <w:p>
            <w:pPr>
              <w:spacing w:after="40"/>
              <w:jc w:val="center"/>
            </w:pPr>
            <w:r/>
            <w:r>
              <w:rPr>
                <w:sz w:val="18"/>
              </w:rPr>
              <w:t>0.794</w:t>
            </w:r>
          </w:p>
        </w:tc>
        <w:tc>
          <w:tcPr>
            <w:tcW w:type="dxa" w:w="1344"/>
          </w:tcPr>
          <w:p>
            <w:pPr>
              <w:spacing w:after="40"/>
              <w:jc w:val="center"/>
            </w:pPr>
            <w:r/>
            <w:r>
              <w:rPr>
                <w:sz w:val="18"/>
              </w:rPr>
              <w:t>0.803</w:t>
            </w:r>
          </w:p>
        </w:tc>
        <w:tc>
          <w:tcPr>
            <w:tcW w:type="dxa" w:w="1344"/>
          </w:tcPr>
          <w:p>
            <w:pPr>
              <w:spacing w:after="40"/>
              <w:jc w:val="center"/>
            </w:pPr>
            <w:r/>
            <w:r>
              <w:rPr>
                <w:b/>
                <w:sz w:val="18"/>
              </w:rPr>
              <w:t>0.824</w:t>
            </w:r>
          </w:p>
        </w:tc>
      </w:tr>
    </w:tbl>
    <w:p>
      <w:pPr>
        <w:spacing w:after="80"/>
      </w:pPr>
    </w:p>
    <w:p>
      <w:pPr>
        <w:pStyle w:val="Heading2"/>
      </w:pPr>
      <w:r>
        <w:t>3.4. Survival Analysis Across the 21 Configurations</w:t>
      </w:r>
    </w:p>
    <w:p>
      <w:r>
        <w:t>For every one of the 21 configurations of Table 6 we evaluated the association of the out-of-fold risk score with progression-free survival (PFS) in the same single partition, with the same models (DyAM and OvO, and their +NLP versions in the two configurations that contain labs): Harrell's C-index and the multivariate Cox hazard ratio, adjusted for age, ECOG performance status, serum albumin, dNLR and liver metastasis status (Table 7), the log-rank χ² at the median risk score and the time-dependent AUC (Table 8, Figure 6; the 6- and 18-month values are in the Supplementary Tables).</w:t>
      </w:r>
    </w:p>
    <w:p>
      <w:r>
        <w:rPr>
          <w:b/>
        </w:rPr>
        <w:t>Survival association grows with the number of fused sources.</w:t>
      </w:r>
      <w:r>
        <w:t xml:space="preserve"> Single-source scores had a C-index of 0.56–0.59 and a 12-month time-dependent AUC of 0.58–0.66 (TMB, PD-L1, IHC-A, genomics), and the log-rank χ² was 1.9 for IHC-A and 6.1–16.8 for the other three. With six or seven fused sources the C-index was 0.59–0.66, the 12-month time-dependent AUC 0.69–0.77, the hazard ratio per unit of risk score 4.4–8.6, and the log-rank χ² 12.1–33.0, all above the p &lt; 0.005 threshold of 7.88. The strongest association among all configurations was obtained by cooperative attention at Rad+IHC-A+Gen+PDL1 (configuration 17; C-index 0.655, hazard ratio 8.59, χ² = 33.0, 12-month time-dependent AUC 0.774), the configuration in which the cooperative model also had its highest AUC.</w:t>
      </w:r>
    </w:p>
    <w:p>
      <w:r>
        <w:rPr>
          <w:b/>
        </w:rPr>
        <w:t>OvO attention with the NLP encoding at the primary benchmarks.</w:t>
      </w:r>
      <w:r>
        <w:t xml:space="preserve"> At BM1 (Rad+IHC-G+Gen+PDL1, configuration 18), OvO had a higher hazard ratio (5.83 against 5.27) and log-rank χ² (20.3 against 17.4) than cooperative attention, and OvO with the NLP encoding reached the highest values of the four models in the labs-replaced configuration of BM2 (configuration 21: hazard ratio 6.64 against 4.63, 5.17 and 6.13 for DyAM, DyAM+NLP and OvO; χ² = 23.9 against 17.6, 19.2 and 20.9), with a 12-month time-dependent AUC of 0.733 against 0.698, 0.702 and 0.709 and an 18-month value of 0.690 against 0.650 for DyAM+NLP. In configuration 20 (IHC-A in place of IHC-G) the same ordering held for the hazard ratio (6.60 for OvO with NLP, against 4.70, 5.80 and 5.44). The C-index did not follow this order (0.633 for OvO with NLP and 0.646 for DyAM at BM1), so the higher hazard ratio reflects stronger separation of the risk groups rather than better ranking of patients. Across the other configurations the survival metrics of the two attention mechanisms were close, each being higher in some rows (Tables 7 and 8); OvO had the higher hazard ratio at, for example, PDL1+Gen (configuration 8: 3.01 against 2.70), Rad+Gen (5.00 against 4.74), TMB+PDL1 (3.00 against 2.17) and Rad+IHC-A+Gen+TMB+PDL1 (7.04 against 4.88).</w:t>
      </w:r>
    </w:p>
    <w:p>
      <w:r>
        <w:rPr>
          <w:b/>
        </w:rPr>
        <w:t>Kaplan–Meier curves.</w:t>
      </w:r>
      <w:r>
        <w:t xml:space="preserve"> Figure 5 shows the curves at BM1 for the four models; the high- and low-risk groups separated in all four (log-rank χ² = 17.4, 20.3, 19.2 and 23.9 for DyAM, OvO, DyAM+NLP and OvO+NLP).</w:t>
      </w:r>
    </w:p>
    <w:p>
      <w:r>
        <w:rPr>
          <w:b/>
        </w:rPr>
        <w:t>Clinical encodings in the two pathology arms.</w:t>
      </w:r>
      <w:r>
        <w:t xml:space="preserve"> The comparison of clinical encodings (no clinical information, numeric labs, NLP raw, NLP-PCA16, and Bio_ClinicalBERT) in the IHC-A and IHC-G arms (Supplementary Tables and Figures) gave hazard ratios of 5.0–6.3, C-indices of 0.62–0.64 and log-rank χ² above 17 for every variant, with no consistent ordering of the encodings; numeric labs gave the highest C-index in both arms (IHC-A: 0.631 against 0.623 for NLP raw; IHC-G: 0.644 against 0.627). The NLP encoding therefore matched numeric labs on these survival metrics, and its advantage in this study is on the response endpoint (Section 3.2).</w:t>
      </w:r>
    </w:p>
    <w:p>
      <w:pPr>
        <w:spacing w:before="200" w:after="80"/>
      </w:pPr>
      <w:r>
        <w:rPr>
          <w:b/>
          <w:sz w:val="19"/>
        </w:rPr>
        <w:t>Table 7.</w:t>
      </w:r>
      <w:r>
        <w:rPr>
          <w:sz w:val="19"/>
        </w:rPr>
        <w:t xml:space="preserve"> Progression-free survival association of the fused risk score across the 21 configurations: Harrell's C-index and the Cox hazard ratio per unit of risk score (adjusted for age, ECOG, albumin, dNLR and liver metastases). Single 10-fold partition (natural patient order, n = 247; 209 events, median PFS 2.7 months), the same models and partition as Table 6. As there, the NLP encoding replaces the numeric labs, so only configurations 20 and 21 differ between the models with and without NLP; the +NLP entries of the other configurations repeat the values without NLP (not in bold). For k = 1 OvO reduces to the cooperative formulation. Bold marks the highest value in each row and metric.</w:t>
      </w:r>
    </w:p>
    <w:tbl>
      <w:tblPr>
        <w:tblStyle w:val="TableGrid"/>
        <w:tblW w:type="auto" w:w="0"/>
        <w:jc w:val="center"/>
        <w:tblLayout w:type="autofit"/>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tcPr>
          <w:p>
            <w:pPr>
              <w:spacing w:after="40"/>
              <w:jc w:val="center"/>
            </w:pPr>
            <w:r/>
            <w:r>
              <w:rPr>
                <w:b/>
                <w:sz w:val="18"/>
              </w:rPr>
              <w:t>#</w:t>
            </w:r>
          </w:p>
        </w:tc>
        <w:tc>
          <w:tcPr>
            <w:tcW w:type="dxa" w:w="855"/>
          </w:tcPr>
          <w:p>
            <w:pPr>
              <w:spacing w:after="40"/>
              <w:jc w:val="center"/>
            </w:pPr>
            <w:r/>
            <w:r>
              <w:rPr>
                <w:b/>
                <w:sz w:val="18"/>
              </w:rPr>
              <w:t>Configuration</w:t>
            </w:r>
          </w:p>
        </w:tc>
        <w:tc>
          <w:tcPr>
            <w:tcW w:type="dxa" w:w="855"/>
          </w:tcPr>
          <w:p>
            <w:pPr>
              <w:spacing w:after="40"/>
              <w:jc w:val="center"/>
            </w:pPr>
            <w:r/>
            <w:r>
              <w:rPr>
                <w:b/>
                <w:sz w:val="18"/>
              </w:rPr>
              <w:t>k</w:t>
            </w:r>
          </w:p>
        </w:tc>
        <w:tc>
          <w:tcPr>
            <w:tcW w:type="dxa" w:w="855"/>
          </w:tcPr>
          <w:p>
            <w:pPr>
              <w:spacing w:after="40"/>
              <w:jc w:val="center"/>
            </w:pPr>
            <w:r/>
            <w:r>
              <w:rPr>
                <w:b/>
                <w:sz w:val="18"/>
              </w:rPr>
              <w:t>C-index DyAM</w:t>
            </w:r>
          </w:p>
        </w:tc>
        <w:tc>
          <w:tcPr>
            <w:tcW w:type="dxa" w:w="855"/>
          </w:tcPr>
          <w:p>
            <w:pPr>
              <w:spacing w:after="40"/>
              <w:jc w:val="center"/>
            </w:pPr>
            <w:r/>
            <w:r>
              <w:rPr>
                <w:b/>
                <w:sz w:val="18"/>
              </w:rPr>
              <w:t>C-index OvO</w:t>
            </w:r>
          </w:p>
        </w:tc>
        <w:tc>
          <w:tcPr>
            <w:tcW w:type="dxa" w:w="855"/>
          </w:tcPr>
          <w:p>
            <w:pPr>
              <w:spacing w:after="40"/>
              <w:jc w:val="center"/>
            </w:pPr>
            <w:r/>
            <w:r>
              <w:rPr>
                <w:b/>
                <w:sz w:val="18"/>
              </w:rPr>
              <w:t>C-index DyAM+NLP</w:t>
            </w:r>
          </w:p>
        </w:tc>
        <w:tc>
          <w:tcPr>
            <w:tcW w:type="dxa" w:w="855"/>
          </w:tcPr>
          <w:p>
            <w:pPr>
              <w:spacing w:after="40"/>
              <w:jc w:val="center"/>
            </w:pPr>
            <w:r/>
            <w:r>
              <w:rPr>
                <w:b/>
                <w:sz w:val="18"/>
              </w:rPr>
              <w:t>C-index OvO+NLP</w:t>
            </w:r>
          </w:p>
        </w:tc>
        <w:tc>
          <w:tcPr>
            <w:tcW w:type="dxa" w:w="855"/>
          </w:tcPr>
          <w:p>
            <w:pPr>
              <w:spacing w:after="40"/>
              <w:jc w:val="center"/>
            </w:pPr>
            <w:r/>
            <w:r>
              <w:rPr>
                <w:b/>
                <w:sz w:val="18"/>
              </w:rPr>
              <w:t>Cox HR DyAM</w:t>
            </w:r>
          </w:p>
        </w:tc>
        <w:tc>
          <w:tcPr>
            <w:tcW w:type="dxa" w:w="855"/>
          </w:tcPr>
          <w:p>
            <w:pPr>
              <w:spacing w:after="40"/>
              <w:jc w:val="center"/>
            </w:pPr>
            <w:r/>
            <w:r>
              <w:rPr>
                <w:b/>
                <w:sz w:val="18"/>
              </w:rPr>
              <w:t>Cox HR OvO</w:t>
            </w:r>
          </w:p>
        </w:tc>
        <w:tc>
          <w:tcPr>
            <w:tcW w:type="dxa" w:w="855"/>
          </w:tcPr>
          <w:p>
            <w:pPr>
              <w:spacing w:after="40"/>
              <w:jc w:val="center"/>
            </w:pPr>
            <w:r/>
            <w:r>
              <w:rPr>
                <w:b/>
                <w:sz w:val="18"/>
              </w:rPr>
              <w:t>Cox HR DyAM+NLP</w:t>
            </w:r>
          </w:p>
        </w:tc>
        <w:tc>
          <w:tcPr>
            <w:tcW w:type="dxa" w:w="855"/>
          </w:tcPr>
          <w:p>
            <w:pPr>
              <w:spacing w:after="40"/>
              <w:jc w:val="center"/>
            </w:pPr>
            <w:r/>
            <w:r>
              <w:rPr>
                <w:b/>
                <w:sz w:val="18"/>
              </w:rPr>
              <w:t>Cox HR OvO+NLP</w:t>
            </w:r>
          </w:p>
        </w:tc>
      </w:tr>
      <w:tr>
        <w:tc>
          <w:tcPr>
            <w:tcW w:type="dxa" w:w="855"/>
          </w:tcPr>
          <w:p>
            <w:pPr>
              <w:spacing w:after="40"/>
              <w:jc w:val="left"/>
            </w:pPr>
            <w:r/>
            <w:r>
              <w:rPr>
                <w:sz w:val="18"/>
              </w:rPr>
              <w:t>1</w:t>
            </w:r>
          </w:p>
        </w:tc>
        <w:tc>
          <w:tcPr>
            <w:tcW w:type="dxa" w:w="855"/>
          </w:tcPr>
          <w:p>
            <w:pPr>
              <w:spacing w:after="40"/>
              <w:jc w:val="center"/>
            </w:pPr>
            <w:r/>
            <w:r>
              <w:rPr>
                <w:sz w:val="18"/>
              </w:rPr>
              <w:t>TMB</w:t>
            </w:r>
          </w:p>
        </w:tc>
        <w:tc>
          <w:tcPr>
            <w:tcW w:type="dxa" w:w="855"/>
          </w:tcPr>
          <w:p>
            <w:pPr>
              <w:spacing w:after="40"/>
              <w:jc w:val="center"/>
            </w:pPr>
            <w:r/>
            <w:r>
              <w:rPr>
                <w:sz w:val="18"/>
              </w:rPr>
              <w:t>1</w:t>
            </w:r>
          </w:p>
        </w:tc>
        <w:tc>
          <w:tcPr>
            <w:tcW w:type="dxa" w:w="855"/>
          </w:tcPr>
          <w:p>
            <w:pPr>
              <w:spacing w:after="40"/>
              <w:jc w:val="center"/>
            </w:pPr>
            <w:r/>
            <w:r>
              <w:rPr>
                <w:b/>
                <w:sz w:val="18"/>
              </w:rPr>
              <w:t>0.566</w:t>
            </w:r>
          </w:p>
        </w:tc>
        <w:tc>
          <w:tcPr>
            <w:tcW w:type="dxa" w:w="855"/>
          </w:tcPr>
          <w:p>
            <w:pPr>
              <w:spacing w:after="40"/>
              <w:jc w:val="center"/>
            </w:pPr>
            <w:r/>
            <w:r>
              <w:rPr>
                <w:b/>
                <w:sz w:val="18"/>
              </w:rPr>
              <w:t>0.566</w:t>
            </w:r>
          </w:p>
        </w:tc>
        <w:tc>
          <w:tcPr>
            <w:tcW w:type="dxa" w:w="855"/>
          </w:tcPr>
          <w:p>
            <w:pPr>
              <w:spacing w:after="40"/>
              <w:jc w:val="center"/>
            </w:pPr>
            <w:r/>
            <w:r>
              <w:rPr>
                <w:sz w:val="18"/>
              </w:rPr>
              <w:t>0.566</w:t>
            </w:r>
          </w:p>
        </w:tc>
        <w:tc>
          <w:tcPr>
            <w:tcW w:type="dxa" w:w="855"/>
          </w:tcPr>
          <w:p>
            <w:pPr>
              <w:spacing w:after="40"/>
              <w:jc w:val="center"/>
            </w:pPr>
            <w:r/>
            <w:r>
              <w:rPr>
                <w:sz w:val="18"/>
              </w:rPr>
              <w:t>0.566</w:t>
            </w:r>
          </w:p>
        </w:tc>
        <w:tc>
          <w:tcPr>
            <w:tcW w:type="dxa" w:w="855"/>
          </w:tcPr>
          <w:p>
            <w:pPr>
              <w:spacing w:after="40"/>
              <w:jc w:val="center"/>
            </w:pPr>
            <w:r/>
            <w:r>
              <w:rPr>
                <w:b/>
                <w:sz w:val="18"/>
              </w:rPr>
              <w:t>3.67</w:t>
            </w:r>
          </w:p>
        </w:tc>
        <w:tc>
          <w:tcPr>
            <w:tcW w:type="dxa" w:w="855"/>
          </w:tcPr>
          <w:p>
            <w:pPr>
              <w:spacing w:after="40"/>
              <w:jc w:val="center"/>
            </w:pPr>
            <w:r/>
            <w:r>
              <w:rPr>
                <w:b/>
                <w:sz w:val="18"/>
              </w:rPr>
              <w:t>3.67</w:t>
            </w:r>
          </w:p>
        </w:tc>
        <w:tc>
          <w:tcPr>
            <w:tcW w:type="dxa" w:w="855"/>
          </w:tcPr>
          <w:p>
            <w:pPr>
              <w:spacing w:after="40"/>
              <w:jc w:val="center"/>
            </w:pPr>
            <w:r/>
            <w:r>
              <w:rPr>
                <w:sz w:val="18"/>
              </w:rPr>
              <w:t>3.67</w:t>
            </w:r>
          </w:p>
        </w:tc>
        <w:tc>
          <w:tcPr>
            <w:tcW w:type="dxa" w:w="855"/>
          </w:tcPr>
          <w:p>
            <w:pPr>
              <w:spacing w:after="40"/>
              <w:jc w:val="center"/>
            </w:pPr>
            <w:r/>
            <w:r>
              <w:rPr>
                <w:sz w:val="18"/>
              </w:rPr>
              <w:t>3.67</w:t>
            </w:r>
          </w:p>
        </w:tc>
      </w:tr>
      <w:tr>
        <w:tc>
          <w:tcPr>
            <w:tcW w:type="dxa" w:w="855"/>
          </w:tcPr>
          <w:p>
            <w:pPr>
              <w:spacing w:after="40"/>
              <w:jc w:val="left"/>
            </w:pPr>
            <w:r/>
            <w:r>
              <w:rPr>
                <w:sz w:val="18"/>
              </w:rPr>
              <w:t>2</w:t>
            </w:r>
          </w:p>
        </w:tc>
        <w:tc>
          <w:tcPr>
            <w:tcW w:type="dxa" w:w="855"/>
          </w:tcPr>
          <w:p>
            <w:pPr>
              <w:spacing w:after="40"/>
              <w:jc w:val="center"/>
            </w:pPr>
            <w:r/>
            <w:r>
              <w:rPr>
                <w:sz w:val="18"/>
              </w:rPr>
              <w:t>PDL1</w:t>
            </w:r>
          </w:p>
        </w:tc>
        <w:tc>
          <w:tcPr>
            <w:tcW w:type="dxa" w:w="855"/>
          </w:tcPr>
          <w:p>
            <w:pPr>
              <w:spacing w:after="40"/>
              <w:jc w:val="center"/>
            </w:pPr>
            <w:r/>
            <w:r>
              <w:rPr>
                <w:sz w:val="18"/>
              </w:rPr>
              <w:t>1</w:t>
            </w:r>
          </w:p>
        </w:tc>
        <w:tc>
          <w:tcPr>
            <w:tcW w:type="dxa" w:w="855"/>
          </w:tcPr>
          <w:p>
            <w:pPr>
              <w:spacing w:after="40"/>
              <w:jc w:val="center"/>
            </w:pPr>
            <w:r/>
            <w:r>
              <w:rPr>
                <w:b/>
                <w:sz w:val="18"/>
              </w:rPr>
              <w:t>0.580</w:t>
            </w:r>
          </w:p>
        </w:tc>
        <w:tc>
          <w:tcPr>
            <w:tcW w:type="dxa" w:w="855"/>
          </w:tcPr>
          <w:p>
            <w:pPr>
              <w:spacing w:after="40"/>
              <w:jc w:val="center"/>
            </w:pPr>
            <w:r/>
            <w:r>
              <w:rPr>
                <w:b/>
                <w:sz w:val="18"/>
              </w:rPr>
              <w:t>0.580</w:t>
            </w:r>
          </w:p>
        </w:tc>
        <w:tc>
          <w:tcPr>
            <w:tcW w:type="dxa" w:w="855"/>
          </w:tcPr>
          <w:p>
            <w:pPr>
              <w:spacing w:after="40"/>
              <w:jc w:val="center"/>
            </w:pPr>
            <w:r/>
            <w:r>
              <w:rPr>
                <w:sz w:val="18"/>
              </w:rPr>
              <w:t>0.580</w:t>
            </w:r>
          </w:p>
        </w:tc>
        <w:tc>
          <w:tcPr>
            <w:tcW w:type="dxa" w:w="855"/>
          </w:tcPr>
          <w:p>
            <w:pPr>
              <w:spacing w:after="40"/>
              <w:jc w:val="center"/>
            </w:pPr>
            <w:r/>
            <w:r>
              <w:rPr>
                <w:sz w:val="18"/>
              </w:rPr>
              <w:t>0.580</w:t>
            </w:r>
          </w:p>
        </w:tc>
        <w:tc>
          <w:tcPr>
            <w:tcW w:type="dxa" w:w="855"/>
          </w:tcPr>
          <w:p>
            <w:pPr>
              <w:spacing w:after="40"/>
              <w:jc w:val="center"/>
            </w:pPr>
            <w:r/>
            <w:r>
              <w:rPr>
                <w:b/>
                <w:sz w:val="18"/>
              </w:rPr>
              <w:t>2.15</w:t>
            </w:r>
          </w:p>
        </w:tc>
        <w:tc>
          <w:tcPr>
            <w:tcW w:type="dxa" w:w="855"/>
          </w:tcPr>
          <w:p>
            <w:pPr>
              <w:spacing w:after="40"/>
              <w:jc w:val="center"/>
            </w:pPr>
            <w:r/>
            <w:r>
              <w:rPr>
                <w:b/>
                <w:sz w:val="18"/>
              </w:rPr>
              <w:t>2.15</w:t>
            </w:r>
          </w:p>
        </w:tc>
        <w:tc>
          <w:tcPr>
            <w:tcW w:type="dxa" w:w="855"/>
          </w:tcPr>
          <w:p>
            <w:pPr>
              <w:spacing w:after="40"/>
              <w:jc w:val="center"/>
            </w:pPr>
            <w:r/>
            <w:r>
              <w:rPr>
                <w:sz w:val="18"/>
              </w:rPr>
              <w:t>2.15</w:t>
            </w:r>
          </w:p>
        </w:tc>
        <w:tc>
          <w:tcPr>
            <w:tcW w:type="dxa" w:w="855"/>
          </w:tcPr>
          <w:p>
            <w:pPr>
              <w:spacing w:after="40"/>
              <w:jc w:val="center"/>
            </w:pPr>
            <w:r/>
            <w:r>
              <w:rPr>
                <w:sz w:val="18"/>
              </w:rPr>
              <w:t>2.15</w:t>
            </w:r>
          </w:p>
        </w:tc>
      </w:tr>
      <w:tr>
        <w:tc>
          <w:tcPr>
            <w:tcW w:type="dxa" w:w="855"/>
          </w:tcPr>
          <w:p>
            <w:pPr>
              <w:spacing w:after="40"/>
              <w:jc w:val="left"/>
            </w:pPr>
            <w:r/>
            <w:r>
              <w:rPr>
                <w:sz w:val="18"/>
              </w:rPr>
              <w:t>3</w:t>
            </w:r>
          </w:p>
        </w:tc>
        <w:tc>
          <w:tcPr>
            <w:tcW w:type="dxa" w:w="855"/>
          </w:tcPr>
          <w:p>
            <w:pPr>
              <w:spacing w:after="40"/>
              <w:jc w:val="center"/>
            </w:pPr>
            <w:r/>
            <w:r>
              <w:rPr>
                <w:sz w:val="18"/>
              </w:rPr>
              <w:t>IHC-A</w:t>
            </w:r>
          </w:p>
        </w:tc>
        <w:tc>
          <w:tcPr>
            <w:tcW w:type="dxa" w:w="855"/>
          </w:tcPr>
          <w:p>
            <w:pPr>
              <w:spacing w:after="40"/>
              <w:jc w:val="center"/>
            </w:pPr>
            <w:r/>
            <w:r>
              <w:rPr>
                <w:sz w:val="18"/>
              </w:rPr>
              <w:t>1</w:t>
            </w:r>
          </w:p>
        </w:tc>
        <w:tc>
          <w:tcPr>
            <w:tcW w:type="dxa" w:w="855"/>
          </w:tcPr>
          <w:p>
            <w:pPr>
              <w:spacing w:after="40"/>
              <w:jc w:val="center"/>
            </w:pPr>
            <w:r/>
            <w:r>
              <w:rPr>
                <w:b/>
                <w:sz w:val="18"/>
              </w:rPr>
              <w:t>0.555</w:t>
            </w:r>
          </w:p>
        </w:tc>
        <w:tc>
          <w:tcPr>
            <w:tcW w:type="dxa" w:w="855"/>
          </w:tcPr>
          <w:p>
            <w:pPr>
              <w:spacing w:after="40"/>
              <w:jc w:val="center"/>
            </w:pPr>
            <w:r/>
            <w:r>
              <w:rPr>
                <w:b/>
                <w:sz w:val="18"/>
              </w:rPr>
              <w:t>0.555</w:t>
            </w:r>
          </w:p>
        </w:tc>
        <w:tc>
          <w:tcPr>
            <w:tcW w:type="dxa" w:w="855"/>
          </w:tcPr>
          <w:p>
            <w:pPr>
              <w:spacing w:after="40"/>
              <w:jc w:val="center"/>
            </w:pPr>
            <w:r/>
            <w:r>
              <w:rPr>
                <w:sz w:val="18"/>
              </w:rPr>
              <w:t>0.555</w:t>
            </w:r>
          </w:p>
        </w:tc>
        <w:tc>
          <w:tcPr>
            <w:tcW w:type="dxa" w:w="855"/>
          </w:tcPr>
          <w:p>
            <w:pPr>
              <w:spacing w:after="40"/>
              <w:jc w:val="center"/>
            </w:pPr>
            <w:r/>
            <w:r>
              <w:rPr>
                <w:sz w:val="18"/>
              </w:rPr>
              <w:t>0.555</w:t>
            </w:r>
          </w:p>
        </w:tc>
        <w:tc>
          <w:tcPr>
            <w:tcW w:type="dxa" w:w="855"/>
          </w:tcPr>
          <w:p>
            <w:pPr>
              <w:spacing w:after="40"/>
              <w:jc w:val="center"/>
            </w:pPr>
            <w:r/>
            <w:r>
              <w:rPr>
                <w:b/>
                <w:sz w:val="18"/>
              </w:rPr>
              <w:t>1.93</w:t>
            </w:r>
          </w:p>
        </w:tc>
        <w:tc>
          <w:tcPr>
            <w:tcW w:type="dxa" w:w="855"/>
          </w:tcPr>
          <w:p>
            <w:pPr>
              <w:spacing w:after="40"/>
              <w:jc w:val="center"/>
            </w:pPr>
            <w:r/>
            <w:r>
              <w:rPr>
                <w:b/>
                <w:sz w:val="18"/>
              </w:rPr>
              <w:t>1.93</w:t>
            </w:r>
          </w:p>
        </w:tc>
        <w:tc>
          <w:tcPr>
            <w:tcW w:type="dxa" w:w="855"/>
          </w:tcPr>
          <w:p>
            <w:pPr>
              <w:spacing w:after="40"/>
              <w:jc w:val="center"/>
            </w:pPr>
            <w:r/>
            <w:r>
              <w:rPr>
                <w:sz w:val="18"/>
              </w:rPr>
              <w:t>1.93</w:t>
            </w:r>
          </w:p>
        </w:tc>
        <w:tc>
          <w:tcPr>
            <w:tcW w:type="dxa" w:w="855"/>
          </w:tcPr>
          <w:p>
            <w:pPr>
              <w:spacing w:after="40"/>
              <w:jc w:val="center"/>
            </w:pPr>
            <w:r/>
            <w:r>
              <w:rPr>
                <w:sz w:val="18"/>
              </w:rPr>
              <w:t>1.93</w:t>
            </w:r>
          </w:p>
        </w:tc>
      </w:tr>
      <w:tr>
        <w:tc>
          <w:tcPr>
            <w:tcW w:type="dxa" w:w="855"/>
          </w:tcPr>
          <w:p>
            <w:pPr>
              <w:spacing w:after="40"/>
              <w:jc w:val="left"/>
            </w:pPr>
            <w:r/>
            <w:r>
              <w:rPr>
                <w:sz w:val="18"/>
              </w:rPr>
              <w:t>4</w:t>
            </w:r>
          </w:p>
        </w:tc>
        <w:tc>
          <w:tcPr>
            <w:tcW w:type="dxa" w:w="855"/>
          </w:tcPr>
          <w:p>
            <w:pPr>
              <w:spacing w:after="40"/>
              <w:jc w:val="center"/>
            </w:pPr>
            <w:r/>
            <w:r>
              <w:rPr>
                <w:sz w:val="18"/>
              </w:rPr>
              <w:t>Gen</w:t>
            </w:r>
          </w:p>
        </w:tc>
        <w:tc>
          <w:tcPr>
            <w:tcW w:type="dxa" w:w="855"/>
          </w:tcPr>
          <w:p>
            <w:pPr>
              <w:spacing w:after="40"/>
              <w:jc w:val="center"/>
            </w:pPr>
            <w:r/>
            <w:r>
              <w:rPr>
                <w:sz w:val="18"/>
              </w:rPr>
              <w:t>1</w:t>
            </w:r>
          </w:p>
        </w:tc>
        <w:tc>
          <w:tcPr>
            <w:tcW w:type="dxa" w:w="855"/>
          </w:tcPr>
          <w:p>
            <w:pPr>
              <w:spacing w:after="40"/>
              <w:jc w:val="center"/>
            </w:pPr>
            <w:r/>
            <w:r>
              <w:rPr>
                <w:b/>
                <w:sz w:val="18"/>
              </w:rPr>
              <w:t>0.586</w:t>
            </w:r>
          </w:p>
        </w:tc>
        <w:tc>
          <w:tcPr>
            <w:tcW w:type="dxa" w:w="855"/>
          </w:tcPr>
          <w:p>
            <w:pPr>
              <w:spacing w:after="40"/>
              <w:jc w:val="center"/>
            </w:pPr>
            <w:r/>
            <w:r>
              <w:rPr>
                <w:b/>
                <w:sz w:val="18"/>
              </w:rPr>
              <w:t>0.586</w:t>
            </w:r>
          </w:p>
        </w:tc>
        <w:tc>
          <w:tcPr>
            <w:tcW w:type="dxa" w:w="855"/>
          </w:tcPr>
          <w:p>
            <w:pPr>
              <w:spacing w:after="40"/>
              <w:jc w:val="center"/>
            </w:pPr>
            <w:r/>
            <w:r>
              <w:rPr>
                <w:sz w:val="18"/>
              </w:rPr>
              <w:t>0.586</w:t>
            </w:r>
          </w:p>
        </w:tc>
        <w:tc>
          <w:tcPr>
            <w:tcW w:type="dxa" w:w="855"/>
          </w:tcPr>
          <w:p>
            <w:pPr>
              <w:spacing w:after="40"/>
              <w:jc w:val="center"/>
            </w:pPr>
            <w:r/>
            <w:r>
              <w:rPr>
                <w:sz w:val="18"/>
              </w:rPr>
              <w:t>0.586</w:t>
            </w:r>
          </w:p>
        </w:tc>
        <w:tc>
          <w:tcPr>
            <w:tcW w:type="dxa" w:w="855"/>
          </w:tcPr>
          <w:p>
            <w:pPr>
              <w:spacing w:after="40"/>
              <w:jc w:val="center"/>
            </w:pPr>
            <w:r/>
            <w:r>
              <w:rPr>
                <w:b/>
                <w:sz w:val="18"/>
              </w:rPr>
              <w:t>3.28</w:t>
            </w:r>
          </w:p>
        </w:tc>
        <w:tc>
          <w:tcPr>
            <w:tcW w:type="dxa" w:w="855"/>
          </w:tcPr>
          <w:p>
            <w:pPr>
              <w:spacing w:after="40"/>
              <w:jc w:val="center"/>
            </w:pPr>
            <w:r/>
            <w:r>
              <w:rPr>
                <w:b/>
                <w:sz w:val="18"/>
              </w:rPr>
              <w:t>3.28</w:t>
            </w:r>
          </w:p>
        </w:tc>
        <w:tc>
          <w:tcPr>
            <w:tcW w:type="dxa" w:w="855"/>
          </w:tcPr>
          <w:p>
            <w:pPr>
              <w:spacing w:after="40"/>
              <w:jc w:val="center"/>
            </w:pPr>
            <w:r/>
            <w:r>
              <w:rPr>
                <w:sz w:val="18"/>
              </w:rPr>
              <w:t>3.28</w:t>
            </w:r>
          </w:p>
        </w:tc>
        <w:tc>
          <w:tcPr>
            <w:tcW w:type="dxa" w:w="855"/>
          </w:tcPr>
          <w:p>
            <w:pPr>
              <w:spacing w:after="40"/>
              <w:jc w:val="center"/>
            </w:pPr>
            <w:r/>
            <w:r>
              <w:rPr>
                <w:sz w:val="18"/>
              </w:rPr>
              <w:t>3.28</w:t>
            </w:r>
          </w:p>
        </w:tc>
      </w:tr>
      <w:tr>
        <w:tc>
          <w:tcPr>
            <w:tcW w:type="dxa" w:w="855"/>
          </w:tcPr>
          <w:p>
            <w:pPr>
              <w:spacing w:after="40"/>
              <w:jc w:val="left"/>
            </w:pPr>
            <w:r/>
            <w:r>
              <w:rPr>
                <w:sz w:val="18"/>
              </w:rPr>
              <w:t>5</w:t>
            </w:r>
          </w:p>
        </w:tc>
        <w:tc>
          <w:tcPr>
            <w:tcW w:type="dxa" w:w="855"/>
          </w:tcPr>
          <w:p>
            <w:pPr>
              <w:spacing w:after="40"/>
              <w:jc w:val="center"/>
            </w:pPr>
            <w:r/>
            <w:r>
              <w:rPr>
                <w:sz w:val="18"/>
              </w:rPr>
              <w:t>Rad</w:t>
            </w:r>
          </w:p>
        </w:tc>
        <w:tc>
          <w:tcPr>
            <w:tcW w:type="dxa" w:w="855"/>
          </w:tcPr>
          <w:p>
            <w:pPr>
              <w:spacing w:after="40"/>
              <w:jc w:val="center"/>
            </w:pPr>
            <w:r/>
            <w:r>
              <w:rPr>
                <w:sz w:val="18"/>
              </w:rPr>
              <w:t>3</w:t>
            </w:r>
          </w:p>
        </w:tc>
        <w:tc>
          <w:tcPr>
            <w:tcW w:type="dxa" w:w="855"/>
          </w:tcPr>
          <w:p>
            <w:pPr>
              <w:spacing w:after="40"/>
              <w:jc w:val="center"/>
            </w:pPr>
            <w:r/>
            <w:r>
              <w:rPr>
                <w:b/>
                <w:sz w:val="18"/>
              </w:rPr>
              <w:t>0.582</w:t>
            </w:r>
          </w:p>
        </w:tc>
        <w:tc>
          <w:tcPr>
            <w:tcW w:type="dxa" w:w="855"/>
          </w:tcPr>
          <w:p>
            <w:pPr>
              <w:spacing w:after="40"/>
              <w:jc w:val="center"/>
            </w:pPr>
            <w:r/>
            <w:r>
              <w:rPr>
                <w:sz w:val="18"/>
              </w:rPr>
              <w:t>0.577</w:t>
            </w:r>
          </w:p>
        </w:tc>
        <w:tc>
          <w:tcPr>
            <w:tcW w:type="dxa" w:w="855"/>
          </w:tcPr>
          <w:p>
            <w:pPr>
              <w:spacing w:after="40"/>
              <w:jc w:val="center"/>
            </w:pPr>
            <w:r/>
            <w:r>
              <w:rPr>
                <w:sz w:val="18"/>
              </w:rPr>
              <w:t>0.582</w:t>
            </w:r>
          </w:p>
        </w:tc>
        <w:tc>
          <w:tcPr>
            <w:tcW w:type="dxa" w:w="855"/>
          </w:tcPr>
          <w:p>
            <w:pPr>
              <w:spacing w:after="40"/>
              <w:jc w:val="center"/>
            </w:pPr>
            <w:r/>
            <w:r>
              <w:rPr>
                <w:sz w:val="18"/>
              </w:rPr>
              <w:t>0.577</w:t>
            </w:r>
          </w:p>
        </w:tc>
        <w:tc>
          <w:tcPr>
            <w:tcW w:type="dxa" w:w="855"/>
          </w:tcPr>
          <w:p>
            <w:pPr>
              <w:spacing w:after="40"/>
              <w:jc w:val="center"/>
            </w:pPr>
            <w:r/>
            <w:r>
              <w:rPr>
                <w:b/>
                <w:sz w:val="18"/>
              </w:rPr>
              <w:t>2.82</w:t>
            </w:r>
          </w:p>
        </w:tc>
        <w:tc>
          <w:tcPr>
            <w:tcW w:type="dxa" w:w="855"/>
          </w:tcPr>
          <w:p>
            <w:pPr>
              <w:spacing w:after="40"/>
              <w:jc w:val="center"/>
            </w:pPr>
            <w:r/>
            <w:r>
              <w:rPr>
                <w:sz w:val="18"/>
              </w:rPr>
              <w:t>2.79</w:t>
            </w:r>
          </w:p>
        </w:tc>
        <w:tc>
          <w:tcPr>
            <w:tcW w:type="dxa" w:w="855"/>
          </w:tcPr>
          <w:p>
            <w:pPr>
              <w:spacing w:after="40"/>
              <w:jc w:val="center"/>
            </w:pPr>
            <w:r/>
            <w:r>
              <w:rPr>
                <w:sz w:val="18"/>
              </w:rPr>
              <w:t>2.82</w:t>
            </w:r>
          </w:p>
        </w:tc>
        <w:tc>
          <w:tcPr>
            <w:tcW w:type="dxa" w:w="855"/>
          </w:tcPr>
          <w:p>
            <w:pPr>
              <w:spacing w:after="40"/>
              <w:jc w:val="center"/>
            </w:pPr>
            <w:r/>
            <w:r>
              <w:rPr>
                <w:sz w:val="18"/>
              </w:rPr>
              <w:t>2.79</w:t>
            </w:r>
          </w:p>
        </w:tc>
      </w:tr>
      <w:tr>
        <w:tc>
          <w:tcPr>
            <w:tcW w:type="dxa" w:w="855"/>
          </w:tcPr>
          <w:p>
            <w:pPr>
              <w:spacing w:after="40"/>
              <w:jc w:val="left"/>
            </w:pPr>
            <w:r/>
            <w:r>
              <w:rPr>
                <w:sz w:val="18"/>
              </w:rPr>
              <w:t>6</w:t>
            </w:r>
          </w:p>
        </w:tc>
        <w:tc>
          <w:tcPr>
            <w:tcW w:type="dxa" w:w="855"/>
          </w:tcPr>
          <w:p>
            <w:pPr>
              <w:spacing w:after="40"/>
              <w:jc w:val="center"/>
            </w:pPr>
            <w:r/>
            <w:r>
              <w:rPr>
                <w:sz w:val="18"/>
              </w:rPr>
              <w:t>Rad-LU</w:t>
            </w:r>
          </w:p>
        </w:tc>
        <w:tc>
          <w:tcPr>
            <w:tcW w:type="dxa" w:w="855"/>
          </w:tcPr>
          <w:p>
            <w:pPr>
              <w:spacing w:after="40"/>
              <w:jc w:val="center"/>
            </w:pPr>
            <w:r/>
            <w:r>
              <w:rPr>
                <w:sz w:val="18"/>
              </w:rPr>
              <w:t>4</w:t>
            </w:r>
          </w:p>
        </w:tc>
        <w:tc>
          <w:tcPr>
            <w:tcW w:type="dxa" w:w="855"/>
          </w:tcPr>
          <w:p>
            <w:pPr>
              <w:spacing w:after="40"/>
              <w:jc w:val="center"/>
            </w:pPr>
            <w:r/>
            <w:r>
              <w:rPr>
                <w:sz w:val="18"/>
              </w:rPr>
              <w:t>0.566</w:t>
            </w:r>
          </w:p>
        </w:tc>
        <w:tc>
          <w:tcPr>
            <w:tcW w:type="dxa" w:w="855"/>
          </w:tcPr>
          <w:p>
            <w:pPr>
              <w:spacing w:after="40"/>
              <w:jc w:val="center"/>
            </w:pPr>
            <w:r/>
            <w:r>
              <w:rPr>
                <w:b/>
                <w:sz w:val="18"/>
              </w:rPr>
              <w:t>0.569</w:t>
            </w:r>
          </w:p>
        </w:tc>
        <w:tc>
          <w:tcPr>
            <w:tcW w:type="dxa" w:w="855"/>
          </w:tcPr>
          <w:p>
            <w:pPr>
              <w:spacing w:after="40"/>
              <w:jc w:val="center"/>
            </w:pPr>
            <w:r/>
            <w:r>
              <w:rPr>
                <w:sz w:val="18"/>
              </w:rPr>
              <w:t>0.566</w:t>
            </w:r>
          </w:p>
        </w:tc>
        <w:tc>
          <w:tcPr>
            <w:tcW w:type="dxa" w:w="855"/>
          </w:tcPr>
          <w:p>
            <w:pPr>
              <w:spacing w:after="40"/>
              <w:jc w:val="center"/>
            </w:pPr>
            <w:r/>
            <w:r>
              <w:rPr>
                <w:sz w:val="18"/>
              </w:rPr>
              <w:t>0.569</w:t>
            </w:r>
          </w:p>
        </w:tc>
        <w:tc>
          <w:tcPr>
            <w:tcW w:type="dxa" w:w="855"/>
          </w:tcPr>
          <w:p>
            <w:pPr>
              <w:spacing w:after="40"/>
              <w:jc w:val="center"/>
            </w:pPr>
            <w:r/>
            <w:r>
              <w:rPr>
                <w:sz w:val="18"/>
              </w:rPr>
              <w:t>2.91</w:t>
            </w:r>
          </w:p>
        </w:tc>
        <w:tc>
          <w:tcPr>
            <w:tcW w:type="dxa" w:w="855"/>
          </w:tcPr>
          <w:p>
            <w:pPr>
              <w:spacing w:after="40"/>
              <w:jc w:val="center"/>
            </w:pPr>
            <w:r/>
            <w:r>
              <w:rPr>
                <w:b/>
                <w:sz w:val="18"/>
              </w:rPr>
              <w:t>2.99</w:t>
            </w:r>
          </w:p>
        </w:tc>
        <w:tc>
          <w:tcPr>
            <w:tcW w:type="dxa" w:w="855"/>
          </w:tcPr>
          <w:p>
            <w:pPr>
              <w:spacing w:after="40"/>
              <w:jc w:val="center"/>
            </w:pPr>
            <w:r/>
            <w:r>
              <w:rPr>
                <w:sz w:val="18"/>
              </w:rPr>
              <w:t>2.91</w:t>
            </w:r>
          </w:p>
        </w:tc>
        <w:tc>
          <w:tcPr>
            <w:tcW w:type="dxa" w:w="855"/>
          </w:tcPr>
          <w:p>
            <w:pPr>
              <w:spacing w:after="40"/>
              <w:jc w:val="center"/>
            </w:pPr>
            <w:r/>
            <w:r>
              <w:rPr>
                <w:sz w:val="18"/>
              </w:rPr>
              <w:t>2.99</w:t>
            </w:r>
          </w:p>
        </w:tc>
      </w:tr>
      <w:tr>
        <w:tc>
          <w:tcPr>
            <w:tcW w:type="dxa" w:w="855"/>
          </w:tcPr>
          <w:p>
            <w:pPr>
              <w:spacing w:after="40"/>
              <w:jc w:val="left"/>
            </w:pPr>
            <w:r/>
            <w:r>
              <w:rPr>
                <w:sz w:val="18"/>
              </w:rPr>
              <w:t>7</w:t>
            </w:r>
          </w:p>
        </w:tc>
        <w:tc>
          <w:tcPr>
            <w:tcW w:type="dxa" w:w="855"/>
          </w:tcPr>
          <w:p>
            <w:pPr>
              <w:spacing w:after="40"/>
              <w:jc w:val="center"/>
            </w:pPr>
            <w:r/>
            <w:r>
              <w:rPr>
                <w:sz w:val="18"/>
              </w:rPr>
              <w:t>TMB+PDL1</w:t>
            </w:r>
          </w:p>
        </w:tc>
        <w:tc>
          <w:tcPr>
            <w:tcW w:type="dxa" w:w="855"/>
          </w:tcPr>
          <w:p>
            <w:pPr>
              <w:spacing w:after="40"/>
              <w:jc w:val="center"/>
            </w:pPr>
            <w:r/>
            <w:r>
              <w:rPr>
                <w:sz w:val="18"/>
              </w:rPr>
              <w:t>2</w:t>
            </w:r>
          </w:p>
        </w:tc>
        <w:tc>
          <w:tcPr>
            <w:tcW w:type="dxa" w:w="855"/>
          </w:tcPr>
          <w:p>
            <w:pPr>
              <w:spacing w:after="40"/>
              <w:jc w:val="center"/>
            </w:pPr>
            <w:r/>
            <w:r>
              <w:rPr>
                <w:sz w:val="18"/>
              </w:rPr>
              <w:t>0.564</w:t>
            </w:r>
          </w:p>
        </w:tc>
        <w:tc>
          <w:tcPr>
            <w:tcW w:type="dxa" w:w="855"/>
          </w:tcPr>
          <w:p>
            <w:pPr>
              <w:spacing w:after="40"/>
              <w:jc w:val="center"/>
            </w:pPr>
            <w:r/>
            <w:r>
              <w:rPr>
                <w:b/>
                <w:sz w:val="18"/>
              </w:rPr>
              <w:t>0.582</w:t>
            </w:r>
          </w:p>
        </w:tc>
        <w:tc>
          <w:tcPr>
            <w:tcW w:type="dxa" w:w="855"/>
          </w:tcPr>
          <w:p>
            <w:pPr>
              <w:spacing w:after="40"/>
              <w:jc w:val="center"/>
            </w:pPr>
            <w:r/>
            <w:r>
              <w:rPr>
                <w:sz w:val="18"/>
              </w:rPr>
              <w:t>0.564</w:t>
            </w:r>
          </w:p>
        </w:tc>
        <w:tc>
          <w:tcPr>
            <w:tcW w:type="dxa" w:w="855"/>
          </w:tcPr>
          <w:p>
            <w:pPr>
              <w:spacing w:after="40"/>
              <w:jc w:val="center"/>
            </w:pPr>
            <w:r/>
            <w:r>
              <w:rPr>
                <w:sz w:val="18"/>
              </w:rPr>
              <w:t>0.582</w:t>
            </w:r>
          </w:p>
        </w:tc>
        <w:tc>
          <w:tcPr>
            <w:tcW w:type="dxa" w:w="855"/>
          </w:tcPr>
          <w:p>
            <w:pPr>
              <w:spacing w:after="40"/>
              <w:jc w:val="center"/>
            </w:pPr>
            <w:r/>
            <w:r>
              <w:rPr>
                <w:sz w:val="18"/>
              </w:rPr>
              <w:t>2.17</w:t>
            </w:r>
          </w:p>
        </w:tc>
        <w:tc>
          <w:tcPr>
            <w:tcW w:type="dxa" w:w="855"/>
          </w:tcPr>
          <w:p>
            <w:pPr>
              <w:spacing w:after="40"/>
              <w:jc w:val="center"/>
            </w:pPr>
            <w:r/>
            <w:r>
              <w:rPr>
                <w:b/>
                <w:sz w:val="18"/>
              </w:rPr>
              <w:t>3.00</w:t>
            </w:r>
          </w:p>
        </w:tc>
        <w:tc>
          <w:tcPr>
            <w:tcW w:type="dxa" w:w="855"/>
          </w:tcPr>
          <w:p>
            <w:pPr>
              <w:spacing w:after="40"/>
              <w:jc w:val="center"/>
            </w:pPr>
            <w:r/>
            <w:r>
              <w:rPr>
                <w:sz w:val="18"/>
              </w:rPr>
              <w:t>2.17</w:t>
            </w:r>
          </w:p>
        </w:tc>
        <w:tc>
          <w:tcPr>
            <w:tcW w:type="dxa" w:w="855"/>
          </w:tcPr>
          <w:p>
            <w:pPr>
              <w:spacing w:after="40"/>
              <w:jc w:val="center"/>
            </w:pPr>
            <w:r/>
            <w:r>
              <w:rPr>
                <w:sz w:val="18"/>
              </w:rPr>
              <w:t>3.00</w:t>
            </w:r>
          </w:p>
        </w:tc>
      </w:tr>
      <w:tr>
        <w:tc>
          <w:tcPr>
            <w:tcW w:type="dxa" w:w="855"/>
          </w:tcPr>
          <w:p>
            <w:pPr>
              <w:spacing w:after="40"/>
              <w:jc w:val="left"/>
            </w:pPr>
            <w:r/>
            <w:r>
              <w:rPr>
                <w:sz w:val="18"/>
              </w:rPr>
              <w:t>8</w:t>
            </w:r>
          </w:p>
        </w:tc>
        <w:tc>
          <w:tcPr>
            <w:tcW w:type="dxa" w:w="855"/>
          </w:tcPr>
          <w:p>
            <w:pPr>
              <w:spacing w:after="40"/>
              <w:jc w:val="center"/>
            </w:pPr>
            <w:r/>
            <w:r>
              <w:rPr>
                <w:sz w:val="18"/>
              </w:rPr>
              <w:t>PDL1+Gen (BM4)</w:t>
            </w:r>
          </w:p>
        </w:tc>
        <w:tc>
          <w:tcPr>
            <w:tcW w:type="dxa" w:w="855"/>
          </w:tcPr>
          <w:p>
            <w:pPr>
              <w:spacing w:after="40"/>
              <w:jc w:val="center"/>
            </w:pPr>
            <w:r/>
            <w:r>
              <w:rPr>
                <w:sz w:val="18"/>
              </w:rPr>
              <w:t>2</w:t>
            </w:r>
          </w:p>
        </w:tc>
        <w:tc>
          <w:tcPr>
            <w:tcW w:type="dxa" w:w="855"/>
          </w:tcPr>
          <w:p>
            <w:pPr>
              <w:spacing w:after="40"/>
              <w:jc w:val="center"/>
            </w:pPr>
            <w:r/>
            <w:r>
              <w:rPr>
                <w:sz w:val="18"/>
              </w:rPr>
              <w:t>0.589</w:t>
            </w:r>
          </w:p>
        </w:tc>
        <w:tc>
          <w:tcPr>
            <w:tcW w:type="dxa" w:w="855"/>
          </w:tcPr>
          <w:p>
            <w:pPr>
              <w:spacing w:after="40"/>
              <w:jc w:val="center"/>
            </w:pPr>
            <w:r/>
            <w:r>
              <w:rPr>
                <w:b/>
                <w:sz w:val="18"/>
              </w:rPr>
              <w:t>0.602</w:t>
            </w:r>
          </w:p>
        </w:tc>
        <w:tc>
          <w:tcPr>
            <w:tcW w:type="dxa" w:w="855"/>
          </w:tcPr>
          <w:p>
            <w:pPr>
              <w:spacing w:after="40"/>
              <w:jc w:val="center"/>
            </w:pPr>
            <w:r/>
            <w:r>
              <w:rPr>
                <w:sz w:val="18"/>
              </w:rPr>
              <w:t>0.589</w:t>
            </w:r>
          </w:p>
        </w:tc>
        <w:tc>
          <w:tcPr>
            <w:tcW w:type="dxa" w:w="855"/>
          </w:tcPr>
          <w:p>
            <w:pPr>
              <w:spacing w:after="40"/>
              <w:jc w:val="center"/>
            </w:pPr>
            <w:r/>
            <w:r>
              <w:rPr>
                <w:sz w:val="18"/>
              </w:rPr>
              <w:t>0.602</w:t>
            </w:r>
          </w:p>
        </w:tc>
        <w:tc>
          <w:tcPr>
            <w:tcW w:type="dxa" w:w="855"/>
          </w:tcPr>
          <w:p>
            <w:pPr>
              <w:spacing w:after="40"/>
              <w:jc w:val="center"/>
            </w:pPr>
            <w:r/>
            <w:r>
              <w:rPr>
                <w:sz w:val="18"/>
              </w:rPr>
              <w:t>2.70</w:t>
            </w:r>
          </w:p>
        </w:tc>
        <w:tc>
          <w:tcPr>
            <w:tcW w:type="dxa" w:w="855"/>
          </w:tcPr>
          <w:p>
            <w:pPr>
              <w:spacing w:after="40"/>
              <w:jc w:val="center"/>
            </w:pPr>
            <w:r/>
            <w:r>
              <w:rPr>
                <w:b/>
                <w:sz w:val="18"/>
              </w:rPr>
              <w:t>3.01</w:t>
            </w:r>
          </w:p>
        </w:tc>
        <w:tc>
          <w:tcPr>
            <w:tcW w:type="dxa" w:w="855"/>
          </w:tcPr>
          <w:p>
            <w:pPr>
              <w:spacing w:after="40"/>
              <w:jc w:val="center"/>
            </w:pPr>
            <w:r/>
            <w:r>
              <w:rPr>
                <w:sz w:val="18"/>
              </w:rPr>
              <w:t>2.70</w:t>
            </w:r>
          </w:p>
        </w:tc>
        <w:tc>
          <w:tcPr>
            <w:tcW w:type="dxa" w:w="855"/>
          </w:tcPr>
          <w:p>
            <w:pPr>
              <w:spacing w:after="40"/>
              <w:jc w:val="center"/>
            </w:pPr>
            <w:r/>
            <w:r>
              <w:rPr>
                <w:sz w:val="18"/>
              </w:rPr>
              <w:t>3.01</w:t>
            </w:r>
          </w:p>
        </w:tc>
      </w:tr>
      <w:tr>
        <w:tc>
          <w:tcPr>
            <w:tcW w:type="dxa" w:w="855"/>
          </w:tcPr>
          <w:p>
            <w:pPr>
              <w:spacing w:after="40"/>
              <w:jc w:val="left"/>
            </w:pPr>
            <w:r/>
            <w:r>
              <w:rPr>
                <w:sz w:val="18"/>
              </w:rPr>
              <w:t>9</w:t>
            </w:r>
          </w:p>
        </w:tc>
        <w:tc>
          <w:tcPr>
            <w:tcW w:type="dxa" w:w="855"/>
          </w:tcPr>
          <w:p>
            <w:pPr>
              <w:spacing w:after="40"/>
              <w:jc w:val="center"/>
            </w:pPr>
            <w:r/>
            <w:r>
              <w:rPr>
                <w:sz w:val="18"/>
              </w:rPr>
              <w:t>Rad+IHC-A</w:t>
            </w:r>
          </w:p>
        </w:tc>
        <w:tc>
          <w:tcPr>
            <w:tcW w:type="dxa" w:w="855"/>
          </w:tcPr>
          <w:p>
            <w:pPr>
              <w:spacing w:after="40"/>
              <w:jc w:val="center"/>
            </w:pPr>
            <w:r/>
            <w:r>
              <w:rPr>
                <w:sz w:val="18"/>
              </w:rPr>
              <w:t>4</w:t>
            </w:r>
          </w:p>
        </w:tc>
        <w:tc>
          <w:tcPr>
            <w:tcW w:type="dxa" w:w="855"/>
          </w:tcPr>
          <w:p>
            <w:pPr>
              <w:spacing w:after="40"/>
              <w:jc w:val="center"/>
            </w:pPr>
            <w:r/>
            <w:r>
              <w:rPr>
                <w:sz w:val="18"/>
              </w:rPr>
              <w:t>0.584</w:t>
            </w:r>
          </w:p>
        </w:tc>
        <w:tc>
          <w:tcPr>
            <w:tcW w:type="dxa" w:w="855"/>
          </w:tcPr>
          <w:p>
            <w:pPr>
              <w:spacing w:after="40"/>
              <w:jc w:val="center"/>
            </w:pPr>
            <w:r/>
            <w:r>
              <w:rPr>
                <w:b/>
                <w:sz w:val="18"/>
              </w:rPr>
              <w:t>0.585</w:t>
            </w:r>
          </w:p>
        </w:tc>
        <w:tc>
          <w:tcPr>
            <w:tcW w:type="dxa" w:w="855"/>
          </w:tcPr>
          <w:p>
            <w:pPr>
              <w:spacing w:after="40"/>
              <w:jc w:val="center"/>
            </w:pPr>
            <w:r/>
            <w:r>
              <w:rPr>
                <w:sz w:val="18"/>
              </w:rPr>
              <w:t>0.584</w:t>
            </w:r>
          </w:p>
        </w:tc>
        <w:tc>
          <w:tcPr>
            <w:tcW w:type="dxa" w:w="855"/>
          </w:tcPr>
          <w:p>
            <w:pPr>
              <w:spacing w:after="40"/>
              <w:jc w:val="center"/>
            </w:pPr>
            <w:r/>
            <w:r>
              <w:rPr>
                <w:sz w:val="18"/>
              </w:rPr>
              <w:t>0.585</w:t>
            </w:r>
          </w:p>
        </w:tc>
        <w:tc>
          <w:tcPr>
            <w:tcW w:type="dxa" w:w="855"/>
          </w:tcPr>
          <w:p>
            <w:pPr>
              <w:spacing w:after="40"/>
              <w:jc w:val="center"/>
            </w:pPr>
            <w:r/>
            <w:r>
              <w:rPr>
                <w:b/>
                <w:sz w:val="18"/>
              </w:rPr>
              <w:t>2.71</w:t>
            </w:r>
          </w:p>
        </w:tc>
        <w:tc>
          <w:tcPr>
            <w:tcW w:type="dxa" w:w="855"/>
          </w:tcPr>
          <w:p>
            <w:pPr>
              <w:spacing w:after="40"/>
              <w:jc w:val="center"/>
            </w:pPr>
            <w:r/>
            <w:r>
              <w:rPr>
                <w:sz w:val="18"/>
              </w:rPr>
              <w:t>2.65</w:t>
            </w:r>
          </w:p>
        </w:tc>
        <w:tc>
          <w:tcPr>
            <w:tcW w:type="dxa" w:w="855"/>
          </w:tcPr>
          <w:p>
            <w:pPr>
              <w:spacing w:after="40"/>
              <w:jc w:val="center"/>
            </w:pPr>
            <w:r/>
            <w:r>
              <w:rPr>
                <w:sz w:val="18"/>
              </w:rPr>
              <w:t>2.71</w:t>
            </w:r>
          </w:p>
        </w:tc>
        <w:tc>
          <w:tcPr>
            <w:tcW w:type="dxa" w:w="855"/>
          </w:tcPr>
          <w:p>
            <w:pPr>
              <w:spacing w:after="40"/>
              <w:jc w:val="center"/>
            </w:pPr>
            <w:r/>
            <w:r>
              <w:rPr>
                <w:sz w:val="18"/>
              </w:rPr>
              <w:t>2.65</w:t>
            </w:r>
          </w:p>
        </w:tc>
      </w:tr>
      <w:tr>
        <w:tc>
          <w:tcPr>
            <w:tcW w:type="dxa" w:w="855"/>
          </w:tcPr>
          <w:p>
            <w:pPr>
              <w:spacing w:after="40"/>
              <w:jc w:val="left"/>
            </w:pPr>
            <w:r/>
            <w:r>
              <w:rPr>
                <w:sz w:val="18"/>
              </w:rPr>
              <w:t>10</w:t>
            </w:r>
          </w:p>
        </w:tc>
        <w:tc>
          <w:tcPr>
            <w:tcW w:type="dxa" w:w="855"/>
          </w:tcPr>
          <w:p>
            <w:pPr>
              <w:spacing w:after="40"/>
              <w:jc w:val="center"/>
            </w:pPr>
            <w:r/>
            <w:r>
              <w:rPr>
                <w:sz w:val="18"/>
              </w:rPr>
              <w:t>Rad+IHC-G</w:t>
            </w:r>
          </w:p>
        </w:tc>
        <w:tc>
          <w:tcPr>
            <w:tcW w:type="dxa" w:w="855"/>
          </w:tcPr>
          <w:p>
            <w:pPr>
              <w:spacing w:after="40"/>
              <w:jc w:val="center"/>
            </w:pPr>
            <w:r/>
            <w:r>
              <w:rPr>
                <w:sz w:val="18"/>
              </w:rPr>
              <w:t>4</w:t>
            </w:r>
          </w:p>
        </w:tc>
        <w:tc>
          <w:tcPr>
            <w:tcW w:type="dxa" w:w="855"/>
          </w:tcPr>
          <w:p>
            <w:pPr>
              <w:spacing w:after="40"/>
              <w:jc w:val="center"/>
            </w:pPr>
            <w:r/>
            <w:r>
              <w:rPr>
                <w:b/>
                <w:sz w:val="18"/>
              </w:rPr>
              <w:t>0.591</w:t>
            </w:r>
          </w:p>
        </w:tc>
        <w:tc>
          <w:tcPr>
            <w:tcW w:type="dxa" w:w="855"/>
          </w:tcPr>
          <w:p>
            <w:pPr>
              <w:spacing w:after="40"/>
              <w:jc w:val="center"/>
            </w:pPr>
            <w:r/>
            <w:r>
              <w:rPr>
                <w:sz w:val="18"/>
              </w:rPr>
              <w:t>0.586</w:t>
            </w:r>
          </w:p>
        </w:tc>
        <w:tc>
          <w:tcPr>
            <w:tcW w:type="dxa" w:w="855"/>
          </w:tcPr>
          <w:p>
            <w:pPr>
              <w:spacing w:after="40"/>
              <w:jc w:val="center"/>
            </w:pPr>
            <w:r/>
            <w:r>
              <w:rPr>
                <w:sz w:val="18"/>
              </w:rPr>
              <w:t>0.591</w:t>
            </w:r>
          </w:p>
        </w:tc>
        <w:tc>
          <w:tcPr>
            <w:tcW w:type="dxa" w:w="855"/>
          </w:tcPr>
          <w:p>
            <w:pPr>
              <w:spacing w:after="40"/>
              <w:jc w:val="center"/>
            </w:pPr>
            <w:r/>
            <w:r>
              <w:rPr>
                <w:sz w:val="18"/>
              </w:rPr>
              <w:t>0.586</w:t>
            </w:r>
          </w:p>
        </w:tc>
        <w:tc>
          <w:tcPr>
            <w:tcW w:type="dxa" w:w="855"/>
          </w:tcPr>
          <w:p>
            <w:pPr>
              <w:spacing w:after="40"/>
              <w:jc w:val="center"/>
            </w:pPr>
            <w:r/>
            <w:r>
              <w:rPr>
                <w:b/>
                <w:sz w:val="18"/>
              </w:rPr>
              <w:t>2.76</w:t>
            </w:r>
          </w:p>
        </w:tc>
        <w:tc>
          <w:tcPr>
            <w:tcW w:type="dxa" w:w="855"/>
          </w:tcPr>
          <w:p>
            <w:pPr>
              <w:spacing w:after="40"/>
              <w:jc w:val="center"/>
            </w:pPr>
            <w:r/>
            <w:r>
              <w:rPr>
                <w:sz w:val="18"/>
              </w:rPr>
              <w:t>2.71</w:t>
            </w:r>
          </w:p>
        </w:tc>
        <w:tc>
          <w:tcPr>
            <w:tcW w:type="dxa" w:w="855"/>
          </w:tcPr>
          <w:p>
            <w:pPr>
              <w:spacing w:after="40"/>
              <w:jc w:val="center"/>
            </w:pPr>
            <w:r/>
            <w:r>
              <w:rPr>
                <w:sz w:val="18"/>
              </w:rPr>
              <w:t>2.76</w:t>
            </w:r>
          </w:p>
        </w:tc>
        <w:tc>
          <w:tcPr>
            <w:tcW w:type="dxa" w:w="855"/>
          </w:tcPr>
          <w:p>
            <w:pPr>
              <w:spacing w:after="40"/>
              <w:jc w:val="center"/>
            </w:pPr>
            <w:r/>
            <w:r>
              <w:rPr>
                <w:sz w:val="18"/>
              </w:rPr>
              <w:t>2.71</w:t>
            </w:r>
          </w:p>
        </w:tc>
      </w:tr>
      <w:tr>
        <w:tc>
          <w:tcPr>
            <w:tcW w:type="dxa" w:w="855"/>
          </w:tcPr>
          <w:p>
            <w:pPr>
              <w:spacing w:after="40"/>
              <w:jc w:val="left"/>
            </w:pPr>
            <w:r/>
            <w:r>
              <w:rPr>
                <w:sz w:val="18"/>
              </w:rPr>
              <w:t>11</w:t>
            </w:r>
          </w:p>
        </w:tc>
        <w:tc>
          <w:tcPr>
            <w:tcW w:type="dxa" w:w="855"/>
          </w:tcPr>
          <w:p>
            <w:pPr>
              <w:spacing w:after="40"/>
              <w:jc w:val="center"/>
            </w:pPr>
            <w:r/>
            <w:r>
              <w:rPr>
                <w:sz w:val="18"/>
              </w:rPr>
              <w:t>Rad+Gen (BM3)</w:t>
            </w:r>
          </w:p>
        </w:tc>
        <w:tc>
          <w:tcPr>
            <w:tcW w:type="dxa" w:w="855"/>
          </w:tcPr>
          <w:p>
            <w:pPr>
              <w:spacing w:after="40"/>
              <w:jc w:val="center"/>
            </w:pPr>
            <w:r/>
            <w:r>
              <w:rPr>
                <w:sz w:val="18"/>
              </w:rPr>
              <w:t>4</w:t>
            </w:r>
          </w:p>
        </w:tc>
        <w:tc>
          <w:tcPr>
            <w:tcW w:type="dxa" w:w="855"/>
          </w:tcPr>
          <w:p>
            <w:pPr>
              <w:spacing w:after="40"/>
              <w:jc w:val="center"/>
            </w:pPr>
            <w:r/>
            <w:r>
              <w:rPr>
                <w:sz w:val="18"/>
              </w:rPr>
              <w:t>0.605</w:t>
            </w:r>
          </w:p>
        </w:tc>
        <w:tc>
          <w:tcPr>
            <w:tcW w:type="dxa" w:w="855"/>
          </w:tcPr>
          <w:p>
            <w:pPr>
              <w:spacing w:after="40"/>
              <w:jc w:val="center"/>
            </w:pPr>
            <w:r/>
            <w:r>
              <w:rPr>
                <w:b/>
                <w:sz w:val="18"/>
              </w:rPr>
              <w:t>0.609</w:t>
            </w:r>
          </w:p>
        </w:tc>
        <w:tc>
          <w:tcPr>
            <w:tcW w:type="dxa" w:w="855"/>
          </w:tcPr>
          <w:p>
            <w:pPr>
              <w:spacing w:after="40"/>
              <w:jc w:val="center"/>
            </w:pPr>
            <w:r/>
            <w:r>
              <w:rPr>
                <w:sz w:val="18"/>
              </w:rPr>
              <w:t>0.605</w:t>
            </w:r>
          </w:p>
        </w:tc>
        <w:tc>
          <w:tcPr>
            <w:tcW w:type="dxa" w:w="855"/>
          </w:tcPr>
          <w:p>
            <w:pPr>
              <w:spacing w:after="40"/>
              <w:jc w:val="center"/>
            </w:pPr>
            <w:r/>
            <w:r>
              <w:rPr>
                <w:sz w:val="18"/>
              </w:rPr>
              <w:t>0.609</w:t>
            </w:r>
          </w:p>
        </w:tc>
        <w:tc>
          <w:tcPr>
            <w:tcW w:type="dxa" w:w="855"/>
          </w:tcPr>
          <w:p>
            <w:pPr>
              <w:spacing w:after="40"/>
              <w:jc w:val="center"/>
            </w:pPr>
            <w:r/>
            <w:r>
              <w:rPr>
                <w:sz w:val="18"/>
              </w:rPr>
              <w:t>4.74</w:t>
            </w:r>
          </w:p>
        </w:tc>
        <w:tc>
          <w:tcPr>
            <w:tcW w:type="dxa" w:w="855"/>
          </w:tcPr>
          <w:p>
            <w:pPr>
              <w:spacing w:after="40"/>
              <w:jc w:val="center"/>
            </w:pPr>
            <w:r/>
            <w:r>
              <w:rPr>
                <w:b/>
                <w:sz w:val="18"/>
              </w:rPr>
              <w:t>5.00</w:t>
            </w:r>
          </w:p>
        </w:tc>
        <w:tc>
          <w:tcPr>
            <w:tcW w:type="dxa" w:w="855"/>
          </w:tcPr>
          <w:p>
            <w:pPr>
              <w:spacing w:after="40"/>
              <w:jc w:val="center"/>
            </w:pPr>
            <w:r/>
            <w:r>
              <w:rPr>
                <w:sz w:val="18"/>
              </w:rPr>
              <w:t>4.74</w:t>
            </w:r>
          </w:p>
        </w:tc>
        <w:tc>
          <w:tcPr>
            <w:tcW w:type="dxa" w:w="855"/>
          </w:tcPr>
          <w:p>
            <w:pPr>
              <w:spacing w:after="40"/>
              <w:jc w:val="center"/>
            </w:pPr>
            <w:r/>
            <w:r>
              <w:rPr>
                <w:sz w:val="18"/>
              </w:rPr>
              <w:t>5.00</w:t>
            </w:r>
          </w:p>
        </w:tc>
      </w:tr>
      <w:tr>
        <w:tc>
          <w:tcPr>
            <w:tcW w:type="dxa" w:w="855"/>
          </w:tcPr>
          <w:p>
            <w:pPr>
              <w:spacing w:after="40"/>
              <w:jc w:val="left"/>
            </w:pPr>
            <w:r/>
            <w:r>
              <w:rPr>
                <w:sz w:val="18"/>
              </w:rPr>
              <w:t>12</w:t>
            </w:r>
          </w:p>
        </w:tc>
        <w:tc>
          <w:tcPr>
            <w:tcW w:type="dxa" w:w="855"/>
          </w:tcPr>
          <w:p>
            <w:pPr>
              <w:spacing w:after="40"/>
              <w:jc w:val="center"/>
            </w:pPr>
            <w:r/>
            <w:r>
              <w:rPr>
                <w:sz w:val="18"/>
              </w:rPr>
              <w:t>IHC-A+Gen</w:t>
            </w:r>
          </w:p>
        </w:tc>
        <w:tc>
          <w:tcPr>
            <w:tcW w:type="dxa" w:w="855"/>
          </w:tcPr>
          <w:p>
            <w:pPr>
              <w:spacing w:after="40"/>
              <w:jc w:val="center"/>
            </w:pPr>
            <w:r/>
            <w:r>
              <w:rPr>
                <w:sz w:val="18"/>
              </w:rPr>
              <w:t>2</w:t>
            </w:r>
          </w:p>
        </w:tc>
        <w:tc>
          <w:tcPr>
            <w:tcW w:type="dxa" w:w="855"/>
          </w:tcPr>
          <w:p>
            <w:pPr>
              <w:spacing w:after="40"/>
              <w:jc w:val="center"/>
            </w:pPr>
            <w:r/>
            <w:r>
              <w:rPr>
                <w:sz w:val="18"/>
              </w:rPr>
              <w:t>0.603</w:t>
            </w:r>
          </w:p>
        </w:tc>
        <w:tc>
          <w:tcPr>
            <w:tcW w:type="dxa" w:w="855"/>
          </w:tcPr>
          <w:p>
            <w:pPr>
              <w:spacing w:after="40"/>
              <w:jc w:val="center"/>
            </w:pPr>
            <w:r/>
            <w:r>
              <w:rPr>
                <w:b/>
                <w:sz w:val="18"/>
              </w:rPr>
              <w:t>0.608</w:t>
            </w:r>
          </w:p>
        </w:tc>
        <w:tc>
          <w:tcPr>
            <w:tcW w:type="dxa" w:w="855"/>
          </w:tcPr>
          <w:p>
            <w:pPr>
              <w:spacing w:after="40"/>
              <w:jc w:val="center"/>
            </w:pPr>
            <w:r/>
            <w:r>
              <w:rPr>
                <w:sz w:val="18"/>
              </w:rPr>
              <w:t>0.603</w:t>
            </w:r>
          </w:p>
        </w:tc>
        <w:tc>
          <w:tcPr>
            <w:tcW w:type="dxa" w:w="855"/>
          </w:tcPr>
          <w:p>
            <w:pPr>
              <w:spacing w:after="40"/>
              <w:jc w:val="center"/>
            </w:pPr>
            <w:r/>
            <w:r>
              <w:rPr>
                <w:sz w:val="18"/>
              </w:rPr>
              <w:t>0.608</w:t>
            </w:r>
          </w:p>
        </w:tc>
        <w:tc>
          <w:tcPr>
            <w:tcW w:type="dxa" w:w="855"/>
          </w:tcPr>
          <w:p>
            <w:pPr>
              <w:spacing w:after="40"/>
              <w:jc w:val="center"/>
            </w:pPr>
            <w:r/>
            <w:r>
              <w:rPr>
                <w:sz w:val="18"/>
              </w:rPr>
              <w:t>3.59</w:t>
            </w:r>
          </w:p>
        </w:tc>
        <w:tc>
          <w:tcPr>
            <w:tcW w:type="dxa" w:w="855"/>
          </w:tcPr>
          <w:p>
            <w:pPr>
              <w:spacing w:after="40"/>
              <w:jc w:val="center"/>
            </w:pPr>
            <w:r/>
            <w:r>
              <w:rPr>
                <w:b/>
                <w:sz w:val="18"/>
              </w:rPr>
              <w:t>3.75</w:t>
            </w:r>
          </w:p>
        </w:tc>
        <w:tc>
          <w:tcPr>
            <w:tcW w:type="dxa" w:w="855"/>
          </w:tcPr>
          <w:p>
            <w:pPr>
              <w:spacing w:after="40"/>
              <w:jc w:val="center"/>
            </w:pPr>
            <w:r/>
            <w:r>
              <w:rPr>
                <w:sz w:val="18"/>
              </w:rPr>
              <w:t>3.59</w:t>
            </w:r>
          </w:p>
        </w:tc>
        <w:tc>
          <w:tcPr>
            <w:tcW w:type="dxa" w:w="855"/>
          </w:tcPr>
          <w:p>
            <w:pPr>
              <w:spacing w:after="40"/>
              <w:jc w:val="center"/>
            </w:pPr>
            <w:r/>
            <w:r>
              <w:rPr>
                <w:sz w:val="18"/>
              </w:rPr>
              <w:t>3.75</w:t>
            </w:r>
          </w:p>
        </w:tc>
      </w:tr>
      <w:tr>
        <w:tc>
          <w:tcPr>
            <w:tcW w:type="dxa" w:w="855"/>
          </w:tcPr>
          <w:p>
            <w:pPr>
              <w:spacing w:after="40"/>
              <w:jc w:val="left"/>
            </w:pPr>
            <w:r/>
            <w:r>
              <w:rPr>
                <w:sz w:val="18"/>
              </w:rPr>
              <w:t>13</w:t>
            </w:r>
          </w:p>
        </w:tc>
        <w:tc>
          <w:tcPr>
            <w:tcW w:type="dxa" w:w="855"/>
          </w:tcPr>
          <w:p>
            <w:pPr>
              <w:spacing w:after="40"/>
              <w:jc w:val="center"/>
            </w:pPr>
            <w:r/>
            <w:r>
              <w:rPr>
                <w:sz w:val="18"/>
              </w:rPr>
              <w:t>IHC-G+Gen</w:t>
            </w:r>
          </w:p>
        </w:tc>
        <w:tc>
          <w:tcPr>
            <w:tcW w:type="dxa" w:w="855"/>
          </w:tcPr>
          <w:p>
            <w:pPr>
              <w:spacing w:after="40"/>
              <w:jc w:val="center"/>
            </w:pPr>
            <w:r/>
            <w:r>
              <w:rPr>
                <w:sz w:val="18"/>
              </w:rPr>
              <w:t>2</w:t>
            </w:r>
          </w:p>
        </w:tc>
        <w:tc>
          <w:tcPr>
            <w:tcW w:type="dxa" w:w="855"/>
          </w:tcPr>
          <w:p>
            <w:pPr>
              <w:spacing w:after="40"/>
              <w:jc w:val="center"/>
            </w:pPr>
            <w:r/>
            <w:r>
              <w:rPr>
                <w:b/>
                <w:sz w:val="18"/>
              </w:rPr>
              <w:t>0.622</w:t>
            </w:r>
          </w:p>
        </w:tc>
        <w:tc>
          <w:tcPr>
            <w:tcW w:type="dxa" w:w="855"/>
          </w:tcPr>
          <w:p>
            <w:pPr>
              <w:spacing w:after="40"/>
              <w:jc w:val="center"/>
            </w:pPr>
            <w:r/>
            <w:r>
              <w:rPr>
                <w:sz w:val="18"/>
              </w:rPr>
              <w:t>0.612</w:t>
            </w:r>
          </w:p>
        </w:tc>
        <w:tc>
          <w:tcPr>
            <w:tcW w:type="dxa" w:w="855"/>
          </w:tcPr>
          <w:p>
            <w:pPr>
              <w:spacing w:after="40"/>
              <w:jc w:val="center"/>
            </w:pPr>
            <w:r/>
            <w:r>
              <w:rPr>
                <w:sz w:val="18"/>
              </w:rPr>
              <w:t>0.622</w:t>
            </w:r>
          </w:p>
        </w:tc>
        <w:tc>
          <w:tcPr>
            <w:tcW w:type="dxa" w:w="855"/>
          </w:tcPr>
          <w:p>
            <w:pPr>
              <w:spacing w:after="40"/>
              <w:jc w:val="center"/>
            </w:pPr>
            <w:r/>
            <w:r>
              <w:rPr>
                <w:sz w:val="18"/>
              </w:rPr>
              <w:t>0.612</w:t>
            </w:r>
          </w:p>
        </w:tc>
        <w:tc>
          <w:tcPr>
            <w:tcW w:type="dxa" w:w="855"/>
          </w:tcPr>
          <w:p>
            <w:pPr>
              <w:spacing w:after="40"/>
              <w:jc w:val="center"/>
            </w:pPr>
            <w:r/>
            <w:r>
              <w:rPr>
                <w:b/>
                <w:sz w:val="18"/>
              </w:rPr>
              <w:t>4.04</w:t>
            </w:r>
          </w:p>
        </w:tc>
        <w:tc>
          <w:tcPr>
            <w:tcW w:type="dxa" w:w="855"/>
          </w:tcPr>
          <w:p>
            <w:pPr>
              <w:spacing w:after="40"/>
              <w:jc w:val="center"/>
            </w:pPr>
            <w:r/>
            <w:r>
              <w:rPr>
                <w:sz w:val="18"/>
              </w:rPr>
              <w:t>3.59</w:t>
            </w:r>
          </w:p>
        </w:tc>
        <w:tc>
          <w:tcPr>
            <w:tcW w:type="dxa" w:w="855"/>
          </w:tcPr>
          <w:p>
            <w:pPr>
              <w:spacing w:after="40"/>
              <w:jc w:val="center"/>
            </w:pPr>
            <w:r/>
            <w:r>
              <w:rPr>
                <w:sz w:val="18"/>
              </w:rPr>
              <w:t>4.04</w:t>
            </w:r>
          </w:p>
        </w:tc>
        <w:tc>
          <w:tcPr>
            <w:tcW w:type="dxa" w:w="855"/>
          </w:tcPr>
          <w:p>
            <w:pPr>
              <w:spacing w:after="40"/>
              <w:jc w:val="center"/>
            </w:pPr>
            <w:r/>
            <w:r>
              <w:rPr>
                <w:sz w:val="18"/>
              </w:rPr>
              <w:t>3.59</w:t>
            </w:r>
          </w:p>
        </w:tc>
      </w:tr>
      <w:tr>
        <w:tc>
          <w:tcPr>
            <w:tcW w:type="dxa" w:w="855"/>
          </w:tcPr>
          <w:p>
            <w:pPr>
              <w:spacing w:after="40"/>
              <w:jc w:val="left"/>
            </w:pPr>
            <w:r/>
            <w:r>
              <w:rPr>
                <w:sz w:val="18"/>
              </w:rPr>
              <w:t>14</w:t>
            </w:r>
          </w:p>
        </w:tc>
        <w:tc>
          <w:tcPr>
            <w:tcW w:type="dxa" w:w="855"/>
          </w:tcPr>
          <w:p>
            <w:pPr>
              <w:spacing w:after="40"/>
              <w:jc w:val="center"/>
            </w:pPr>
            <w:r/>
            <w:r>
              <w:rPr>
                <w:sz w:val="18"/>
              </w:rPr>
              <w:t>Rad+IHC-A+Gen</w:t>
            </w:r>
          </w:p>
        </w:tc>
        <w:tc>
          <w:tcPr>
            <w:tcW w:type="dxa" w:w="855"/>
          </w:tcPr>
          <w:p>
            <w:pPr>
              <w:spacing w:after="40"/>
              <w:jc w:val="center"/>
            </w:pPr>
            <w:r/>
            <w:r>
              <w:rPr>
                <w:sz w:val="18"/>
              </w:rPr>
              <w:t>5</w:t>
            </w:r>
          </w:p>
        </w:tc>
        <w:tc>
          <w:tcPr>
            <w:tcW w:type="dxa" w:w="855"/>
          </w:tcPr>
          <w:p>
            <w:pPr>
              <w:spacing w:after="40"/>
              <w:jc w:val="center"/>
            </w:pPr>
            <w:r/>
            <w:r>
              <w:rPr>
                <w:b/>
                <w:sz w:val="18"/>
              </w:rPr>
              <w:t>0.619</w:t>
            </w:r>
          </w:p>
        </w:tc>
        <w:tc>
          <w:tcPr>
            <w:tcW w:type="dxa" w:w="855"/>
          </w:tcPr>
          <w:p>
            <w:pPr>
              <w:spacing w:after="40"/>
              <w:jc w:val="center"/>
            </w:pPr>
            <w:r/>
            <w:r>
              <w:rPr>
                <w:b/>
                <w:sz w:val="18"/>
              </w:rPr>
              <w:t>0.619</w:t>
            </w:r>
          </w:p>
        </w:tc>
        <w:tc>
          <w:tcPr>
            <w:tcW w:type="dxa" w:w="855"/>
          </w:tcPr>
          <w:p>
            <w:pPr>
              <w:spacing w:after="40"/>
              <w:jc w:val="center"/>
            </w:pPr>
            <w:r/>
            <w:r>
              <w:rPr>
                <w:sz w:val="18"/>
              </w:rPr>
              <w:t>0.619</w:t>
            </w:r>
          </w:p>
        </w:tc>
        <w:tc>
          <w:tcPr>
            <w:tcW w:type="dxa" w:w="855"/>
          </w:tcPr>
          <w:p>
            <w:pPr>
              <w:spacing w:after="40"/>
              <w:jc w:val="center"/>
            </w:pPr>
            <w:r/>
            <w:r>
              <w:rPr>
                <w:sz w:val="18"/>
              </w:rPr>
              <w:t>0.619</w:t>
            </w:r>
          </w:p>
        </w:tc>
        <w:tc>
          <w:tcPr>
            <w:tcW w:type="dxa" w:w="855"/>
          </w:tcPr>
          <w:p>
            <w:pPr>
              <w:spacing w:after="40"/>
              <w:jc w:val="center"/>
            </w:pPr>
            <w:r/>
            <w:r>
              <w:rPr>
                <w:b/>
                <w:sz w:val="18"/>
              </w:rPr>
              <w:t>5.68</w:t>
            </w:r>
          </w:p>
        </w:tc>
        <w:tc>
          <w:tcPr>
            <w:tcW w:type="dxa" w:w="855"/>
          </w:tcPr>
          <w:p>
            <w:pPr>
              <w:spacing w:after="40"/>
              <w:jc w:val="center"/>
            </w:pPr>
            <w:r/>
            <w:r>
              <w:rPr>
                <w:sz w:val="18"/>
              </w:rPr>
              <w:t>5.45</w:t>
            </w:r>
          </w:p>
        </w:tc>
        <w:tc>
          <w:tcPr>
            <w:tcW w:type="dxa" w:w="855"/>
          </w:tcPr>
          <w:p>
            <w:pPr>
              <w:spacing w:after="40"/>
              <w:jc w:val="center"/>
            </w:pPr>
            <w:r/>
            <w:r>
              <w:rPr>
                <w:sz w:val="18"/>
              </w:rPr>
              <w:t>5.68</w:t>
            </w:r>
          </w:p>
        </w:tc>
        <w:tc>
          <w:tcPr>
            <w:tcW w:type="dxa" w:w="855"/>
          </w:tcPr>
          <w:p>
            <w:pPr>
              <w:spacing w:after="40"/>
              <w:jc w:val="center"/>
            </w:pPr>
            <w:r/>
            <w:r>
              <w:rPr>
                <w:sz w:val="18"/>
              </w:rPr>
              <w:t>5.45</w:t>
            </w:r>
          </w:p>
        </w:tc>
      </w:tr>
      <w:tr>
        <w:tc>
          <w:tcPr>
            <w:tcW w:type="dxa" w:w="855"/>
          </w:tcPr>
          <w:p>
            <w:pPr>
              <w:spacing w:after="40"/>
              <w:jc w:val="left"/>
            </w:pPr>
            <w:r/>
            <w:r>
              <w:rPr>
                <w:sz w:val="18"/>
              </w:rPr>
              <w:t>15</w:t>
            </w:r>
          </w:p>
        </w:tc>
        <w:tc>
          <w:tcPr>
            <w:tcW w:type="dxa" w:w="855"/>
          </w:tcPr>
          <w:p>
            <w:pPr>
              <w:spacing w:after="40"/>
              <w:jc w:val="center"/>
            </w:pPr>
            <w:r/>
            <w:r>
              <w:rPr>
                <w:sz w:val="18"/>
              </w:rPr>
              <w:t>Rad+IHC-G+Gen</w:t>
            </w:r>
          </w:p>
        </w:tc>
        <w:tc>
          <w:tcPr>
            <w:tcW w:type="dxa" w:w="855"/>
          </w:tcPr>
          <w:p>
            <w:pPr>
              <w:spacing w:after="40"/>
              <w:jc w:val="center"/>
            </w:pPr>
            <w:r/>
            <w:r>
              <w:rPr>
                <w:sz w:val="18"/>
              </w:rPr>
              <w:t>5</w:t>
            </w:r>
          </w:p>
        </w:tc>
        <w:tc>
          <w:tcPr>
            <w:tcW w:type="dxa" w:w="855"/>
          </w:tcPr>
          <w:p>
            <w:pPr>
              <w:spacing w:after="40"/>
              <w:jc w:val="center"/>
            </w:pPr>
            <w:r/>
            <w:r>
              <w:rPr>
                <w:b/>
                <w:sz w:val="18"/>
              </w:rPr>
              <w:t>0.630</w:t>
            </w:r>
          </w:p>
        </w:tc>
        <w:tc>
          <w:tcPr>
            <w:tcW w:type="dxa" w:w="855"/>
          </w:tcPr>
          <w:p>
            <w:pPr>
              <w:spacing w:after="40"/>
              <w:jc w:val="center"/>
            </w:pPr>
            <w:r/>
            <w:r>
              <w:rPr>
                <w:sz w:val="18"/>
              </w:rPr>
              <w:t>0.628</w:t>
            </w:r>
          </w:p>
        </w:tc>
        <w:tc>
          <w:tcPr>
            <w:tcW w:type="dxa" w:w="855"/>
          </w:tcPr>
          <w:p>
            <w:pPr>
              <w:spacing w:after="40"/>
              <w:jc w:val="center"/>
            </w:pPr>
            <w:r/>
            <w:r>
              <w:rPr>
                <w:sz w:val="18"/>
              </w:rPr>
              <w:t>0.630</w:t>
            </w:r>
          </w:p>
        </w:tc>
        <w:tc>
          <w:tcPr>
            <w:tcW w:type="dxa" w:w="855"/>
          </w:tcPr>
          <w:p>
            <w:pPr>
              <w:spacing w:after="40"/>
              <w:jc w:val="center"/>
            </w:pPr>
            <w:r/>
            <w:r>
              <w:rPr>
                <w:sz w:val="18"/>
              </w:rPr>
              <w:t>0.628</w:t>
            </w:r>
          </w:p>
        </w:tc>
        <w:tc>
          <w:tcPr>
            <w:tcW w:type="dxa" w:w="855"/>
          </w:tcPr>
          <w:p>
            <w:pPr>
              <w:spacing w:after="40"/>
              <w:jc w:val="center"/>
            </w:pPr>
            <w:r/>
            <w:r>
              <w:rPr>
                <w:b/>
                <w:sz w:val="18"/>
              </w:rPr>
              <w:t>5.42</w:t>
            </w:r>
          </w:p>
        </w:tc>
        <w:tc>
          <w:tcPr>
            <w:tcW w:type="dxa" w:w="855"/>
          </w:tcPr>
          <w:p>
            <w:pPr>
              <w:spacing w:after="40"/>
              <w:jc w:val="center"/>
            </w:pPr>
            <w:r/>
            <w:r>
              <w:rPr>
                <w:sz w:val="18"/>
              </w:rPr>
              <w:t>4.83</w:t>
            </w:r>
          </w:p>
        </w:tc>
        <w:tc>
          <w:tcPr>
            <w:tcW w:type="dxa" w:w="855"/>
          </w:tcPr>
          <w:p>
            <w:pPr>
              <w:spacing w:after="40"/>
              <w:jc w:val="center"/>
            </w:pPr>
            <w:r/>
            <w:r>
              <w:rPr>
                <w:sz w:val="18"/>
              </w:rPr>
              <w:t>5.42</w:t>
            </w:r>
          </w:p>
        </w:tc>
        <w:tc>
          <w:tcPr>
            <w:tcW w:type="dxa" w:w="855"/>
          </w:tcPr>
          <w:p>
            <w:pPr>
              <w:spacing w:after="40"/>
              <w:jc w:val="center"/>
            </w:pPr>
            <w:r/>
            <w:r>
              <w:rPr>
                <w:sz w:val="18"/>
              </w:rPr>
              <w:t>4.83</w:t>
            </w:r>
          </w:p>
        </w:tc>
      </w:tr>
      <w:tr>
        <w:tc>
          <w:tcPr>
            <w:tcW w:type="dxa" w:w="855"/>
          </w:tcPr>
          <w:p>
            <w:pPr>
              <w:spacing w:after="40"/>
              <w:jc w:val="left"/>
            </w:pPr>
            <w:r/>
            <w:r>
              <w:rPr>
                <w:sz w:val="18"/>
              </w:rPr>
              <w:t>16</w:t>
            </w:r>
          </w:p>
        </w:tc>
        <w:tc>
          <w:tcPr>
            <w:tcW w:type="dxa" w:w="855"/>
          </w:tcPr>
          <w:p>
            <w:pPr>
              <w:spacing w:after="40"/>
              <w:jc w:val="center"/>
            </w:pPr>
            <w:r/>
            <w:r>
              <w:rPr>
                <w:sz w:val="18"/>
              </w:rPr>
              <w:t>Rad+IHC-A+MutAmp</w:t>
            </w:r>
          </w:p>
        </w:tc>
        <w:tc>
          <w:tcPr>
            <w:tcW w:type="dxa" w:w="855"/>
          </w:tcPr>
          <w:p>
            <w:pPr>
              <w:spacing w:after="40"/>
              <w:jc w:val="center"/>
            </w:pPr>
            <w:r/>
            <w:r>
              <w:rPr>
                <w:sz w:val="18"/>
              </w:rPr>
              <w:t>6</w:t>
            </w:r>
          </w:p>
        </w:tc>
        <w:tc>
          <w:tcPr>
            <w:tcW w:type="dxa" w:w="855"/>
          </w:tcPr>
          <w:p>
            <w:pPr>
              <w:spacing w:after="40"/>
              <w:jc w:val="center"/>
            </w:pPr>
            <w:r/>
            <w:r>
              <w:rPr>
                <w:b/>
                <w:sz w:val="18"/>
              </w:rPr>
              <w:t>0.621</w:t>
            </w:r>
          </w:p>
        </w:tc>
        <w:tc>
          <w:tcPr>
            <w:tcW w:type="dxa" w:w="855"/>
          </w:tcPr>
          <w:p>
            <w:pPr>
              <w:spacing w:after="40"/>
              <w:jc w:val="center"/>
            </w:pPr>
            <w:r/>
            <w:r>
              <w:rPr>
                <w:sz w:val="18"/>
              </w:rPr>
              <w:t>0.592</w:t>
            </w:r>
          </w:p>
        </w:tc>
        <w:tc>
          <w:tcPr>
            <w:tcW w:type="dxa" w:w="855"/>
          </w:tcPr>
          <w:p>
            <w:pPr>
              <w:spacing w:after="40"/>
              <w:jc w:val="center"/>
            </w:pPr>
            <w:r/>
            <w:r>
              <w:rPr>
                <w:sz w:val="18"/>
              </w:rPr>
              <w:t>0.621</w:t>
            </w:r>
          </w:p>
        </w:tc>
        <w:tc>
          <w:tcPr>
            <w:tcW w:type="dxa" w:w="855"/>
          </w:tcPr>
          <w:p>
            <w:pPr>
              <w:spacing w:after="40"/>
              <w:jc w:val="center"/>
            </w:pPr>
            <w:r/>
            <w:r>
              <w:rPr>
                <w:sz w:val="18"/>
              </w:rPr>
              <w:t>0.592</w:t>
            </w:r>
          </w:p>
        </w:tc>
        <w:tc>
          <w:tcPr>
            <w:tcW w:type="dxa" w:w="855"/>
          </w:tcPr>
          <w:p>
            <w:pPr>
              <w:spacing w:after="40"/>
              <w:jc w:val="center"/>
            </w:pPr>
            <w:r/>
            <w:r>
              <w:rPr>
                <w:b/>
                <w:sz w:val="18"/>
              </w:rPr>
              <w:t>4.70</w:t>
            </w:r>
          </w:p>
        </w:tc>
        <w:tc>
          <w:tcPr>
            <w:tcW w:type="dxa" w:w="855"/>
          </w:tcPr>
          <w:p>
            <w:pPr>
              <w:spacing w:after="40"/>
              <w:jc w:val="center"/>
            </w:pPr>
            <w:r/>
            <w:r>
              <w:rPr>
                <w:sz w:val="18"/>
              </w:rPr>
              <w:t>4.40</w:t>
            </w:r>
          </w:p>
        </w:tc>
        <w:tc>
          <w:tcPr>
            <w:tcW w:type="dxa" w:w="855"/>
          </w:tcPr>
          <w:p>
            <w:pPr>
              <w:spacing w:after="40"/>
              <w:jc w:val="center"/>
            </w:pPr>
            <w:r/>
            <w:r>
              <w:rPr>
                <w:sz w:val="18"/>
              </w:rPr>
              <w:t>4.70</w:t>
            </w:r>
          </w:p>
        </w:tc>
        <w:tc>
          <w:tcPr>
            <w:tcW w:type="dxa" w:w="855"/>
          </w:tcPr>
          <w:p>
            <w:pPr>
              <w:spacing w:after="40"/>
              <w:jc w:val="center"/>
            </w:pPr>
            <w:r/>
            <w:r>
              <w:rPr>
                <w:sz w:val="18"/>
              </w:rPr>
              <w:t>4.40</w:t>
            </w:r>
          </w:p>
        </w:tc>
      </w:tr>
      <w:tr>
        <w:tc>
          <w:tcPr>
            <w:tcW w:type="dxa" w:w="855"/>
          </w:tcPr>
          <w:p>
            <w:pPr>
              <w:spacing w:after="40"/>
              <w:jc w:val="left"/>
            </w:pPr>
            <w:r/>
            <w:r>
              <w:rPr>
                <w:sz w:val="18"/>
              </w:rPr>
              <w:t>17</w:t>
            </w:r>
          </w:p>
        </w:tc>
        <w:tc>
          <w:tcPr>
            <w:tcW w:type="dxa" w:w="855"/>
          </w:tcPr>
          <w:p>
            <w:pPr>
              <w:spacing w:after="40"/>
              <w:jc w:val="center"/>
            </w:pPr>
            <w:r/>
            <w:r>
              <w:rPr>
                <w:sz w:val="18"/>
              </w:rPr>
              <w:t>Rad+IHC-A+Gen+PDL1</w:t>
            </w:r>
          </w:p>
        </w:tc>
        <w:tc>
          <w:tcPr>
            <w:tcW w:type="dxa" w:w="855"/>
          </w:tcPr>
          <w:p>
            <w:pPr>
              <w:spacing w:after="40"/>
              <w:jc w:val="center"/>
            </w:pPr>
            <w:r/>
            <w:r>
              <w:rPr>
                <w:sz w:val="18"/>
              </w:rPr>
              <w:t>6</w:t>
            </w:r>
          </w:p>
        </w:tc>
        <w:tc>
          <w:tcPr>
            <w:tcW w:type="dxa" w:w="855"/>
          </w:tcPr>
          <w:p>
            <w:pPr>
              <w:spacing w:after="40"/>
              <w:jc w:val="center"/>
            </w:pPr>
            <w:r/>
            <w:r>
              <w:rPr>
                <w:b/>
                <w:sz w:val="18"/>
              </w:rPr>
              <w:t>0.655</w:t>
            </w:r>
          </w:p>
        </w:tc>
        <w:tc>
          <w:tcPr>
            <w:tcW w:type="dxa" w:w="855"/>
          </w:tcPr>
          <w:p>
            <w:pPr>
              <w:spacing w:after="40"/>
              <w:jc w:val="center"/>
            </w:pPr>
            <w:r/>
            <w:r>
              <w:rPr>
                <w:sz w:val="18"/>
              </w:rPr>
              <w:t>0.620</w:t>
            </w:r>
          </w:p>
        </w:tc>
        <w:tc>
          <w:tcPr>
            <w:tcW w:type="dxa" w:w="855"/>
          </w:tcPr>
          <w:p>
            <w:pPr>
              <w:spacing w:after="40"/>
              <w:jc w:val="center"/>
            </w:pPr>
            <w:r/>
            <w:r>
              <w:rPr>
                <w:sz w:val="18"/>
              </w:rPr>
              <w:t>0.655</w:t>
            </w:r>
          </w:p>
        </w:tc>
        <w:tc>
          <w:tcPr>
            <w:tcW w:type="dxa" w:w="855"/>
          </w:tcPr>
          <w:p>
            <w:pPr>
              <w:spacing w:after="40"/>
              <w:jc w:val="center"/>
            </w:pPr>
            <w:r/>
            <w:r>
              <w:rPr>
                <w:sz w:val="18"/>
              </w:rPr>
              <w:t>0.620</w:t>
            </w:r>
          </w:p>
        </w:tc>
        <w:tc>
          <w:tcPr>
            <w:tcW w:type="dxa" w:w="855"/>
          </w:tcPr>
          <w:p>
            <w:pPr>
              <w:spacing w:after="40"/>
              <w:jc w:val="center"/>
            </w:pPr>
            <w:r/>
            <w:r>
              <w:rPr>
                <w:b/>
                <w:sz w:val="18"/>
              </w:rPr>
              <w:t>8.59</w:t>
            </w:r>
          </w:p>
        </w:tc>
        <w:tc>
          <w:tcPr>
            <w:tcW w:type="dxa" w:w="855"/>
          </w:tcPr>
          <w:p>
            <w:pPr>
              <w:spacing w:after="40"/>
              <w:jc w:val="center"/>
            </w:pPr>
            <w:r/>
            <w:r>
              <w:rPr>
                <w:sz w:val="18"/>
              </w:rPr>
              <w:t>6.29</w:t>
            </w:r>
          </w:p>
        </w:tc>
        <w:tc>
          <w:tcPr>
            <w:tcW w:type="dxa" w:w="855"/>
          </w:tcPr>
          <w:p>
            <w:pPr>
              <w:spacing w:after="40"/>
              <w:jc w:val="center"/>
            </w:pPr>
            <w:r/>
            <w:r>
              <w:rPr>
                <w:sz w:val="18"/>
              </w:rPr>
              <w:t>8.59</w:t>
            </w:r>
          </w:p>
        </w:tc>
        <w:tc>
          <w:tcPr>
            <w:tcW w:type="dxa" w:w="855"/>
          </w:tcPr>
          <w:p>
            <w:pPr>
              <w:spacing w:after="40"/>
              <w:jc w:val="center"/>
            </w:pPr>
            <w:r/>
            <w:r>
              <w:rPr>
                <w:sz w:val="18"/>
              </w:rPr>
              <w:t>6.29</w:t>
            </w:r>
          </w:p>
        </w:tc>
      </w:tr>
      <w:tr>
        <w:tc>
          <w:tcPr>
            <w:tcW w:type="dxa" w:w="855"/>
          </w:tcPr>
          <w:p>
            <w:pPr>
              <w:spacing w:after="40"/>
              <w:jc w:val="left"/>
            </w:pPr>
            <w:r/>
            <w:r>
              <w:rPr>
                <w:sz w:val="18"/>
              </w:rPr>
              <w:t>18</w:t>
            </w:r>
          </w:p>
        </w:tc>
        <w:tc>
          <w:tcPr>
            <w:tcW w:type="dxa" w:w="855"/>
          </w:tcPr>
          <w:p>
            <w:pPr>
              <w:spacing w:after="40"/>
              <w:jc w:val="center"/>
            </w:pPr>
            <w:r/>
            <w:r>
              <w:rPr>
                <w:sz w:val="18"/>
              </w:rPr>
              <w:t>Rad+IHC-G+Gen+PDL1 (BM1)</w:t>
            </w:r>
          </w:p>
        </w:tc>
        <w:tc>
          <w:tcPr>
            <w:tcW w:type="dxa" w:w="855"/>
          </w:tcPr>
          <w:p>
            <w:pPr>
              <w:spacing w:after="40"/>
              <w:jc w:val="center"/>
            </w:pPr>
            <w:r/>
            <w:r>
              <w:rPr>
                <w:sz w:val="18"/>
              </w:rPr>
              <w:t>6</w:t>
            </w:r>
          </w:p>
        </w:tc>
        <w:tc>
          <w:tcPr>
            <w:tcW w:type="dxa" w:w="855"/>
          </w:tcPr>
          <w:p>
            <w:pPr>
              <w:spacing w:after="40"/>
              <w:jc w:val="center"/>
            </w:pPr>
            <w:r/>
            <w:r>
              <w:rPr>
                <w:b/>
                <w:sz w:val="18"/>
              </w:rPr>
              <w:t>0.646</w:t>
            </w:r>
          </w:p>
        </w:tc>
        <w:tc>
          <w:tcPr>
            <w:tcW w:type="dxa" w:w="855"/>
          </w:tcPr>
          <w:p>
            <w:pPr>
              <w:spacing w:after="40"/>
              <w:jc w:val="center"/>
            </w:pPr>
            <w:r/>
            <w:r>
              <w:rPr>
                <w:sz w:val="18"/>
              </w:rPr>
              <w:t>0.640</w:t>
            </w:r>
          </w:p>
        </w:tc>
        <w:tc>
          <w:tcPr>
            <w:tcW w:type="dxa" w:w="855"/>
          </w:tcPr>
          <w:p>
            <w:pPr>
              <w:spacing w:after="40"/>
              <w:jc w:val="center"/>
            </w:pPr>
            <w:r/>
            <w:r>
              <w:rPr>
                <w:sz w:val="18"/>
              </w:rPr>
              <w:t>0.646</w:t>
            </w:r>
          </w:p>
        </w:tc>
        <w:tc>
          <w:tcPr>
            <w:tcW w:type="dxa" w:w="855"/>
          </w:tcPr>
          <w:p>
            <w:pPr>
              <w:spacing w:after="40"/>
              <w:jc w:val="center"/>
            </w:pPr>
            <w:r/>
            <w:r>
              <w:rPr>
                <w:sz w:val="18"/>
              </w:rPr>
              <w:t>0.640</w:t>
            </w:r>
          </w:p>
        </w:tc>
        <w:tc>
          <w:tcPr>
            <w:tcW w:type="dxa" w:w="855"/>
          </w:tcPr>
          <w:p>
            <w:pPr>
              <w:spacing w:after="40"/>
              <w:jc w:val="center"/>
            </w:pPr>
            <w:r/>
            <w:r>
              <w:rPr>
                <w:sz w:val="18"/>
              </w:rPr>
              <w:t>5.27</w:t>
            </w:r>
          </w:p>
        </w:tc>
        <w:tc>
          <w:tcPr>
            <w:tcW w:type="dxa" w:w="855"/>
          </w:tcPr>
          <w:p>
            <w:pPr>
              <w:spacing w:after="40"/>
              <w:jc w:val="center"/>
            </w:pPr>
            <w:r/>
            <w:r>
              <w:rPr>
                <w:b/>
                <w:sz w:val="18"/>
              </w:rPr>
              <w:t>5.83</w:t>
            </w:r>
          </w:p>
        </w:tc>
        <w:tc>
          <w:tcPr>
            <w:tcW w:type="dxa" w:w="855"/>
          </w:tcPr>
          <w:p>
            <w:pPr>
              <w:spacing w:after="40"/>
              <w:jc w:val="center"/>
            </w:pPr>
            <w:r/>
            <w:r>
              <w:rPr>
                <w:sz w:val="18"/>
              </w:rPr>
              <w:t>5.27</w:t>
            </w:r>
          </w:p>
        </w:tc>
        <w:tc>
          <w:tcPr>
            <w:tcW w:type="dxa" w:w="855"/>
          </w:tcPr>
          <w:p>
            <w:pPr>
              <w:spacing w:after="40"/>
              <w:jc w:val="center"/>
            </w:pPr>
            <w:r/>
            <w:r>
              <w:rPr>
                <w:sz w:val="18"/>
              </w:rPr>
              <w:t>5.83</w:t>
            </w:r>
          </w:p>
        </w:tc>
      </w:tr>
      <w:tr>
        <w:tc>
          <w:tcPr>
            <w:tcW w:type="dxa" w:w="855"/>
          </w:tcPr>
          <w:p>
            <w:pPr>
              <w:spacing w:after="40"/>
              <w:jc w:val="left"/>
            </w:pPr>
            <w:r/>
            <w:r>
              <w:rPr>
                <w:sz w:val="18"/>
              </w:rPr>
              <w:t>19</w:t>
            </w:r>
          </w:p>
        </w:tc>
        <w:tc>
          <w:tcPr>
            <w:tcW w:type="dxa" w:w="855"/>
          </w:tcPr>
          <w:p>
            <w:pPr>
              <w:spacing w:after="40"/>
              <w:jc w:val="center"/>
            </w:pPr>
            <w:r/>
            <w:r>
              <w:rPr>
                <w:sz w:val="18"/>
              </w:rPr>
              <w:t>Rad+IHC-A+Gen+TMB+PDL1</w:t>
            </w:r>
          </w:p>
        </w:tc>
        <w:tc>
          <w:tcPr>
            <w:tcW w:type="dxa" w:w="855"/>
          </w:tcPr>
          <w:p>
            <w:pPr>
              <w:spacing w:after="40"/>
              <w:jc w:val="center"/>
            </w:pPr>
            <w:r/>
            <w:r>
              <w:rPr>
                <w:sz w:val="18"/>
              </w:rPr>
              <w:t>7</w:t>
            </w:r>
          </w:p>
        </w:tc>
        <w:tc>
          <w:tcPr>
            <w:tcW w:type="dxa" w:w="855"/>
          </w:tcPr>
          <w:p>
            <w:pPr>
              <w:spacing w:after="40"/>
              <w:jc w:val="center"/>
            </w:pPr>
            <w:r/>
            <w:r>
              <w:rPr>
                <w:b/>
                <w:sz w:val="18"/>
              </w:rPr>
              <w:t>0.624</w:t>
            </w:r>
          </w:p>
        </w:tc>
        <w:tc>
          <w:tcPr>
            <w:tcW w:type="dxa" w:w="855"/>
          </w:tcPr>
          <w:p>
            <w:pPr>
              <w:spacing w:after="40"/>
              <w:jc w:val="center"/>
            </w:pPr>
            <w:r/>
            <w:r>
              <w:rPr>
                <w:sz w:val="18"/>
              </w:rPr>
              <w:t>0.620</w:t>
            </w:r>
          </w:p>
        </w:tc>
        <w:tc>
          <w:tcPr>
            <w:tcW w:type="dxa" w:w="855"/>
          </w:tcPr>
          <w:p>
            <w:pPr>
              <w:spacing w:after="40"/>
              <w:jc w:val="center"/>
            </w:pPr>
            <w:r/>
            <w:r>
              <w:rPr>
                <w:sz w:val="18"/>
              </w:rPr>
              <w:t>0.624</w:t>
            </w:r>
          </w:p>
        </w:tc>
        <w:tc>
          <w:tcPr>
            <w:tcW w:type="dxa" w:w="855"/>
          </w:tcPr>
          <w:p>
            <w:pPr>
              <w:spacing w:after="40"/>
              <w:jc w:val="center"/>
            </w:pPr>
            <w:r/>
            <w:r>
              <w:rPr>
                <w:sz w:val="18"/>
              </w:rPr>
              <w:t>0.620</w:t>
            </w:r>
          </w:p>
        </w:tc>
        <w:tc>
          <w:tcPr>
            <w:tcW w:type="dxa" w:w="855"/>
          </w:tcPr>
          <w:p>
            <w:pPr>
              <w:spacing w:after="40"/>
              <w:jc w:val="center"/>
            </w:pPr>
            <w:r/>
            <w:r>
              <w:rPr>
                <w:sz w:val="18"/>
              </w:rPr>
              <w:t>4.88</w:t>
            </w:r>
          </w:p>
        </w:tc>
        <w:tc>
          <w:tcPr>
            <w:tcW w:type="dxa" w:w="855"/>
          </w:tcPr>
          <w:p>
            <w:pPr>
              <w:spacing w:after="40"/>
              <w:jc w:val="center"/>
            </w:pPr>
            <w:r/>
            <w:r>
              <w:rPr>
                <w:b/>
                <w:sz w:val="18"/>
              </w:rPr>
              <w:t>7.04</w:t>
            </w:r>
          </w:p>
        </w:tc>
        <w:tc>
          <w:tcPr>
            <w:tcW w:type="dxa" w:w="855"/>
          </w:tcPr>
          <w:p>
            <w:pPr>
              <w:spacing w:after="40"/>
              <w:jc w:val="center"/>
            </w:pPr>
            <w:r/>
            <w:r>
              <w:rPr>
                <w:sz w:val="18"/>
              </w:rPr>
              <w:t>4.88</w:t>
            </w:r>
          </w:p>
        </w:tc>
        <w:tc>
          <w:tcPr>
            <w:tcW w:type="dxa" w:w="855"/>
          </w:tcPr>
          <w:p>
            <w:pPr>
              <w:spacing w:after="40"/>
              <w:jc w:val="center"/>
            </w:pPr>
            <w:r/>
            <w:r>
              <w:rPr>
                <w:sz w:val="18"/>
              </w:rPr>
              <w:t>7.04</w:t>
            </w:r>
          </w:p>
        </w:tc>
      </w:tr>
      <w:tr>
        <w:tc>
          <w:tcPr>
            <w:tcW w:type="dxa" w:w="855"/>
          </w:tcPr>
          <w:p>
            <w:pPr>
              <w:spacing w:after="40"/>
              <w:jc w:val="left"/>
            </w:pPr>
            <w:r/>
            <w:r>
              <w:rPr>
                <w:sz w:val="18"/>
              </w:rPr>
              <w:t>20</w:t>
            </w:r>
          </w:p>
        </w:tc>
        <w:tc>
          <w:tcPr>
            <w:tcW w:type="dxa" w:w="855"/>
          </w:tcPr>
          <w:p>
            <w:pPr>
              <w:spacing w:after="40"/>
              <w:jc w:val="center"/>
            </w:pPr>
            <w:r/>
            <w:r>
              <w:rPr>
                <w:sz w:val="18"/>
              </w:rPr>
              <w:t>Rad+IHC-A+Gen+PDL1+Labs</w:t>
            </w:r>
          </w:p>
        </w:tc>
        <w:tc>
          <w:tcPr>
            <w:tcW w:type="dxa" w:w="855"/>
          </w:tcPr>
          <w:p>
            <w:pPr>
              <w:spacing w:after="40"/>
              <w:jc w:val="center"/>
            </w:pPr>
            <w:r/>
            <w:r>
              <w:rPr>
                <w:sz w:val="18"/>
              </w:rPr>
              <w:t>7</w:t>
            </w:r>
          </w:p>
        </w:tc>
        <w:tc>
          <w:tcPr>
            <w:tcW w:type="dxa" w:w="855"/>
          </w:tcPr>
          <w:p>
            <w:pPr>
              <w:spacing w:after="40"/>
              <w:jc w:val="center"/>
            </w:pPr>
            <w:r/>
            <w:r>
              <w:rPr>
                <w:b/>
                <w:sz w:val="18"/>
              </w:rPr>
              <w:t>0.625</w:t>
            </w:r>
          </w:p>
        </w:tc>
        <w:tc>
          <w:tcPr>
            <w:tcW w:type="dxa" w:w="855"/>
          </w:tcPr>
          <w:p>
            <w:pPr>
              <w:spacing w:after="40"/>
              <w:jc w:val="center"/>
            </w:pPr>
            <w:r/>
            <w:r>
              <w:rPr>
                <w:sz w:val="18"/>
              </w:rPr>
              <w:t>0.619</w:t>
            </w:r>
          </w:p>
        </w:tc>
        <w:tc>
          <w:tcPr>
            <w:tcW w:type="dxa" w:w="855"/>
          </w:tcPr>
          <w:p>
            <w:pPr>
              <w:spacing w:after="40"/>
              <w:jc w:val="center"/>
            </w:pPr>
            <w:r/>
            <w:r>
              <w:rPr>
                <w:sz w:val="18"/>
              </w:rPr>
              <w:t>0.621</w:t>
            </w:r>
          </w:p>
        </w:tc>
        <w:tc>
          <w:tcPr>
            <w:tcW w:type="dxa" w:w="855"/>
          </w:tcPr>
          <w:p>
            <w:pPr>
              <w:spacing w:after="40"/>
              <w:jc w:val="center"/>
            </w:pPr>
            <w:r/>
            <w:r>
              <w:rPr>
                <w:sz w:val="18"/>
              </w:rPr>
              <w:t>0.621</w:t>
            </w:r>
          </w:p>
        </w:tc>
        <w:tc>
          <w:tcPr>
            <w:tcW w:type="dxa" w:w="855"/>
          </w:tcPr>
          <w:p>
            <w:pPr>
              <w:spacing w:after="40"/>
              <w:jc w:val="center"/>
            </w:pPr>
            <w:r/>
            <w:r>
              <w:rPr>
                <w:sz w:val="18"/>
              </w:rPr>
              <w:t>4.70</w:t>
            </w:r>
          </w:p>
        </w:tc>
        <w:tc>
          <w:tcPr>
            <w:tcW w:type="dxa" w:w="855"/>
          </w:tcPr>
          <w:p>
            <w:pPr>
              <w:spacing w:after="40"/>
              <w:jc w:val="center"/>
            </w:pPr>
            <w:r/>
            <w:r>
              <w:rPr>
                <w:sz w:val="18"/>
              </w:rPr>
              <w:t>5.44</w:t>
            </w:r>
          </w:p>
        </w:tc>
        <w:tc>
          <w:tcPr>
            <w:tcW w:type="dxa" w:w="855"/>
          </w:tcPr>
          <w:p>
            <w:pPr>
              <w:spacing w:after="40"/>
              <w:jc w:val="center"/>
            </w:pPr>
            <w:r/>
            <w:r>
              <w:rPr>
                <w:sz w:val="18"/>
              </w:rPr>
              <w:t>5.80</w:t>
            </w:r>
          </w:p>
        </w:tc>
        <w:tc>
          <w:tcPr>
            <w:tcW w:type="dxa" w:w="855"/>
          </w:tcPr>
          <w:p>
            <w:pPr>
              <w:spacing w:after="40"/>
              <w:jc w:val="center"/>
            </w:pPr>
            <w:r/>
            <w:r>
              <w:rPr>
                <w:b/>
                <w:sz w:val="18"/>
              </w:rPr>
              <w:t>6.60</w:t>
            </w:r>
          </w:p>
        </w:tc>
      </w:tr>
      <w:tr>
        <w:tc>
          <w:tcPr>
            <w:tcW w:type="dxa" w:w="855"/>
          </w:tcPr>
          <w:p>
            <w:pPr>
              <w:spacing w:after="40"/>
              <w:jc w:val="left"/>
            </w:pPr>
            <w:r/>
            <w:r>
              <w:rPr>
                <w:sz w:val="18"/>
              </w:rPr>
              <w:t>21</w:t>
            </w:r>
          </w:p>
        </w:tc>
        <w:tc>
          <w:tcPr>
            <w:tcW w:type="dxa" w:w="855"/>
          </w:tcPr>
          <w:p>
            <w:pPr>
              <w:spacing w:after="40"/>
              <w:jc w:val="center"/>
            </w:pPr>
            <w:r/>
            <w:r>
              <w:rPr>
                <w:sz w:val="18"/>
              </w:rPr>
              <w:t>Rad+IHC-G+Gen+PDL1+Labs (BM2)</w:t>
            </w:r>
          </w:p>
        </w:tc>
        <w:tc>
          <w:tcPr>
            <w:tcW w:type="dxa" w:w="855"/>
          </w:tcPr>
          <w:p>
            <w:pPr>
              <w:spacing w:after="40"/>
              <w:jc w:val="center"/>
            </w:pPr>
            <w:r/>
            <w:r>
              <w:rPr>
                <w:sz w:val="18"/>
              </w:rPr>
              <w:t>7</w:t>
            </w:r>
          </w:p>
        </w:tc>
        <w:tc>
          <w:tcPr>
            <w:tcW w:type="dxa" w:w="855"/>
          </w:tcPr>
          <w:p>
            <w:pPr>
              <w:spacing w:after="40"/>
              <w:jc w:val="center"/>
            </w:pPr>
            <w:r/>
            <w:r>
              <w:rPr>
                <w:b/>
                <w:sz w:val="18"/>
              </w:rPr>
              <w:t>0.640</w:t>
            </w:r>
          </w:p>
        </w:tc>
        <w:tc>
          <w:tcPr>
            <w:tcW w:type="dxa" w:w="855"/>
          </w:tcPr>
          <w:p>
            <w:pPr>
              <w:spacing w:after="40"/>
              <w:jc w:val="center"/>
            </w:pPr>
            <w:r/>
            <w:r>
              <w:rPr>
                <w:sz w:val="18"/>
              </w:rPr>
              <w:t>0.637</w:t>
            </w:r>
          </w:p>
        </w:tc>
        <w:tc>
          <w:tcPr>
            <w:tcW w:type="dxa" w:w="855"/>
          </w:tcPr>
          <w:p>
            <w:pPr>
              <w:spacing w:after="40"/>
              <w:jc w:val="center"/>
            </w:pPr>
            <w:r/>
            <w:r>
              <w:rPr>
                <w:sz w:val="18"/>
              </w:rPr>
              <w:t>0.630</w:t>
            </w:r>
          </w:p>
        </w:tc>
        <w:tc>
          <w:tcPr>
            <w:tcW w:type="dxa" w:w="855"/>
          </w:tcPr>
          <w:p>
            <w:pPr>
              <w:spacing w:after="40"/>
              <w:jc w:val="center"/>
            </w:pPr>
            <w:r/>
            <w:r>
              <w:rPr>
                <w:sz w:val="18"/>
              </w:rPr>
              <w:t>0.633</w:t>
            </w:r>
          </w:p>
        </w:tc>
        <w:tc>
          <w:tcPr>
            <w:tcW w:type="dxa" w:w="855"/>
          </w:tcPr>
          <w:p>
            <w:pPr>
              <w:spacing w:after="40"/>
              <w:jc w:val="center"/>
            </w:pPr>
            <w:r/>
            <w:r>
              <w:rPr>
                <w:sz w:val="18"/>
              </w:rPr>
              <w:t>4.63</w:t>
            </w:r>
          </w:p>
        </w:tc>
        <w:tc>
          <w:tcPr>
            <w:tcW w:type="dxa" w:w="855"/>
          </w:tcPr>
          <w:p>
            <w:pPr>
              <w:spacing w:after="40"/>
              <w:jc w:val="center"/>
            </w:pPr>
            <w:r/>
            <w:r>
              <w:rPr>
                <w:sz w:val="18"/>
              </w:rPr>
              <w:t>6.13</w:t>
            </w:r>
          </w:p>
        </w:tc>
        <w:tc>
          <w:tcPr>
            <w:tcW w:type="dxa" w:w="855"/>
          </w:tcPr>
          <w:p>
            <w:pPr>
              <w:spacing w:after="40"/>
              <w:jc w:val="center"/>
            </w:pPr>
            <w:r/>
            <w:r>
              <w:rPr>
                <w:sz w:val="18"/>
              </w:rPr>
              <w:t>5.17</w:t>
            </w:r>
          </w:p>
        </w:tc>
        <w:tc>
          <w:tcPr>
            <w:tcW w:type="dxa" w:w="855"/>
          </w:tcPr>
          <w:p>
            <w:pPr>
              <w:spacing w:after="40"/>
              <w:jc w:val="center"/>
            </w:pPr>
            <w:r/>
            <w:r>
              <w:rPr>
                <w:b/>
                <w:sz w:val="18"/>
              </w:rPr>
              <w:t>6.64</w:t>
            </w:r>
          </w:p>
        </w:tc>
      </w:tr>
    </w:tbl>
    <w:p>
      <w:pPr>
        <w:spacing w:after="80"/>
      </w:pPr>
    </w:p>
    <w:p>
      <w:pPr>
        <w:spacing w:before="200" w:after="80"/>
      </w:pPr>
      <w:r>
        <w:rPr>
          <w:b/>
          <w:sz w:val="19"/>
        </w:rPr>
        <w:t>Table 8.</w:t>
      </w:r>
      <w:r>
        <w:rPr>
          <w:sz w:val="19"/>
        </w:rPr>
        <w:t xml:space="preserve"> Kaplan–Meier log-rank statistic (patients dichotomised at the median risk score; χ² &gt; 3.84 corresponds to p &lt; 0.05) and cumulative/dynamic time-dependent AUC at 12 months (Uno estimator) across the 21 configurations. Single 10-fold partition (natural patient order, n = 247; 209 events, median PFS 2.7 months), the same models and partition as Table 6. As there, the NLP encoding replaces the numeric labs, so only configurations 20 and 21 differ between the models with and without NLP; the +NLP entries of the other configurations repeat the values without NLP (not in bold). For k = 1 OvO reduces to the cooperative formulation. Bold marks the highest value in each row and metric. Time-dependent AUC at 6 and 18 months is in the Supplementary Tables.</w:t>
      </w:r>
    </w:p>
    <w:tbl>
      <w:tblPr>
        <w:tblStyle w:val="TableGrid"/>
        <w:tblW w:type="auto" w:w="0"/>
        <w:jc w:val="center"/>
        <w:tblLayout w:type="autofit"/>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tcPr>
          <w:p>
            <w:pPr>
              <w:spacing w:after="40"/>
              <w:jc w:val="center"/>
            </w:pPr>
            <w:r/>
            <w:r>
              <w:rPr>
                <w:b/>
                <w:sz w:val="18"/>
              </w:rPr>
              <w:t>#</w:t>
            </w:r>
          </w:p>
        </w:tc>
        <w:tc>
          <w:tcPr>
            <w:tcW w:type="dxa" w:w="855"/>
          </w:tcPr>
          <w:p>
            <w:pPr>
              <w:spacing w:after="40"/>
              <w:jc w:val="center"/>
            </w:pPr>
            <w:r/>
            <w:r>
              <w:rPr>
                <w:b/>
                <w:sz w:val="18"/>
              </w:rPr>
              <w:t>Configuration</w:t>
            </w:r>
          </w:p>
        </w:tc>
        <w:tc>
          <w:tcPr>
            <w:tcW w:type="dxa" w:w="855"/>
          </w:tcPr>
          <w:p>
            <w:pPr>
              <w:spacing w:after="40"/>
              <w:jc w:val="center"/>
            </w:pPr>
            <w:r/>
            <w:r>
              <w:rPr>
                <w:b/>
                <w:sz w:val="18"/>
              </w:rPr>
              <w:t>k</w:t>
            </w:r>
          </w:p>
        </w:tc>
        <w:tc>
          <w:tcPr>
            <w:tcW w:type="dxa" w:w="855"/>
          </w:tcPr>
          <w:p>
            <w:pPr>
              <w:spacing w:after="40"/>
              <w:jc w:val="center"/>
            </w:pPr>
            <w:r/>
            <w:r>
              <w:rPr>
                <w:b/>
                <w:sz w:val="18"/>
              </w:rPr>
              <w:t>Log-rank χ² DyAM</w:t>
            </w:r>
          </w:p>
        </w:tc>
        <w:tc>
          <w:tcPr>
            <w:tcW w:type="dxa" w:w="855"/>
          </w:tcPr>
          <w:p>
            <w:pPr>
              <w:spacing w:after="40"/>
              <w:jc w:val="center"/>
            </w:pPr>
            <w:r/>
            <w:r>
              <w:rPr>
                <w:b/>
                <w:sz w:val="18"/>
              </w:rPr>
              <w:t>Log-rank χ² OvO</w:t>
            </w:r>
          </w:p>
        </w:tc>
        <w:tc>
          <w:tcPr>
            <w:tcW w:type="dxa" w:w="855"/>
          </w:tcPr>
          <w:p>
            <w:pPr>
              <w:spacing w:after="40"/>
              <w:jc w:val="center"/>
            </w:pPr>
            <w:r/>
            <w:r>
              <w:rPr>
                <w:b/>
                <w:sz w:val="18"/>
              </w:rPr>
              <w:t>Log-rank χ² DyAM+NLP</w:t>
            </w:r>
          </w:p>
        </w:tc>
        <w:tc>
          <w:tcPr>
            <w:tcW w:type="dxa" w:w="855"/>
          </w:tcPr>
          <w:p>
            <w:pPr>
              <w:spacing w:after="40"/>
              <w:jc w:val="center"/>
            </w:pPr>
            <w:r/>
            <w:r>
              <w:rPr>
                <w:b/>
                <w:sz w:val="18"/>
              </w:rPr>
              <w:t>Log-rank χ² OvO+NLP</w:t>
            </w:r>
          </w:p>
        </w:tc>
        <w:tc>
          <w:tcPr>
            <w:tcW w:type="dxa" w:w="855"/>
          </w:tcPr>
          <w:p>
            <w:pPr>
              <w:spacing w:after="40"/>
              <w:jc w:val="center"/>
            </w:pPr>
            <w:r/>
            <w:r>
              <w:rPr>
                <w:b/>
                <w:sz w:val="18"/>
              </w:rPr>
              <w:t>tdAUC 12 mo DyAM</w:t>
            </w:r>
          </w:p>
        </w:tc>
        <w:tc>
          <w:tcPr>
            <w:tcW w:type="dxa" w:w="855"/>
          </w:tcPr>
          <w:p>
            <w:pPr>
              <w:spacing w:after="40"/>
              <w:jc w:val="center"/>
            </w:pPr>
            <w:r/>
            <w:r>
              <w:rPr>
                <w:b/>
                <w:sz w:val="18"/>
              </w:rPr>
              <w:t>tdAUC 12 mo OvO</w:t>
            </w:r>
          </w:p>
        </w:tc>
        <w:tc>
          <w:tcPr>
            <w:tcW w:type="dxa" w:w="855"/>
          </w:tcPr>
          <w:p>
            <w:pPr>
              <w:spacing w:after="40"/>
              <w:jc w:val="center"/>
            </w:pPr>
            <w:r/>
            <w:r>
              <w:rPr>
                <w:b/>
                <w:sz w:val="18"/>
              </w:rPr>
              <w:t>tdAUC 12 mo DyAM+NLP</w:t>
            </w:r>
          </w:p>
        </w:tc>
        <w:tc>
          <w:tcPr>
            <w:tcW w:type="dxa" w:w="855"/>
          </w:tcPr>
          <w:p>
            <w:pPr>
              <w:spacing w:after="40"/>
              <w:jc w:val="center"/>
            </w:pPr>
            <w:r/>
            <w:r>
              <w:rPr>
                <w:b/>
                <w:sz w:val="18"/>
              </w:rPr>
              <w:t>tdAUC 12 mo OvO+NLP</w:t>
            </w:r>
          </w:p>
        </w:tc>
      </w:tr>
      <w:tr>
        <w:tc>
          <w:tcPr>
            <w:tcW w:type="dxa" w:w="855"/>
          </w:tcPr>
          <w:p>
            <w:pPr>
              <w:spacing w:after="40"/>
              <w:jc w:val="left"/>
            </w:pPr>
            <w:r/>
            <w:r>
              <w:rPr>
                <w:sz w:val="18"/>
              </w:rPr>
              <w:t>1</w:t>
            </w:r>
          </w:p>
        </w:tc>
        <w:tc>
          <w:tcPr>
            <w:tcW w:type="dxa" w:w="855"/>
          </w:tcPr>
          <w:p>
            <w:pPr>
              <w:spacing w:after="40"/>
              <w:jc w:val="center"/>
            </w:pPr>
            <w:r/>
            <w:r>
              <w:rPr>
                <w:sz w:val="18"/>
              </w:rPr>
              <w:t>TMB</w:t>
            </w:r>
          </w:p>
        </w:tc>
        <w:tc>
          <w:tcPr>
            <w:tcW w:type="dxa" w:w="855"/>
          </w:tcPr>
          <w:p>
            <w:pPr>
              <w:spacing w:after="40"/>
              <w:jc w:val="center"/>
            </w:pPr>
            <w:r/>
            <w:r>
              <w:rPr>
                <w:sz w:val="18"/>
              </w:rPr>
              <w:t>1</w:t>
            </w:r>
          </w:p>
        </w:tc>
        <w:tc>
          <w:tcPr>
            <w:tcW w:type="dxa" w:w="855"/>
          </w:tcPr>
          <w:p>
            <w:pPr>
              <w:spacing w:after="40"/>
              <w:jc w:val="center"/>
            </w:pPr>
            <w:r/>
            <w:r>
              <w:rPr>
                <w:b/>
                <w:sz w:val="18"/>
              </w:rPr>
              <w:t>8.5</w:t>
            </w:r>
          </w:p>
        </w:tc>
        <w:tc>
          <w:tcPr>
            <w:tcW w:type="dxa" w:w="855"/>
          </w:tcPr>
          <w:p>
            <w:pPr>
              <w:spacing w:after="40"/>
              <w:jc w:val="center"/>
            </w:pPr>
            <w:r/>
            <w:r>
              <w:rPr>
                <w:b/>
                <w:sz w:val="18"/>
              </w:rPr>
              <w:t>8.5</w:t>
            </w:r>
          </w:p>
        </w:tc>
        <w:tc>
          <w:tcPr>
            <w:tcW w:type="dxa" w:w="855"/>
          </w:tcPr>
          <w:p>
            <w:pPr>
              <w:spacing w:after="40"/>
              <w:jc w:val="center"/>
            </w:pPr>
            <w:r/>
            <w:r>
              <w:rPr>
                <w:sz w:val="18"/>
              </w:rPr>
              <w:t>8.5</w:t>
            </w:r>
          </w:p>
        </w:tc>
        <w:tc>
          <w:tcPr>
            <w:tcW w:type="dxa" w:w="855"/>
          </w:tcPr>
          <w:p>
            <w:pPr>
              <w:spacing w:after="40"/>
              <w:jc w:val="center"/>
            </w:pPr>
            <w:r/>
            <w:r>
              <w:rPr>
                <w:sz w:val="18"/>
              </w:rPr>
              <w:t>8.5</w:t>
            </w:r>
          </w:p>
        </w:tc>
        <w:tc>
          <w:tcPr>
            <w:tcW w:type="dxa" w:w="855"/>
          </w:tcPr>
          <w:p>
            <w:pPr>
              <w:spacing w:after="40"/>
              <w:jc w:val="center"/>
            </w:pPr>
            <w:r/>
            <w:r>
              <w:rPr>
                <w:b/>
                <w:sz w:val="18"/>
              </w:rPr>
              <w:t>0.596</w:t>
            </w:r>
          </w:p>
        </w:tc>
        <w:tc>
          <w:tcPr>
            <w:tcW w:type="dxa" w:w="855"/>
          </w:tcPr>
          <w:p>
            <w:pPr>
              <w:spacing w:after="40"/>
              <w:jc w:val="center"/>
            </w:pPr>
            <w:r/>
            <w:r>
              <w:rPr>
                <w:b/>
                <w:sz w:val="18"/>
              </w:rPr>
              <w:t>0.596</w:t>
            </w:r>
          </w:p>
        </w:tc>
        <w:tc>
          <w:tcPr>
            <w:tcW w:type="dxa" w:w="855"/>
          </w:tcPr>
          <w:p>
            <w:pPr>
              <w:spacing w:after="40"/>
              <w:jc w:val="center"/>
            </w:pPr>
            <w:r/>
            <w:r>
              <w:rPr>
                <w:sz w:val="18"/>
              </w:rPr>
              <w:t>0.596</w:t>
            </w:r>
          </w:p>
        </w:tc>
        <w:tc>
          <w:tcPr>
            <w:tcW w:type="dxa" w:w="855"/>
          </w:tcPr>
          <w:p>
            <w:pPr>
              <w:spacing w:after="40"/>
              <w:jc w:val="center"/>
            </w:pPr>
            <w:r/>
            <w:r>
              <w:rPr>
                <w:sz w:val="18"/>
              </w:rPr>
              <w:t>0.596</w:t>
            </w:r>
          </w:p>
        </w:tc>
      </w:tr>
      <w:tr>
        <w:tc>
          <w:tcPr>
            <w:tcW w:type="dxa" w:w="855"/>
          </w:tcPr>
          <w:p>
            <w:pPr>
              <w:spacing w:after="40"/>
              <w:jc w:val="left"/>
            </w:pPr>
            <w:r/>
            <w:r>
              <w:rPr>
                <w:sz w:val="18"/>
              </w:rPr>
              <w:t>2</w:t>
            </w:r>
          </w:p>
        </w:tc>
        <w:tc>
          <w:tcPr>
            <w:tcW w:type="dxa" w:w="855"/>
          </w:tcPr>
          <w:p>
            <w:pPr>
              <w:spacing w:after="40"/>
              <w:jc w:val="center"/>
            </w:pPr>
            <w:r/>
            <w:r>
              <w:rPr>
                <w:sz w:val="18"/>
              </w:rPr>
              <w:t>PDL1</w:t>
            </w:r>
          </w:p>
        </w:tc>
        <w:tc>
          <w:tcPr>
            <w:tcW w:type="dxa" w:w="855"/>
          </w:tcPr>
          <w:p>
            <w:pPr>
              <w:spacing w:after="40"/>
              <w:jc w:val="center"/>
            </w:pPr>
            <w:r/>
            <w:r>
              <w:rPr>
                <w:sz w:val="18"/>
              </w:rPr>
              <w:t>1</w:t>
            </w:r>
          </w:p>
        </w:tc>
        <w:tc>
          <w:tcPr>
            <w:tcW w:type="dxa" w:w="855"/>
          </w:tcPr>
          <w:p>
            <w:pPr>
              <w:spacing w:after="40"/>
              <w:jc w:val="center"/>
            </w:pPr>
            <w:r/>
            <w:r>
              <w:rPr>
                <w:b/>
                <w:sz w:val="18"/>
              </w:rPr>
              <w:t>16.8</w:t>
            </w:r>
          </w:p>
        </w:tc>
        <w:tc>
          <w:tcPr>
            <w:tcW w:type="dxa" w:w="855"/>
          </w:tcPr>
          <w:p>
            <w:pPr>
              <w:spacing w:after="40"/>
              <w:jc w:val="center"/>
            </w:pPr>
            <w:r/>
            <w:r>
              <w:rPr>
                <w:b/>
                <w:sz w:val="18"/>
              </w:rPr>
              <w:t>16.8</w:t>
            </w:r>
          </w:p>
        </w:tc>
        <w:tc>
          <w:tcPr>
            <w:tcW w:type="dxa" w:w="855"/>
          </w:tcPr>
          <w:p>
            <w:pPr>
              <w:spacing w:after="40"/>
              <w:jc w:val="center"/>
            </w:pPr>
            <w:r/>
            <w:r>
              <w:rPr>
                <w:sz w:val="18"/>
              </w:rPr>
              <w:t>16.8</w:t>
            </w:r>
          </w:p>
        </w:tc>
        <w:tc>
          <w:tcPr>
            <w:tcW w:type="dxa" w:w="855"/>
          </w:tcPr>
          <w:p>
            <w:pPr>
              <w:spacing w:after="40"/>
              <w:jc w:val="center"/>
            </w:pPr>
            <w:r/>
            <w:r>
              <w:rPr>
                <w:sz w:val="18"/>
              </w:rPr>
              <w:t>16.8</w:t>
            </w:r>
          </w:p>
        </w:tc>
        <w:tc>
          <w:tcPr>
            <w:tcW w:type="dxa" w:w="855"/>
          </w:tcPr>
          <w:p>
            <w:pPr>
              <w:spacing w:after="40"/>
              <w:jc w:val="center"/>
            </w:pPr>
            <w:r/>
            <w:r>
              <w:rPr>
                <w:b/>
                <w:sz w:val="18"/>
              </w:rPr>
              <w:t>0.662</w:t>
            </w:r>
          </w:p>
        </w:tc>
        <w:tc>
          <w:tcPr>
            <w:tcW w:type="dxa" w:w="855"/>
          </w:tcPr>
          <w:p>
            <w:pPr>
              <w:spacing w:after="40"/>
              <w:jc w:val="center"/>
            </w:pPr>
            <w:r/>
            <w:r>
              <w:rPr>
                <w:b/>
                <w:sz w:val="18"/>
              </w:rPr>
              <w:t>0.662</w:t>
            </w:r>
          </w:p>
        </w:tc>
        <w:tc>
          <w:tcPr>
            <w:tcW w:type="dxa" w:w="855"/>
          </w:tcPr>
          <w:p>
            <w:pPr>
              <w:spacing w:after="40"/>
              <w:jc w:val="center"/>
            </w:pPr>
            <w:r/>
            <w:r>
              <w:rPr>
                <w:sz w:val="18"/>
              </w:rPr>
              <w:t>0.662</w:t>
            </w:r>
          </w:p>
        </w:tc>
        <w:tc>
          <w:tcPr>
            <w:tcW w:type="dxa" w:w="855"/>
          </w:tcPr>
          <w:p>
            <w:pPr>
              <w:spacing w:after="40"/>
              <w:jc w:val="center"/>
            </w:pPr>
            <w:r/>
            <w:r>
              <w:rPr>
                <w:sz w:val="18"/>
              </w:rPr>
              <w:t>0.662</w:t>
            </w:r>
          </w:p>
        </w:tc>
      </w:tr>
      <w:tr>
        <w:tc>
          <w:tcPr>
            <w:tcW w:type="dxa" w:w="855"/>
          </w:tcPr>
          <w:p>
            <w:pPr>
              <w:spacing w:after="40"/>
              <w:jc w:val="left"/>
            </w:pPr>
            <w:r/>
            <w:r>
              <w:rPr>
                <w:sz w:val="18"/>
              </w:rPr>
              <w:t>3</w:t>
            </w:r>
          </w:p>
        </w:tc>
        <w:tc>
          <w:tcPr>
            <w:tcW w:type="dxa" w:w="855"/>
          </w:tcPr>
          <w:p>
            <w:pPr>
              <w:spacing w:after="40"/>
              <w:jc w:val="center"/>
            </w:pPr>
            <w:r/>
            <w:r>
              <w:rPr>
                <w:sz w:val="18"/>
              </w:rPr>
              <w:t>IHC-A</w:t>
            </w:r>
          </w:p>
        </w:tc>
        <w:tc>
          <w:tcPr>
            <w:tcW w:type="dxa" w:w="855"/>
          </w:tcPr>
          <w:p>
            <w:pPr>
              <w:spacing w:after="40"/>
              <w:jc w:val="center"/>
            </w:pPr>
            <w:r/>
            <w:r>
              <w:rPr>
                <w:sz w:val="18"/>
              </w:rPr>
              <w:t>1</w:t>
            </w:r>
          </w:p>
        </w:tc>
        <w:tc>
          <w:tcPr>
            <w:tcW w:type="dxa" w:w="855"/>
          </w:tcPr>
          <w:p>
            <w:pPr>
              <w:spacing w:after="40"/>
              <w:jc w:val="center"/>
            </w:pPr>
            <w:r/>
            <w:r>
              <w:rPr>
                <w:b/>
                <w:sz w:val="18"/>
              </w:rPr>
              <w:t>1.9</w:t>
            </w:r>
          </w:p>
        </w:tc>
        <w:tc>
          <w:tcPr>
            <w:tcW w:type="dxa" w:w="855"/>
          </w:tcPr>
          <w:p>
            <w:pPr>
              <w:spacing w:after="40"/>
              <w:jc w:val="center"/>
            </w:pPr>
            <w:r/>
            <w:r>
              <w:rPr>
                <w:b/>
                <w:sz w:val="18"/>
              </w:rPr>
              <w:t>1.9</w:t>
            </w:r>
          </w:p>
        </w:tc>
        <w:tc>
          <w:tcPr>
            <w:tcW w:type="dxa" w:w="855"/>
          </w:tcPr>
          <w:p>
            <w:pPr>
              <w:spacing w:after="40"/>
              <w:jc w:val="center"/>
            </w:pPr>
            <w:r/>
            <w:r>
              <w:rPr>
                <w:sz w:val="18"/>
              </w:rPr>
              <w:t>1.9</w:t>
            </w:r>
          </w:p>
        </w:tc>
        <w:tc>
          <w:tcPr>
            <w:tcW w:type="dxa" w:w="855"/>
          </w:tcPr>
          <w:p>
            <w:pPr>
              <w:spacing w:after="40"/>
              <w:jc w:val="center"/>
            </w:pPr>
            <w:r/>
            <w:r>
              <w:rPr>
                <w:sz w:val="18"/>
              </w:rPr>
              <w:t>1.9</w:t>
            </w:r>
          </w:p>
        </w:tc>
        <w:tc>
          <w:tcPr>
            <w:tcW w:type="dxa" w:w="855"/>
          </w:tcPr>
          <w:p>
            <w:pPr>
              <w:spacing w:after="40"/>
              <w:jc w:val="center"/>
            </w:pPr>
            <w:r/>
            <w:r>
              <w:rPr>
                <w:b/>
                <w:sz w:val="18"/>
              </w:rPr>
              <w:t>0.577</w:t>
            </w:r>
          </w:p>
        </w:tc>
        <w:tc>
          <w:tcPr>
            <w:tcW w:type="dxa" w:w="855"/>
          </w:tcPr>
          <w:p>
            <w:pPr>
              <w:spacing w:after="40"/>
              <w:jc w:val="center"/>
            </w:pPr>
            <w:r/>
            <w:r>
              <w:rPr>
                <w:b/>
                <w:sz w:val="18"/>
              </w:rPr>
              <w:t>0.577</w:t>
            </w:r>
          </w:p>
        </w:tc>
        <w:tc>
          <w:tcPr>
            <w:tcW w:type="dxa" w:w="855"/>
          </w:tcPr>
          <w:p>
            <w:pPr>
              <w:spacing w:after="40"/>
              <w:jc w:val="center"/>
            </w:pPr>
            <w:r/>
            <w:r>
              <w:rPr>
                <w:sz w:val="18"/>
              </w:rPr>
              <w:t>0.577</w:t>
            </w:r>
          </w:p>
        </w:tc>
        <w:tc>
          <w:tcPr>
            <w:tcW w:type="dxa" w:w="855"/>
          </w:tcPr>
          <w:p>
            <w:pPr>
              <w:spacing w:after="40"/>
              <w:jc w:val="center"/>
            </w:pPr>
            <w:r/>
            <w:r>
              <w:rPr>
                <w:sz w:val="18"/>
              </w:rPr>
              <w:t>0.577</w:t>
            </w:r>
          </w:p>
        </w:tc>
      </w:tr>
      <w:tr>
        <w:tc>
          <w:tcPr>
            <w:tcW w:type="dxa" w:w="855"/>
          </w:tcPr>
          <w:p>
            <w:pPr>
              <w:spacing w:after="40"/>
              <w:jc w:val="left"/>
            </w:pPr>
            <w:r/>
            <w:r>
              <w:rPr>
                <w:sz w:val="18"/>
              </w:rPr>
              <w:t>4</w:t>
            </w:r>
          </w:p>
        </w:tc>
        <w:tc>
          <w:tcPr>
            <w:tcW w:type="dxa" w:w="855"/>
          </w:tcPr>
          <w:p>
            <w:pPr>
              <w:spacing w:after="40"/>
              <w:jc w:val="center"/>
            </w:pPr>
            <w:r/>
            <w:r>
              <w:rPr>
                <w:sz w:val="18"/>
              </w:rPr>
              <w:t>Gen</w:t>
            </w:r>
          </w:p>
        </w:tc>
        <w:tc>
          <w:tcPr>
            <w:tcW w:type="dxa" w:w="855"/>
          </w:tcPr>
          <w:p>
            <w:pPr>
              <w:spacing w:after="40"/>
              <w:jc w:val="center"/>
            </w:pPr>
            <w:r/>
            <w:r>
              <w:rPr>
                <w:sz w:val="18"/>
              </w:rPr>
              <w:t>1</w:t>
            </w:r>
          </w:p>
        </w:tc>
        <w:tc>
          <w:tcPr>
            <w:tcW w:type="dxa" w:w="855"/>
          </w:tcPr>
          <w:p>
            <w:pPr>
              <w:spacing w:after="40"/>
              <w:jc w:val="center"/>
            </w:pPr>
            <w:r/>
            <w:r>
              <w:rPr>
                <w:b/>
                <w:sz w:val="18"/>
              </w:rPr>
              <w:t>6.1</w:t>
            </w:r>
          </w:p>
        </w:tc>
        <w:tc>
          <w:tcPr>
            <w:tcW w:type="dxa" w:w="855"/>
          </w:tcPr>
          <w:p>
            <w:pPr>
              <w:spacing w:after="40"/>
              <w:jc w:val="center"/>
            </w:pPr>
            <w:r/>
            <w:r>
              <w:rPr>
                <w:b/>
                <w:sz w:val="18"/>
              </w:rPr>
              <w:t>6.1</w:t>
            </w:r>
          </w:p>
        </w:tc>
        <w:tc>
          <w:tcPr>
            <w:tcW w:type="dxa" w:w="855"/>
          </w:tcPr>
          <w:p>
            <w:pPr>
              <w:spacing w:after="40"/>
              <w:jc w:val="center"/>
            </w:pPr>
            <w:r/>
            <w:r>
              <w:rPr>
                <w:sz w:val="18"/>
              </w:rPr>
              <w:t>6.1</w:t>
            </w:r>
          </w:p>
        </w:tc>
        <w:tc>
          <w:tcPr>
            <w:tcW w:type="dxa" w:w="855"/>
          </w:tcPr>
          <w:p>
            <w:pPr>
              <w:spacing w:after="40"/>
              <w:jc w:val="center"/>
            </w:pPr>
            <w:r/>
            <w:r>
              <w:rPr>
                <w:sz w:val="18"/>
              </w:rPr>
              <w:t>6.1</w:t>
            </w:r>
          </w:p>
        </w:tc>
        <w:tc>
          <w:tcPr>
            <w:tcW w:type="dxa" w:w="855"/>
          </w:tcPr>
          <w:p>
            <w:pPr>
              <w:spacing w:after="40"/>
              <w:jc w:val="center"/>
            </w:pPr>
            <w:r/>
            <w:r>
              <w:rPr>
                <w:b/>
                <w:sz w:val="18"/>
              </w:rPr>
              <w:t>0.661</w:t>
            </w:r>
          </w:p>
        </w:tc>
        <w:tc>
          <w:tcPr>
            <w:tcW w:type="dxa" w:w="855"/>
          </w:tcPr>
          <w:p>
            <w:pPr>
              <w:spacing w:after="40"/>
              <w:jc w:val="center"/>
            </w:pPr>
            <w:r/>
            <w:r>
              <w:rPr>
                <w:b/>
                <w:sz w:val="18"/>
              </w:rPr>
              <w:t>0.661</w:t>
            </w:r>
          </w:p>
        </w:tc>
        <w:tc>
          <w:tcPr>
            <w:tcW w:type="dxa" w:w="855"/>
          </w:tcPr>
          <w:p>
            <w:pPr>
              <w:spacing w:after="40"/>
              <w:jc w:val="center"/>
            </w:pPr>
            <w:r/>
            <w:r>
              <w:rPr>
                <w:sz w:val="18"/>
              </w:rPr>
              <w:t>0.661</w:t>
            </w:r>
          </w:p>
        </w:tc>
        <w:tc>
          <w:tcPr>
            <w:tcW w:type="dxa" w:w="855"/>
          </w:tcPr>
          <w:p>
            <w:pPr>
              <w:spacing w:after="40"/>
              <w:jc w:val="center"/>
            </w:pPr>
            <w:r/>
            <w:r>
              <w:rPr>
                <w:sz w:val="18"/>
              </w:rPr>
              <w:t>0.661</w:t>
            </w:r>
          </w:p>
        </w:tc>
      </w:tr>
      <w:tr>
        <w:tc>
          <w:tcPr>
            <w:tcW w:type="dxa" w:w="855"/>
          </w:tcPr>
          <w:p>
            <w:pPr>
              <w:spacing w:after="40"/>
              <w:jc w:val="left"/>
            </w:pPr>
            <w:r/>
            <w:r>
              <w:rPr>
                <w:sz w:val="18"/>
              </w:rPr>
              <w:t>5</w:t>
            </w:r>
          </w:p>
        </w:tc>
        <w:tc>
          <w:tcPr>
            <w:tcW w:type="dxa" w:w="855"/>
          </w:tcPr>
          <w:p>
            <w:pPr>
              <w:spacing w:after="40"/>
              <w:jc w:val="center"/>
            </w:pPr>
            <w:r/>
            <w:r>
              <w:rPr>
                <w:sz w:val="18"/>
              </w:rPr>
              <w:t>Rad</w:t>
            </w:r>
          </w:p>
        </w:tc>
        <w:tc>
          <w:tcPr>
            <w:tcW w:type="dxa" w:w="855"/>
          </w:tcPr>
          <w:p>
            <w:pPr>
              <w:spacing w:after="40"/>
              <w:jc w:val="center"/>
            </w:pPr>
            <w:r/>
            <w:r>
              <w:rPr>
                <w:sz w:val="18"/>
              </w:rPr>
              <w:t>3</w:t>
            </w:r>
          </w:p>
        </w:tc>
        <w:tc>
          <w:tcPr>
            <w:tcW w:type="dxa" w:w="855"/>
          </w:tcPr>
          <w:p>
            <w:pPr>
              <w:spacing w:after="40"/>
              <w:jc w:val="center"/>
            </w:pPr>
            <w:r/>
            <w:r>
              <w:rPr>
                <w:sz w:val="18"/>
              </w:rPr>
              <w:t>5.0</w:t>
            </w:r>
          </w:p>
        </w:tc>
        <w:tc>
          <w:tcPr>
            <w:tcW w:type="dxa" w:w="855"/>
          </w:tcPr>
          <w:p>
            <w:pPr>
              <w:spacing w:after="40"/>
              <w:jc w:val="center"/>
            </w:pPr>
            <w:r/>
            <w:r>
              <w:rPr>
                <w:b/>
                <w:sz w:val="18"/>
              </w:rPr>
              <w:t>7.3</w:t>
            </w:r>
          </w:p>
        </w:tc>
        <w:tc>
          <w:tcPr>
            <w:tcW w:type="dxa" w:w="855"/>
          </w:tcPr>
          <w:p>
            <w:pPr>
              <w:spacing w:after="40"/>
              <w:jc w:val="center"/>
            </w:pPr>
            <w:r/>
            <w:r>
              <w:rPr>
                <w:sz w:val="18"/>
              </w:rPr>
              <w:t>5.0</w:t>
            </w:r>
          </w:p>
        </w:tc>
        <w:tc>
          <w:tcPr>
            <w:tcW w:type="dxa" w:w="855"/>
          </w:tcPr>
          <w:p>
            <w:pPr>
              <w:spacing w:after="40"/>
              <w:jc w:val="center"/>
            </w:pPr>
            <w:r/>
            <w:r>
              <w:rPr>
                <w:sz w:val="18"/>
              </w:rPr>
              <w:t>7.3</w:t>
            </w:r>
          </w:p>
        </w:tc>
        <w:tc>
          <w:tcPr>
            <w:tcW w:type="dxa" w:w="855"/>
          </w:tcPr>
          <w:p>
            <w:pPr>
              <w:spacing w:after="40"/>
              <w:jc w:val="center"/>
            </w:pPr>
            <w:r/>
            <w:r>
              <w:rPr>
                <w:b/>
                <w:sz w:val="18"/>
              </w:rPr>
              <w:t>0.651</w:t>
            </w:r>
          </w:p>
        </w:tc>
        <w:tc>
          <w:tcPr>
            <w:tcW w:type="dxa" w:w="855"/>
          </w:tcPr>
          <w:p>
            <w:pPr>
              <w:spacing w:after="40"/>
              <w:jc w:val="center"/>
            </w:pPr>
            <w:r/>
            <w:r>
              <w:rPr>
                <w:sz w:val="18"/>
              </w:rPr>
              <w:t>0.646</w:t>
            </w:r>
          </w:p>
        </w:tc>
        <w:tc>
          <w:tcPr>
            <w:tcW w:type="dxa" w:w="855"/>
          </w:tcPr>
          <w:p>
            <w:pPr>
              <w:spacing w:after="40"/>
              <w:jc w:val="center"/>
            </w:pPr>
            <w:r/>
            <w:r>
              <w:rPr>
                <w:sz w:val="18"/>
              </w:rPr>
              <w:t>0.651</w:t>
            </w:r>
          </w:p>
        </w:tc>
        <w:tc>
          <w:tcPr>
            <w:tcW w:type="dxa" w:w="855"/>
          </w:tcPr>
          <w:p>
            <w:pPr>
              <w:spacing w:after="40"/>
              <w:jc w:val="center"/>
            </w:pPr>
            <w:r/>
            <w:r>
              <w:rPr>
                <w:sz w:val="18"/>
              </w:rPr>
              <w:t>0.646</w:t>
            </w:r>
          </w:p>
        </w:tc>
      </w:tr>
      <w:tr>
        <w:tc>
          <w:tcPr>
            <w:tcW w:type="dxa" w:w="855"/>
          </w:tcPr>
          <w:p>
            <w:pPr>
              <w:spacing w:after="40"/>
              <w:jc w:val="left"/>
            </w:pPr>
            <w:r/>
            <w:r>
              <w:rPr>
                <w:sz w:val="18"/>
              </w:rPr>
              <w:t>6</w:t>
            </w:r>
          </w:p>
        </w:tc>
        <w:tc>
          <w:tcPr>
            <w:tcW w:type="dxa" w:w="855"/>
          </w:tcPr>
          <w:p>
            <w:pPr>
              <w:spacing w:after="40"/>
              <w:jc w:val="center"/>
            </w:pPr>
            <w:r/>
            <w:r>
              <w:rPr>
                <w:sz w:val="18"/>
              </w:rPr>
              <w:t>Rad-LU</w:t>
            </w:r>
          </w:p>
        </w:tc>
        <w:tc>
          <w:tcPr>
            <w:tcW w:type="dxa" w:w="855"/>
          </w:tcPr>
          <w:p>
            <w:pPr>
              <w:spacing w:after="40"/>
              <w:jc w:val="center"/>
            </w:pPr>
            <w:r/>
            <w:r>
              <w:rPr>
                <w:sz w:val="18"/>
              </w:rPr>
              <w:t>4</w:t>
            </w:r>
          </w:p>
        </w:tc>
        <w:tc>
          <w:tcPr>
            <w:tcW w:type="dxa" w:w="855"/>
          </w:tcPr>
          <w:p>
            <w:pPr>
              <w:spacing w:after="40"/>
              <w:jc w:val="center"/>
            </w:pPr>
            <w:r/>
            <w:r>
              <w:rPr>
                <w:sz w:val="18"/>
              </w:rPr>
              <w:t>3.7</w:t>
            </w:r>
          </w:p>
        </w:tc>
        <w:tc>
          <w:tcPr>
            <w:tcW w:type="dxa" w:w="855"/>
          </w:tcPr>
          <w:p>
            <w:pPr>
              <w:spacing w:after="40"/>
              <w:jc w:val="center"/>
            </w:pPr>
            <w:r/>
            <w:r>
              <w:rPr>
                <w:b/>
                <w:sz w:val="18"/>
              </w:rPr>
              <w:t>7.6</w:t>
            </w:r>
          </w:p>
        </w:tc>
        <w:tc>
          <w:tcPr>
            <w:tcW w:type="dxa" w:w="855"/>
          </w:tcPr>
          <w:p>
            <w:pPr>
              <w:spacing w:after="40"/>
              <w:jc w:val="center"/>
            </w:pPr>
            <w:r/>
            <w:r>
              <w:rPr>
                <w:sz w:val="18"/>
              </w:rPr>
              <w:t>3.7</w:t>
            </w:r>
          </w:p>
        </w:tc>
        <w:tc>
          <w:tcPr>
            <w:tcW w:type="dxa" w:w="855"/>
          </w:tcPr>
          <w:p>
            <w:pPr>
              <w:spacing w:after="40"/>
              <w:jc w:val="center"/>
            </w:pPr>
            <w:r/>
            <w:r>
              <w:rPr>
                <w:sz w:val="18"/>
              </w:rPr>
              <w:t>7.6</w:t>
            </w:r>
          </w:p>
        </w:tc>
        <w:tc>
          <w:tcPr>
            <w:tcW w:type="dxa" w:w="855"/>
          </w:tcPr>
          <w:p>
            <w:pPr>
              <w:spacing w:after="40"/>
              <w:jc w:val="center"/>
            </w:pPr>
            <w:r/>
            <w:r>
              <w:rPr>
                <w:b/>
                <w:sz w:val="18"/>
              </w:rPr>
              <w:t>0.612</w:t>
            </w:r>
          </w:p>
        </w:tc>
        <w:tc>
          <w:tcPr>
            <w:tcW w:type="dxa" w:w="855"/>
          </w:tcPr>
          <w:p>
            <w:pPr>
              <w:spacing w:after="40"/>
              <w:jc w:val="center"/>
            </w:pPr>
            <w:r/>
            <w:r>
              <w:rPr>
                <w:sz w:val="18"/>
              </w:rPr>
              <w:t>0.603</w:t>
            </w:r>
          </w:p>
        </w:tc>
        <w:tc>
          <w:tcPr>
            <w:tcW w:type="dxa" w:w="855"/>
          </w:tcPr>
          <w:p>
            <w:pPr>
              <w:spacing w:after="40"/>
              <w:jc w:val="center"/>
            </w:pPr>
            <w:r/>
            <w:r>
              <w:rPr>
                <w:sz w:val="18"/>
              </w:rPr>
              <w:t>0.612</w:t>
            </w:r>
          </w:p>
        </w:tc>
        <w:tc>
          <w:tcPr>
            <w:tcW w:type="dxa" w:w="855"/>
          </w:tcPr>
          <w:p>
            <w:pPr>
              <w:spacing w:after="40"/>
              <w:jc w:val="center"/>
            </w:pPr>
            <w:r/>
            <w:r>
              <w:rPr>
                <w:sz w:val="18"/>
              </w:rPr>
              <w:t>0.603</w:t>
            </w:r>
          </w:p>
        </w:tc>
      </w:tr>
      <w:tr>
        <w:tc>
          <w:tcPr>
            <w:tcW w:type="dxa" w:w="855"/>
          </w:tcPr>
          <w:p>
            <w:pPr>
              <w:spacing w:after="40"/>
              <w:jc w:val="left"/>
            </w:pPr>
            <w:r/>
            <w:r>
              <w:rPr>
                <w:sz w:val="18"/>
              </w:rPr>
              <w:t>7</w:t>
            </w:r>
          </w:p>
        </w:tc>
        <w:tc>
          <w:tcPr>
            <w:tcW w:type="dxa" w:w="855"/>
          </w:tcPr>
          <w:p>
            <w:pPr>
              <w:spacing w:after="40"/>
              <w:jc w:val="center"/>
            </w:pPr>
            <w:r/>
            <w:r>
              <w:rPr>
                <w:sz w:val="18"/>
              </w:rPr>
              <w:t>TMB+PDL1</w:t>
            </w:r>
          </w:p>
        </w:tc>
        <w:tc>
          <w:tcPr>
            <w:tcW w:type="dxa" w:w="855"/>
          </w:tcPr>
          <w:p>
            <w:pPr>
              <w:spacing w:after="40"/>
              <w:jc w:val="center"/>
            </w:pPr>
            <w:r/>
            <w:r>
              <w:rPr>
                <w:sz w:val="18"/>
              </w:rPr>
              <w:t>2</w:t>
            </w:r>
          </w:p>
        </w:tc>
        <w:tc>
          <w:tcPr>
            <w:tcW w:type="dxa" w:w="855"/>
          </w:tcPr>
          <w:p>
            <w:pPr>
              <w:spacing w:after="40"/>
              <w:jc w:val="center"/>
            </w:pPr>
            <w:r/>
            <w:r>
              <w:rPr>
                <w:sz w:val="18"/>
              </w:rPr>
              <w:t>11.6</w:t>
            </w:r>
          </w:p>
        </w:tc>
        <w:tc>
          <w:tcPr>
            <w:tcW w:type="dxa" w:w="855"/>
          </w:tcPr>
          <w:p>
            <w:pPr>
              <w:spacing w:after="40"/>
              <w:jc w:val="center"/>
            </w:pPr>
            <w:r/>
            <w:r>
              <w:rPr>
                <w:b/>
                <w:sz w:val="18"/>
              </w:rPr>
              <w:t>20.8</w:t>
            </w:r>
          </w:p>
        </w:tc>
        <w:tc>
          <w:tcPr>
            <w:tcW w:type="dxa" w:w="855"/>
          </w:tcPr>
          <w:p>
            <w:pPr>
              <w:spacing w:after="40"/>
              <w:jc w:val="center"/>
            </w:pPr>
            <w:r/>
            <w:r>
              <w:rPr>
                <w:sz w:val="18"/>
              </w:rPr>
              <w:t>11.6</w:t>
            </w:r>
          </w:p>
        </w:tc>
        <w:tc>
          <w:tcPr>
            <w:tcW w:type="dxa" w:w="855"/>
          </w:tcPr>
          <w:p>
            <w:pPr>
              <w:spacing w:after="40"/>
              <w:jc w:val="center"/>
            </w:pPr>
            <w:r/>
            <w:r>
              <w:rPr>
                <w:sz w:val="18"/>
              </w:rPr>
              <w:t>20.8</w:t>
            </w:r>
          </w:p>
        </w:tc>
        <w:tc>
          <w:tcPr>
            <w:tcW w:type="dxa" w:w="855"/>
          </w:tcPr>
          <w:p>
            <w:pPr>
              <w:spacing w:after="40"/>
              <w:jc w:val="center"/>
            </w:pPr>
            <w:r/>
            <w:r>
              <w:rPr>
                <w:sz w:val="18"/>
              </w:rPr>
              <w:t>0.589</w:t>
            </w:r>
          </w:p>
        </w:tc>
        <w:tc>
          <w:tcPr>
            <w:tcW w:type="dxa" w:w="855"/>
          </w:tcPr>
          <w:p>
            <w:pPr>
              <w:spacing w:after="40"/>
              <w:jc w:val="center"/>
            </w:pPr>
            <w:r/>
            <w:r>
              <w:rPr>
                <w:b/>
                <w:sz w:val="18"/>
              </w:rPr>
              <w:t>0.617</w:t>
            </w:r>
          </w:p>
        </w:tc>
        <w:tc>
          <w:tcPr>
            <w:tcW w:type="dxa" w:w="855"/>
          </w:tcPr>
          <w:p>
            <w:pPr>
              <w:spacing w:after="40"/>
              <w:jc w:val="center"/>
            </w:pPr>
            <w:r/>
            <w:r>
              <w:rPr>
                <w:sz w:val="18"/>
              </w:rPr>
              <w:t>0.589</w:t>
            </w:r>
          </w:p>
        </w:tc>
        <w:tc>
          <w:tcPr>
            <w:tcW w:type="dxa" w:w="855"/>
          </w:tcPr>
          <w:p>
            <w:pPr>
              <w:spacing w:after="40"/>
              <w:jc w:val="center"/>
            </w:pPr>
            <w:r/>
            <w:r>
              <w:rPr>
                <w:sz w:val="18"/>
              </w:rPr>
              <w:t>0.617</w:t>
            </w:r>
          </w:p>
        </w:tc>
      </w:tr>
      <w:tr>
        <w:tc>
          <w:tcPr>
            <w:tcW w:type="dxa" w:w="855"/>
          </w:tcPr>
          <w:p>
            <w:pPr>
              <w:spacing w:after="40"/>
              <w:jc w:val="left"/>
            </w:pPr>
            <w:r/>
            <w:r>
              <w:rPr>
                <w:sz w:val="18"/>
              </w:rPr>
              <w:t>8</w:t>
            </w:r>
          </w:p>
        </w:tc>
        <w:tc>
          <w:tcPr>
            <w:tcW w:type="dxa" w:w="855"/>
          </w:tcPr>
          <w:p>
            <w:pPr>
              <w:spacing w:after="40"/>
              <w:jc w:val="center"/>
            </w:pPr>
            <w:r/>
            <w:r>
              <w:rPr>
                <w:sz w:val="18"/>
              </w:rPr>
              <w:t>PDL1+Gen (BM4)</w:t>
            </w:r>
          </w:p>
        </w:tc>
        <w:tc>
          <w:tcPr>
            <w:tcW w:type="dxa" w:w="855"/>
          </w:tcPr>
          <w:p>
            <w:pPr>
              <w:spacing w:after="40"/>
              <w:jc w:val="center"/>
            </w:pPr>
            <w:r/>
            <w:r>
              <w:rPr>
                <w:sz w:val="18"/>
              </w:rPr>
              <w:t>2</w:t>
            </w:r>
          </w:p>
        </w:tc>
        <w:tc>
          <w:tcPr>
            <w:tcW w:type="dxa" w:w="855"/>
          </w:tcPr>
          <w:p>
            <w:pPr>
              <w:spacing w:after="40"/>
              <w:jc w:val="center"/>
            </w:pPr>
            <w:r/>
            <w:r>
              <w:rPr>
                <w:sz w:val="18"/>
              </w:rPr>
              <w:t>18.8</w:t>
            </w:r>
          </w:p>
        </w:tc>
        <w:tc>
          <w:tcPr>
            <w:tcW w:type="dxa" w:w="855"/>
          </w:tcPr>
          <w:p>
            <w:pPr>
              <w:spacing w:after="40"/>
              <w:jc w:val="center"/>
            </w:pPr>
            <w:r/>
            <w:r>
              <w:rPr>
                <w:b/>
                <w:sz w:val="18"/>
              </w:rPr>
              <w:t>20.8</w:t>
            </w:r>
          </w:p>
        </w:tc>
        <w:tc>
          <w:tcPr>
            <w:tcW w:type="dxa" w:w="855"/>
          </w:tcPr>
          <w:p>
            <w:pPr>
              <w:spacing w:after="40"/>
              <w:jc w:val="center"/>
            </w:pPr>
            <w:r/>
            <w:r>
              <w:rPr>
                <w:sz w:val="18"/>
              </w:rPr>
              <w:t>18.8</w:t>
            </w:r>
          </w:p>
        </w:tc>
        <w:tc>
          <w:tcPr>
            <w:tcW w:type="dxa" w:w="855"/>
          </w:tcPr>
          <w:p>
            <w:pPr>
              <w:spacing w:after="40"/>
              <w:jc w:val="center"/>
            </w:pPr>
            <w:r/>
            <w:r>
              <w:rPr>
                <w:sz w:val="18"/>
              </w:rPr>
              <w:t>20.8</w:t>
            </w:r>
          </w:p>
        </w:tc>
        <w:tc>
          <w:tcPr>
            <w:tcW w:type="dxa" w:w="855"/>
          </w:tcPr>
          <w:p>
            <w:pPr>
              <w:spacing w:after="40"/>
              <w:jc w:val="center"/>
            </w:pPr>
            <w:r/>
            <w:r>
              <w:rPr>
                <w:sz w:val="18"/>
              </w:rPr>
              <w:t>0.630</w:t>
            </w:r>
          </w:p>
        </w:tc>
        <w:tc>
          <w:tcPr>
            <w:tcW w:type="dxa" w:w="855"/>
          </w:tcPr>
          <w:p>
            <w:pPr>
              <w:spacing w:after="40"/>
              <w:jc w:val="center"/>
            </w:pPr>
            <w:r/>
            <w:r>
              <w:rPr>
                <w:b/>
                <w:sz w:val="18"/>
              </w:rPr>
              <w:t>0.654</w:t>
            </w:r>
          </w:p>
        </w:tc>
        <w:tc>
          <w:tcPr>
            <w:tcW w:type="dxa" w:w="855"/>
          </w:tcPr>
          <w:p>
            <w:pPr>
              <w:spacing w:after="40"/>
              <w:jc w:val="center"/>
            </w:pPr>
            <w:r/>
            <w:r>
              <w:rPr>
                <w:sz w:val="18"/>
              </w:rPr>
              <w:t>0.630</w:t>
            </w:r>
          </w:p>
        </w:tc>
        <w:tc>
          <w:tcPr>
            <w:tcW w:type="dxa" w:w="855"/>
          </w:tcPr>
          <w:p>
            <w:pPr>
              <w:spacing w:after="40"/>
              <w:jc w:val="center"/>
            </w:pPr>
            <w:r/>
            <w:r>
              <w:rPr>
                <w:sz w:val="18"/>
              </w:rPr>
              <w:t>0.654</w:t>
            </w:r>
          </w:p>
        </w:tc>
      </w:tr>
      <w:tr>
        <w:tc>
          <w:tcPr>
            <w:tcW w:type="dxa" w:w="855"/>
          </w:tcPr>
          <w:p>
            <w:pPr>
              <w:spacing w:after="40"/>
              <w:jc w:val="left"/>
            </w:pPr>
            <w:r/>
            <w:r>
              <w:rPr>
                <w:sz w:val="18"/>
              </w:rPr>
              <w:t>9</w:t>
            </w:r>
          </w:p>
        </w:tc>
        <w:tc>
          <w:tcPr>
            <w:tcW w:type="dxa" w:w="855"/>
          </w:tcPr>
          <w:p>
            <w:pPr>
              <w:spacing w:after="40"/>
              <w:jc w:val="center"/>
            </w:pPr>
            <w:r/>
            <w:r>
              <w:rPr>
                <w:sz w:val="18"/>
              </w:rPr>
              <w:t>Rad+IHC-A</w:t>
            </w:r>
          </w:p>
        </w:tc>
        <w:tc>
          <w:tcPr>
            <w:tcW w:type="dxa" w:w="855"/>
          </w:tcPr>
          <w:p>
            <w:pPr>
              <w:spacing w:after="40"/>
              <w:jc w:val="center"/>
            </w:pPr>
            <w:r/>
            <w:r>
              <w:rPr>
                <w:sz w:val="18"/>
              </w:rPr>
              <w:t>4</w:t>
            </w:r>
          </w:p>
        </w:tc>
        <w:tc>
          <w:tcPr>
            <w:tcW w:type="dxa" w:w="855"/>
          </w:tcPr>
          <w:p>
            <w:pPr>
              <w:spacing w:after="40"/>
              <w:jc w:val="center"/>
            </w:pPr>
            <w:r/>
            <w:r>
              <w:rPr>
                <w:sz w:val="18"/>
              </w:rPr>
              <w:t>11.2</w:t>
            </w:r>
          </w:p>
        </w:tc>
        <w:tc>
          <w:tcPr>
            <w:tcW w:type="dxa" w:w="855"/>
          </w:tcPr>
          <w:p>
            <w:pPr>
              <w:spacing w:after="40"/>
              <w:jc w:val="center"/>
            </w:pPr>
            <w:r/>
            <w:r>
              <w:rPr>
                <w:b/>
                <w:sz w:val="18"/>
              </w:rPr>
              <w:t>13.8</w:t>
            </w:r>
          </w:p>
        </w:tc>
        <w:tc>
          <w:tcPr>
            <w:tcW w:type="dxa" w:w="855"/>
          </w:tcPr>
          <w:p>
            <w:pPr>
              <w:spacing w:after="40"/>
              <w:jc w:val="center"/>
            </w:pPr>
            <w:r/>
            <w:r>
              <w:rPr>
                <w:sz w:val="18"/>
              </w:rPr>
              <w:t>11.2</w:t>
            </w:r>
          </w:p>
        </w:tc>
        <w:tc>
          <w:tcPr>
            <w:tcW w:type="dxa" w:w="855"/>
          </w:tcPr>
          <w:p>
            <w:pPr>
              <w:spacing w:after="40"/>
              <w:jc w:val="center"/>
            </w:pPr>
            <w:r/>
            <w:r>
              <w:rPr>
                <w:sz w:val="18"/>
              </w:rPr>
              <w:t>13.8</w:t>
            </w:r>
          </w:p>
        </w:tc>
        <w:tc>
          <w:tcPr>
            <w:tcW w:type="dxa" w:w="855"/>
          </w:tcPr>
          <w:p>
            <w:pPr>
              <w:spacing w:after="40"/>
              <w:jc w:val="center"/>
            </w:pPr>
            <w:r/>
            <w:r>
              <w:rPr>
                <w:sz w:val="18"/>
              </w:rPr>
              <w:t>0.613</w:t>
            </w:r>
          </w:p>
        </w:tc>
        <w:tc>
          <w:tcPr>
            <w:tcW w:type="dxa" w:w="855"/>
          </w:tcPr>
          <w:p>
            <w:pPr>
              <w:spacing w:after="40"/>
              <w:jc w:val="center"/>
            </w:pPr>
            <w:r/>
            <w:r>
              <w:rPr>
                <w:b/>
                <w:sz w:val="18"/>
              </w:rPr>
              <w:t>0.642</w:t>
            </w:r>
          </w:p>
        </w:tc>
        <w:tc>
          <w:tcPr>
            <w:tcW w:type="dxa" w:w="855"/>
          </w:tcPr>
          <w:p>
            <w:pPr>
              <w:spacing w:after="40"/>
              <w:jc w:val="center"/>
            </w:pPr>
            <w:r/>
            <w:r>
              <w:rPr>
                <w:sz w:val="18"/>
              </w:rPr>
              <w:t>0.613</w:t>
            </w:r>
          </w:p>
        </w:tc>
        <w:tc>
          <w:tcPr>
            <w:tcW w:type="dxa" w:w="855"/>
          </w:tcPr>
          <w:p>
            <w:pPr>
              <w:spacing w:after="40"/>
              <w:jc w:val="center"/>
            </w:pPr>
            <w:r/>
            <w:r>
              <w:rPr>
                <w:sz w:val="18"/>
              </w:rPr>
              <w:t>0.642</w:t>
            </w:r>
          </w:p>
        </w:tc>
      </w:tr>
      <w:tr>
        <w:tc>
          <w:tcPr>
            <w:tcW w:type="dxa" w:w="855"/>
          </w:tcPr>
          <w:p>
            <w:pPr>
              <w:spacing w:after="40"/>
              <w:jc w:val="left"/>
            </w:pPr>
            <w:r/>
            <w:r>
              <w:rPr>
                <w:sz w:val="18"/>
              </w:rPr>
              <w:t>10</w:t>
            </w:r>
          </w:p>
        </w:tc>
        <w:tc>
          <w:tcPr>
            <w:tcW w:type="dxa" w:w="855"/>
          </w:tcPr>
          <w:p>
            <w:pPr>
              <w:spacing w:after="40"/>
              <w:jc w:val="center"/>
            </w:pPr>
            <w:r/>
            <w:r>
              <w:rPr>
                <w:sz w:val="18"/>
              </w:rPr>
              <w:t>Rad+IHC-G</w:t>
            </w:r>
          </w:p>
        </w:tc>
        <w:tc>
          <w:tcPr>
            <w:tcW w:type="dxa" w:w="855"/>
          </w:tcPr>
          <w:p>
            <w:pPr>
              <w:spacing w:after="40"/>
              <w:jc w:val="center"/>
            </w:pPr>
            <w:r/>
            <w:r>
              <w:rPr>
                <w:sz w:val="18"/>
              </w:rPr>
              <w:t>4</w:t>
            </w:r>
          </w:p>
        </w:tc>
        <w:tc>
          <w:tcPr>
            <w:tcW w:type="dxa" w:w="855"/>
          </w:tcPr>
          <w:p>
            <w:pPr>
              <w:spacing w:after="40"/>
              <w:jc w:val="center"/>
            </w:pPr>
            <w:r/>
            <w:r>
              <w:rPr>
                <w:b/>
                <w:sz w:val="18"/>
              </w:rPr>
              <w:t>13.9</w:t>
            </w:r>
          </w:p>
        </w:tc>
        <w:tc>
          <w:tcPr>
            <w:tcW w:type="dxa" w:w="855"/>
          </w:tcPr>
          <w:p>
            <w:pPr>
              <w:spacing w:after="40"/>
              <w:jc w:val="center"/>
            </w:pPr>
            <w:r/>
            <w:r>
              <w:rPr>
                <w:sz w:val="18"/>
              </w:rPr>
              <w:t>13.3</w:t>
            </w:r>
          </w:p>
        </w:tc>
        <w:tc>
          <w:tcPr>
            <w:tcW w:type="dxa" w:w="855"/>
          </w:tcPr>
          <w:p>
            <w:pPr>
              <w:spacing w:after="40"/>
              <w:jc w:val="center"/>
            </w:pPr>
            <w:r/>
            <w:r>
              <w:rPr>
                <w:sz w:val="18"/>
              </w:rPr>
              <w:t>13.9</w:t>
            </w:r>
          </w:p>
        </w:tc>
        <w:tc>
          <w:tcPr>
            <w:tcW w:type="dxa" w:w="855"/>
          </w:tcPr>
          <w:p>
            <w:pPr>
              <w:spacing w:after="40"/>
              <w:jc w:val="center"/>
            </w:pPr>
            <w:r/>
            <w:r>
              <w:rPr>
                <w:sz w:val="18"/>
              </w:rPr>
              <w:t>13.3</w:t>
            </w:r>
          </w:p>
        </w:tc>
        <w:tc>
          <w:tcPr>
            <w:tcW w:type="dxa" w:w="855"/>
          </w:tcPr>
          <w:p>
            <w:pPr>
              <w:spacing w:after="40"/>
              <w:jc w:val="center"/>
            </w:pPr>
            <w:r/>
            <w:r>
              <w:rPr>
                <w:b/>
                <w:sz w:val="18"/>
              </w:rPr>
              <w:t>0.636</w:t>
            </w:r>
          </w:p>
        </w:tc>
        <w:tc>
          <w:tcPr>
            <w:tcW w:type="dxa" w:w="855"/>
          </w:tcPr>
          <w:p>
            <w:pPr>
              <w:spacing w:after="40"/>
              <w:jc w:val="center"/>
            </w:pPr>
            <w:r/>
            <w:r>
              <w:rPr>
                <w:sz w:val="18"/>
              </w:rPr>
              <w:t>0.623</w:t>
            </w:r>
          </w:p>
        </w:tc>
        <w:tc>
          <w:tcPr>
            <w:tcW w:type="dxa" w:w="855"/>
          </w:tcPr>
          <w:p>
            <w:pPr>
              <w:spacing w:after="40"/>
              <w:jc w:val="center"/>
            </w:pPr>
            <w:r/>
            <w:r>
              <w:rPr>
                <w:sz w:val="18"/>
              </w:rPr>
              <w:t>0.636</w:t>
            </w:r>
          </w:p>
        </w:tc>
        <w:tc>
          <w:tcPr>
            <w:tcW w:type="dxa" w:w="855"/>
          </w:tcPr>
          <w:p>
            <w:pPr>
              <w:spacing w:after="40"/>
              <w:jc w:val="center"/>
            </w:pPr>
            <w:r/>
            <w:r>
              <w:rPr>
                <w:sz w:val="18"/>
              </w:rPr>
              <w:t>0.623</w:t>
            </w:r>
          </w:p>
        </w:tc>
      </w:tr>
      <w:tr>
        <w:tc>
          <w:tcPr>
            <w:tcW w:type="dxa" w:w="855"/>
          </w:tcPr>
          <w:p>
            <w:pPr>
              <w:spacing w:after="40"/>
              <w:jc w:val="left"/>
            </w:pPr>
            <w:r/>
            <w:r>
              <w:rPr>
                <w:sz w:val="18"/>
              </w:rPr>
              <w:t>11</w:t>
            </w:r>
          </w:p>
        </w:tc>
        <w:tc>
          <w:tcPr>
            <w:tcW w:type="dxa" w:w="855"/>
          </w:tcPr>
          <w:p>
            <w:pPr>
              <w:spacing w:after="40"/>
              <w:jc w:val="center"/>
            </w:pPr>
            <w:r/>
            <w:r>
              <w:rPr>
                <w:sz w:val="18"/>
              </w:rPr>
              <w:t>Rad+Gen (BM3)</w:t>
            </w:r>
          </w:p>
        </w:tc>
        <w:tc>
          <w:tcPr>
            <w:tcW w:type="dxa" w:w="855"/>
          </w:tcPr>
          <w:p>
            <w:pPr>
              <w:spacing w:after="40"/>
              <w:jc w:val="center"/>
            </w:pPr>
            <w:r/>
            <w:r>
              <w:rPr>
                <w:sz w:val="18"/>
              </w:rPr>
              <w:t>4</w:t>
            </w:r>
          </w:p>
        </w:tc>
        <w:tc>
          <w:tcPr>
            <w:tcW w:type="dxa" w:w="855"/>
          </w:tcPr>
          <w:p>
            <w:pPr>
              <w:spacing w:after="40"/>
              <w:jc w:val="center"/>
            </w:pPr>
            <w:r/>
            <w:r>
              <w:rPr>
                <w:b/>
                <w:sz w:val="18"/>
              </w:rPr>
              <w:t>20.5</w:t>
            </w:r>
          </w:p>
        </w:tc>
        <w:tc>
          <w:tcPr>
            <w:tcW w:type="dxa" w:w="855"/>
          </w:tcPr>
          <w:p>
            <w:pPr>
              <w:spacing w:after="40"/>
              <w:jc w:val="center"/>
            </w:pPr>
            <w:r/>
            <w:r>
              <w:rPr>
                <w:sz w:val="18"/>
              </w:rPr>
              <w:t>20.2</w:t>
            </w:r>
          </w:p>
        </w:tc>
        <w:tc>
          <w:tcPr>
            <w:tcW w:type="dxa" w:w="855"/>
          </w:tcPr>
          <w:p>
            <w:pPr>
              <w:spacing w:after="40"/>
              <w:jc w:val="center"/>
            </w:pPr>
            <w:r/>
            <w:r>
              <w:rPr>
                <w:sz w:val="18"/>
              </w:rPr>
              <w:t>20.5</w:t>
            </w:r>
          </w:p>
        </w:tc>
        <w:tc>
          <w:tcPr>
            <w:tcW w:type="dxa" w:w="855"/>
          </w:tcPr>
          <w:p>
            <w:pPr>
              <w:spacing w:after="40"/>
              <w:jc w:val="center"/>
            </w:pPr>
            <w:r/>
            <w:r>
              <w:rPr>
                <w:sz w:val="18"/>
              </w:rPr>
              <w:t>20.2</w:t>
            </w:r>
          </w:p>
        </w:tc>
        <w:tc>
          <w:tcPr>
            <w:tcW w:type="dxa" w:w="855"/>
          </w:tcPr>
          <w:p>
            <w:pPr>
              <w:spacing w:after="40"/>
              <w:jc w:val="center"/>
            </w:pPr>
            <w:r/>
            <w:r>
              <w:rPr>
                <w:sz w:val="18"/>
              </w:rPr>
              <w:t>0.715</w:t>
            </w:r>
          </w:p>
        </w:tc>
        <w:tc>
          <w:tcPr>
            <w:tcW w:type="dxa" w:w="855"/>
          </w:tcPr>
          <w:p>
            <w:pPr>
              <w:spacing w:after="40"/>
              <w:jc w:val="center"/>
            </w:pPr>
            <w:r/>
            <w:r>
              <w:rPr>
                <w:b/>
                <w:sz w:val="18"/>
              </w:rPr>
              <w:t>0.730</w:t>
            </w:r>
          </w:p>
        </w:tc>
        <w:tc>
          <w:tcPr>
            <w:tcW w:type="dxa" w:w="855"/>
          </w:tcPr>
          <w:p>
            <w:pPr>
              <w:spacing w:after="40"/>
              <w:jc w:val="center"/>
            </w:pPr>
            <w:r/>
            <w:r>
              <w:rPr>
                <w:sz w:val="18"/>
              </w:rPr>
              <w:t>0.715</w:t>
            </w:r>
          </w:p>
        </w:tc>
        <w:tc>
          <w:tcPr>
            <w:tcW w:type="dxa" w:w="855"/>
          </w:tcPr>
          <w:p>
            <w:pPr>
              <w:spacing w:after="40"/>
              <w:jc w:val="center"/>
            </w:pPr>
            <w:r/>
            <w:r>
              <w:rPr>
                <w:sz w:val="18"/>
              </w:rPr>
              <w:t>0.730</w:t>
            </w:r>
          </w:p>
        </w:tc>
      </w:tr>
      <w:tr>
        <w:tc>
          <w:tcPr>
            <w:tcW w:type="dxa" w:w="855"/>
          </w:tcPr>
          <w:p>
            <w:pPr>
              <w:spacing w:after="40"/>
              <w:jc w:val="left"/>
            </w:pPr>
            <w:r/>
            <w:r>
              <w:rPr>
                <w:sz w:val="18"/>
              </w:rPr>
              <w:t>12</w:t>
            </w:r>
          </w:p>
        </w:tc>
        <w:tc>
          <w:tcPr>
            <w:tcW w:type="dxa" w:w="855"/>
          </w:tcPr>
          <w:p>
            <w:pPr>
              <w:spacing w:after="40"/>
              <w:jc w:val="center"/>
            </w:pPr>
            <w:r/>
            <w:r>
              <w:rPr>
                <w:sz w:val="18"/>
              </w:rPr>
              <w:t>IHC-A+Gen</w:t>
            </w:r>
          </w:p>
        </w:tc>
        <w:tc>
          <w:tcPr>
            <w:tcW w:type="dxa" w:w="855"/>
          </w:tcPr>
          <w:p>
            <w:pPr>
              <w:spacing w:after="40"/>
              <w:jc w:val="center"/>
            </w:pPr>
            <w:r/>
            <w:r>
              <w:rPr>
                <w:sz w:val="18"/>
              </w:rPr>
              <w:t>2</w:t>
            </w:r>
          </w:p>
        </w:tc>
        <w:tc>
          <w:tcPr>
            <w:tcW w:type="dxa" w:w="855"/>
          </w:tcPr>
          <w:p>
            <w:pPr>
              <w:spacing w:after="40"/>
              <w:jc w:val="center"/>
            </w:pPr>
            <w:r/>
            <w:r>
              <w:rPr>
                <w:b/>
                <w:sz w:val="18"/>
              </w:rPr>
              <w:t>20.9</w:t>
            </w:r>
          </w:p>
        </w:tc>
        <w:tc>
          <w:tcPr>
            <w:tcW w:type="dxa" w:w="855"/>
          </w:tcPr>
          <w:p>
            <w:pPr>
              <w:spacing w:after="40"/>
              <w:jc w:val="center"/>
            </w:pPr>
            <w:r/>
            <w:r>
              <w:rPr>
                <w:sz w:val="18"/>
              </w:rPr>
              <w:t>16.5</w:t>
            </w:r>
          </w:p>
        </w:tc>
        <w:tc>
          <w:tcPr>
            <w:tcW w:type="dxa" w:w="855"/>
          </w:tcPr>
          <w:p>
            <w:pPr>
              <w:spacing w:after="40"/>
              <w:jc w:val="center"/>
            </w:pPr>
            <w:r/>
            <w:r>
              <w:rPr>
                <w:sz w:val="18"/>
              </w:rPr>
              <w:t>20.9</w:t>
            </w:r>
          </w:p>
        </w:tc>
        <w:tc>
          <w:tcPr>
            <w:tcW w:type="dxa" w:w="855"/>
          </w:tcPr>
          <w:p>
            <w:pPr>
              <w:spacing w:after="40"/>
              <w:jc w:val="center"/>
            </w:pPr>
            <w:r/>
            <w:r>
              <w:rPr>
                <w:sz w:val="18"/>
              </w:rPr>
              <w:t>16.5</w:t>
            </w:r>
          </w:p>
        </w:tc>
        <w:tc>
          <w:tcPr>
            <w:tcW w:type="dxa" w:w="855"/>
          </w:tcPr>
          <w:p>
            <w:pPr>
              <w:spacing w:after="40"/>
              <w:jc w:val="center"/>
            </w:pPr>
            <w:r/>
            <w:r>
              <w:rPr>
                <w:sz w:val="18"/>
              </w:rPr>
              <w:t>0.654</w:t>
            </w:r>
          </w:p>
        </w:tc>
        <w:tc>
          <w:tcPr>
            <w:tcW w:type="dxa" w:w="855"/>
          </w:tcPr>
          <w:p>
            <w:pPr>
              <w:spacing w:after="40"/>
              <w:jc w:val="center"/>
            </w:pPr>
            <w:r/>
            <w:r>
              <w:rPr>
                <w:b/>
                <w:sz w:val="18"/>
              </w:rPr>
              <w:t>0.658</w:t>
            </w:r>
          </w:p>
        </w:tc>
        <w:tc>
          <w:tcPr>
            <w:tcW w:type="dxa" w:w="855"/>
          </w:tcPr>
          <w:p>
            <w:pPr>
              <w:spacing w:after="40"/>
              <w:jc w:val="center"/>
            </w:pPr>
            <w:r/>
            <w:r>
              <w:rPr>
                <w:sz w:val="18"/>
              </w:rPr>
              <w:t>0.654</w:t>
            </w:r>
          </w:p>
        </w:tc>
        <w:tc>
          <w:tcPr>
            <w:tcW w:type="dxa" w:w="855"/>
          </w:tcPr>
          <w:p>
            <w:pPr>
              <w:spacing w:after="40"/>
              <w:jc w:val="center"/>
            </w:pPr>
            <w:r/>
            <w:r>
              <w:rPr>
                <w:sz w:val="18"/>
              </w:rPr>
              <w:t>0.658</w:t>
            </w:r>
          </w:p>
        </w:tc>
      </w:tr>
      <w:tr>
        <w:tc>
          <w:tcPr>
            <w:tcW w:type="dxa" w:w="855"/>
          </w:tcPr>
          <w:p>
            <w:pPr>
              <w:spacing w:after="40"/>
              <w:jc w:val="left"/>
            </w:pPr>
            <w:r/>
            <w:r>
              <w:rPr>
                <w:sz w:val="18"/>
              </w:rPr>
              <w:t>13</w:t>
            </w:r>
          </w:p>
        </w:tc>
        <w:tc>
          <w:tcPr>
            <w:tcW w:type="dxa" w:w="855"/>
          </w:tcPr>
          <w:p>
            <w:pPr>
              <w:spacing w:after="40"/>
              <w:jc w:val="center"/>
            </w:pPr>
            <w:r/>
            <w:r>
              <w:rPr>
                <w:sz w:val="18"/>
              </w:rPr>
              <w:t>IHC-G+Gen</w:t>
            </w:r>
          </w:p>
        </w:tc>
        <w:tc>
          <w:tcPr>
            <w:tcW w:type="dxa" w:w="855"/>
          </w:tcPr>
          <w:p>
            <w:pPr>
              <w:spacing w:after="40"/>
              <w:jc w:val="center"/>
            </w:pPr>
            <w:r/>
            <w:r>
              <w:rPr>
                <w:sz w:val="18"/>
              </w:rPr>
              <w:t>2</w:t>
            </w:r>
          </w:p>
        </w:tc>
        <w:tc>
          <w:tcPr>
            <w:tcW w:type="dxa" w:w="855"/>
          </w:tcPr>
          <w:p>
            <w:pPr>
              <w:spacing w:after="40"/>
              <w:jc w:val="center"/>
            </w:pPr>
            <w:r/>
            <w:r>
              <w:rPr>
                <w:b/>
                <w:sz w:val="18"/>
              </w:rPr>
              <w:t>18.7</w:t>
            </w:r>
          </w:p>
        </w:tc>
        <w:tc>
          <w:tcPr>
            <w:tcW w:type="dxa" w:w="855"/>
          </w:tcPr>
          <w:p>
            <w:pPr>
              <w:spacing w:after="40"/>
              <w:jc w:val="center"/>
            </w:pPr>
            <w:r/>
            <w:r>
              <w:rPr>
                <w:sz w:val="18"/>
              </w:rPr>
              <w:t>16.0</w:t>
            </w:r>
          </w:p>
        </w:tc>
        <w:tc>
          <w:tcPr>
            <w:tcW w:type="dxa" w:w="855"/>
          </w:tcPr>
          <w:p>
            <w:pPr>
              <w:spacing w:after="40"/>
              <w:jc w:val="center"/>
            </w:pPr>
            <w:r/>
            <w:r>
              <w:rPr>
                <w:sz w:val="18"/>
              </w:rPr>
              <w:t>18.7</w:t>
            </w:r>
          </w:p>
        </w:tc>
        <w:tc>
          <w:tcPr>
            <w:tcW w:type="dxa" w:w="855"/>
          </w:tcPr>
          <w:p>
            <w:pPr>
              <w:spacing w:after="40"/>
              <w:jc w:val="center"/>
            </w:pPr>
            <w:r/>
            <w:r>
              <w:rPr>
                <w:sz w:val="18"/>
              </w:rPr>
              <w:t>16.0</w:t>
            </w:r>
          </w:p>
        </w:tc>
        <w:tc>
          <w:tcPr>
            <w:tcW w:type="dxa" w:w="855"/>
          </w:tcPr>
          <w:p>
            <w:pPr>
              <w:spacing w:after="40"/>
              <w:jc w:val="center"/>
            </w:pPr>
            <w:r/>
            <w:r>
              <w:rPr>
                <w:b/>
                <w:sz w:val="18"/>
              </w:rPr>
              <w:t>0.644</w:t>
            </w:r>
          </w:p>
        </w:tc>
        <w:tc>
          <w:tcPr>
            <w:tcW w:type="dxa" w:w="855"/>
          </w:tcPr>
          <w:p>
            <w:pPr>
              <w:spacing w:after="40"/>
              <w:jc w:val="center"/>
            </w:pPr>
            <w:r/>
            <w:r>
              <w:rPr>
                <w:sz w:val="18"/>
              </w:rPr>
              <w:t>0.618</w:t>
            </w:r>
          </w:p>
        </w:tc>
        <w:tc>
          <w:tcPr>
            <w:tcW w:type="dxa" w:w="855"/>
          </w:tcPr>
          <w:p>
            <w:pPr>
              <w:spacing w:after="40"/>
              <w:jc w:val="center"/>
            </w:pPr>
            <w:r/>
            <w:r>
              <w:rPr>
                <w:sz w:val="18"/>
              </w:rPr>
              <w:t>0.644</w:t>
            </w:r>
          </w:p>
        </w:tc>
        <w:tc>
          <w:tcPr>
            <w:tcW w:type="dxa" w:w="855"/>
          </w:tcPr>
          <w:p>
            <w:pPr>
              <w:spacing w:after="40"/>
              <w:jc w:val="center"/>
            </w:pPr>
            <w:r/>
            <w:r>
              <w:rPr>
                <w:sz w:val="18"/>
              </w:rPr>
              <w:t>0.618</w:t>
            </w:r>
          </w:p>
        </w:tc>
      </w:tr>
      <w:tr>
        <w:tc>
          <w:tcPr>
            <w:tcW w:type="dxa" w:w="855"/>
          </w:tcPr>
          <w:p>
            <w:pPr>
              <w:spacing w:after="40"/>
              <w:jc w:val="left"/>
            </w:pPr>
            <w:r/>
            <w:r>
              <w:rPr>
                <w:sz w:val="18"/>
              </w:rPr>
              <w:t>14</w:t>
            </w:r>
          </w:p>
        </w:tc>
        <w:tc>
          <w:tcPr>
            <w:tcW w:type="dxa" w:w="855"/>
          </w:tcPr>
          <w:p>
            <w:pPr>
              <w:spacing w:after="40"/>
              <w:jc w:val="center"/>
            </w:pPr>
            <w:r/>
            <w:r>
              <w:rPr>
                <w:sz w:val="18"/>
              </w:rPr>
              <w:t>Rad+IHC-A+Gen</w:t>
            </w:r>
          </w:p>
        </w:tc>
        <w:tc>
          <w:tcPr>
            <w:tcW w:type="dxa" w:w="855"/>
          </w:tcPr>
          <w:p>
            <w:pPr>
              <w:spacing w:after="40"/>
              <w:jc w:val="center"/>
            </w:pPr>
            <w:r/>
            <w:r>
              <w:rPr>
                <w:sz w:val="18"/>
              </w:rPr>
              <w:t>5</w:t>
            </w:r>
          </w:p>
        </w:tc>
        <w:tc>
          <w:tcPr>
            <w:tcW w:type="dxa" w:w="855"/>
          </w:tcPr>
          <w:p>
            <w:pPr>
              <w:spacing w:after="40"/>
              <w:jc w:val="center"/>
            </w:pPr>
            <w:r/>
            <w:r>
              <w:rPr>
                <w:sz w:val="18"/>
              </w:rPr>
              <w:t>16.8</w:t>
            </w:r>
          </w:p>
        </w:tc>
        <w:tc>
          <w:tcPr>
            <w:tcW w:type="dxa" w:w="855"/>
          </w:tcPr>
          <w:p>
            <w:pPr>
              <w:spacing w:after="40"/>
              <w:jc w:val="center"/>
            </w:pPr>
            <w:r/>
            <w:r>
              <w:rPr>
                <w:b/>
                <w:sz w:val="18"/>
              </w:rPr>
              <w:t>17.3</w:t>
            </w:r>
          </w:p>
        </w:tc>
        <w:tc>
          <w:tcPr>
            <w:tcW w:type="dxa" w:w="855"/>
          </w:tcPr>
          <w:p>
            <w:pPr>
              <w:spacing w:after="40"/>
              <w:jc w:val="center"/>
            </w:pPr>
            <w:r/>
            <w:r>
              <w:rPr>
                <w:sz w:val="18"/>
              </w:rPr>
              <w:t>16.8</w:t>
            </w:r>
          </w:p>
        </w:tc>
        <w:tc>
          <w:tcPr>
            <w:tcW w:type="dxa" w:w="855"/>
          </w:tcPr>
          <w:p>
            <w:pPr>
              <w:spacing w:after="40"/>
              <w:jc w:val="center"/>
            </w:pPr>
            <w:r/>
            <w:r>
              <w:rPr>
                <w:sz w:val="18"/>
              </w:rPr>
              <w:t>17.3</w:t>
            </w:r>
          </w:p>
        </w:tc>
        <w:tc>
          <w:tcPr>
            <w:tcW w:type="dxa" w:w="855"/>
          </w:tcPr>
          <w:p>
            <w:pPr>
              <w:spacing w:after="40"/>
              <w:jc w:val="center"/>
            </w:pPr>
            <w:r/>
            <w:r>
              <w:rPr>
                <w:sz w:val="18"/>
              </w:rPr>
              <w:t>0.695</w:t>
            </w:r>
          </w:p>
        </w:tc>
        <w:tc>
          <w:tcPr>
            <w:tcW w:type="dxa" w:w="855"/>
          </w:tcPr>
          <w:p>
            <w:pPr>
              <w:spacing w:after="40"/>
              <w:jc w:val="center"/>
            </w:pPr>
            <w:r/>
            <w:r>
              <w:rPr>
                <w:b/>
                <w:sz w:val="18"/>
              </w:rPr>
              <w:t>0.718</w:t>
            </w:r>
          </w:p>
        </w:tc>
        <w:tc>
          <w:tcPr>
            <w:tcW w:type="dxa" w:w="855"/>
          </w:tcPr>
          <w:p>
            <w:pPr>
              <w:spacing w:after="40"/>
              <w:jc w:val="center"/>
            </w:pPr>
            <w:r/>
            <w:r>
              <w:rPr>
                <w:sz w:val="18"/>
              </w:rPr>
              <w:t>0.695</w:t>
            </w:r>
          </w:p>
        </w:tc>
        <w:tc>
          <w:tcPr>
            <w:tcW w:type="dxa" w:w="855"/>
          </w:tcPr>
          <w:p>
            <w:pPr>
              <w:spacing w:after="40"/>
              <w:jc w:val="center"/>
            </w:pPr>
            <w:r/>
            <w:r>
              <w:rPr>
                <w:sz w:val="18"/>
              </w:rPr>
              <w:t>0.718</w:t>
            </w:r>
          </w:p>
        </w:tc>
      </w:tr>
      <w:tr>
        <w:tc>
          <w:tcPr>
            <w:tcW w:type="dxa" w:w="855"/>
          </w:tcPr>
          <w:p>
            <w:pPr>
              <w:spacing w:after="40"/>
              <w:jc w:val="left"/>
            </w:pPr>
            <w:r/>
            <w:r>
              <w:rPr>
                <w:sz w:val="18"/>
              </w:rPr>
              <w:t>15</w:t>
            </w:r>
          </w:p>
        </w:tc>
        <w:tc>
          <w:tcPr>
            <w:tcW w:type="dxa" w:w="855"/>
          </w:tcPr>
          <w:p>
            <w:pPr>
              <w:spacing w:after="40"/>
              <w:jc w:val="center"/>
            </w:pPr>
            <w:r/>
            <w:r>
              <w:rPr>
                <w:sz w:val="18"/>
              </w:rPr>
              <w:t>Rad+IHC-G+Gen</w:t>
            </w:r>
          </w:p>
        </w:tc>
        <w:tc>
          <w:tcPr>
            <w:tcW w:type="dxa" w:w="855"/>
          </w:tcPr>
          <w:p>
            <w:pPr>
              <w:spacing w:after="40"/>
              <w:jc w:val="center"/>
            </w:pPr>
            <w:r/>
            <w:r>
              <w:rPr>
                <w:sz w:val="18"/>
              </w:rPr>
              <w:t>5</w:t>
            </w:r>
          </w:p>
        </w:tc>
        <w:tc>
          <w:tcPr>
            <w:tcW w:type="dxa" w:w="855"/>
          </w:tcPr>
          <w:p>
            <w:pPr>
              <w:spacing w:after="40"/>
              <w:jc w:val="center"/>
            </w:pPr>
            <w:r/>
            <w:r>
              <w:rPr>
                <w:b/>
                <w:sz w:val="18"/>
              </w:rPr>
              <w:t>15.6</w:t>
            </w:r>
          </w:p>
        </w:tc>
        <w:tc>
          <w:tcPr>
            <w:tcW w:type="dxa" w:w="855"/>
          </w:tcPr>
          <w:p>
            <w:pPr>
              <w:spacing w:after="40"/>
              <w:jc w:val="center"/>
            </w:pPr>
            <w:r/>
            <w:r>
              <w:rPr>
                <w:sz w:val="18"/>
              </w:rPr>
              <w:t>13.5</w:t>
            </w:r>
          </w:p>
        </w:tc>
        <w:tc>
          <w:tcPr>
            <w:tcW w:type="dxa" w:w="855"/>
          </w:tcPr>
          <w:p>
            <w:pPr>
              <w:spacing w:after="40"/>
              <w:jc w:val="center"/>
            </w:pPr>
            <w:r/>
            <w:r>
              <w:rPr>
                <w:sz w:val="18"/>
              </w:rPr>
              <w:t>15.6</w:t>
            </w:r>
          </w:p>
        </w:tc>
        <w:tc>
          <w:tcPr>
            <w:tcW w:type="dxa" w:w="855"/>
          </w:tcPr>
          <w:p>
            <w:pPr>
              <w:spacing w:after="40"/>
              <w:jc w:val="center"/>
            </w:pPr>
            <w:r/>
            <w:r>
              <w:rPr>
                <w:sz w:val="18"/>
              </w:rPr>
              <w:t>13.5</w:t>
            </w:r>
          </w:p>
        </w:tc>
        <w:tc>
          <w:tcPr>
            <w:tcW w:type="dxa" w:w="855"/>
          </w:tcPr>
          <w:p>
            <w:pPr>
              <w:spacing w:after="40"/>
              <w:jc w:val="center"/>
            </w:pPr>
            <w:r/>
            <w:r>
              <w:rPr>
                <w:sz w:val="18"/>
              </w:rPr>
              <w:t>0.698</w:t>
            </w:r>
          </w:p>
        </w:tc>
        <w:tc>
          <w:tcPr>
            <w:tcW w:type="dxa" w:w="855"/>
          </w:tcPr>
          <w:p>
            <w:pPr>
              <w:spacing w:after="40"/>
              <w:jc w:val="center"/>
            </w:pPr>
            <w:r/>
            <w:r>
              <w:rPr>
                <w:b/>
                <w:sz w:val="18"/>
              </w:rPr>
              <w:t>0.705</w:t>
            </w:r>
          </w:p>
        </w:tc>
        <w:tc>
          <w:tcPr>
            <w:tcW w:type="dxa" w:w="855"/>
          </w:tcPr>
          <w:p>
            <w:pPr>
              <w:spacing w:after="40"/>
              <w:jc w:val="center"/>
            </w:pPr>
            <w:r/>
            <w:r>
              <w:rPr>
                <w:sz w:val="18"/>
              </w:rPr>
              <w:t>0.698</w:t>
            </w:r>
          </w:p>
        </w:tc>
        <w:tc>
          <w:tcPr>
            <w:tcW w:type="dxa" w:w="855"/>
          </w:tcPr>
          <w:p>
            <w:pPr>
              <w:spacing w:after="40"/>
              <w:jc w:val="center"/>
            </w:pPr>
            <w:r/>
            <w:r>
              <w:rPr>
                <w:sz w:val="18"/>
              </w:rPr>
              <w:t>0.705</w:t>
            </w:r>
          </w:p>
        </w:tc>
      </w:tr>
      <w:tr>
        <w:tc>
          <w:tcPr>
            <w:tcW w:type="dxa" w:w="855"/>
          </w:tcPr>
          <w:p>
            <w:pPr>
              <w:spacing w:after="40"/>
              <w:jc w:val="left"/>
            </w:pPr>
            <w:r/>
            <w:r>
              <w:rPr>
                <w:sz w:val="18"/>
              </w:rPr>
              <w:t>16</w:t>
            </w:r>
          </w:p>
        </w:tc>
        <w:tc>
          <w:tcPr>
            <w:tcW w:type="dxa" w:w="855"/>
          </w:tcPr>
          <w:p>
            <w:pPr>
              <w:spacing w:after="40"/>
              <w:jc w:val="center"/>
            </w:pPr>
            <w:r/>
            <w:r>
              <w:rPr>
                <w:sz w:val="18"/>
              </w:rPr>
              <w:t>Rad+IHC-A+MutAmp</w:t>
            </w:r>
          </w:p>
        </w:tc>
        <w:tc>
          <w:tcPr>
            <w:tcW w:type="dxa" w:w="855"/>
          </w:tcPr>
          <w:p>
            <w:pPr>
              <w:spacing w:after="40"/>
              <w:jc w:val="center"/>
            </w:pPr>
            <w:r/>
            <w:r>
              <w:rPr>
                <w:sz w:val="18"/>
              </w:rPr>
              <w:t>6</w:t>
            </w:r>
          </w:p>
        </w:tc>
        <w:tc>
          <w:tcPr>
            <w:tcW w:type="dxa" w:w="855"/>
          </w:tcPr>
          <w:p>
            <w:pPr>
              <w:spacing w:after="40"/>
              <w:jc w:val="center"/>
            </w:pPr>
            <w:r/>
            <w:r>
              <w:rPr>
                <w:b/>
                <w:sz w:val="18"/>
              </w:rPr>
              <w:t>20.5</w:t>
            </w:r>
          </w:p>
        </w:tc>
        <w:tc>
          <w:tcPr>
            <w:tcW w:type="dxa" w:w="855"/>
          </w:tcPr>
          <w:p>
            <w:pPr>
              <w:spacing w:after="40"/>
              <w:jc w:val="center"/>
            </w:pPr>
            <w:r/>
            <w:r>
              <w:rPr>
                <w:sz w:val="18"/>
              </w:rPr>
              <w:t>12.9</w:t>
            </w:r>
          </w:p>
        </w:tc>
        <w:tc>
          <w:tcPr>
            <w:tcW w:type="dxa" w:w="855"/>
          </w:tcPr>
          <w:p>
            <w:pPr>
              <w:spacing w:after="40"/>
              <w:jc w:val="center"/>
            </w:pPr>
            <w:r/>
            <w:r>
              <w:rPr>
                <w:sz w:val="18"/>
              </w:rPr>
              <w:t>20.5</w:t>
            </w:r>
          </w:p>
        </w:tc>
        <w:tc>
          <w:tcPr>
            <w:tcW w:type="dxa" w:w="855"/>
          </w:tcPr>
          <w:p>
            <w:pPr>
              <w:spacing w:after="40"/>
              <w:jc w:val="center"/>
            </w:pPr>
            <w:r/>
            <w:r>
              <w:rPr>
                <w:sz w:val="18"/>
              </w:rPr>
              <w:t>12.9</w:t>
            </w:r>
          </w:p>
        </w:tc>
        <w:tc>
          <w:tcPr>
            <w:tcW w:type="dxa" w:w="855"/>
          </w:tcPr>
          <w:p>
            <w:pPr>
              <w:spacing w:after="40"/>
              <w:jc w:val="center"/>
            </w:pPr>
            <w:r/>
            <w:r>
              <w:rPr>
                <w:b/>
                <w:sz w:val="18"/>
              </w:rPr>
              <w:t>0.710</w:t>
            </w:r>
          </w:p>
        </w:tc>
        <w:tc>
          <w:tcPr>
            <w:tcW w:type="dxa" w:w="855"/>
          </w:tcPr>
          <w:p>
            <w:pPr>
              <w:spacing w:after="40"/>
              <w:jc w:val="center"/>
            </w:pPr>
            <w:r/>
            <w:r>
              <w:rPr>
                <w:sz w:val="18"/>
              </w:rPr>
              <w:t>0.694</w:t>
            </w:r>
          </w:p>
        </w:tc>
        <w:tc>
          <w:tcPr>
            <w:tcW w:type="dxa" w:w="855"/>
          </w:tcPr>
          <w:p>
            <w:pPr>
              <w:spacing w:after="40"/>
              <w:jc w:val="center"/>
            </w:pPr>
            <w:r/>
            <w:r>
              <w:rPr>
                <w:sz w:val="18"/>
              </w:rPr>
              <w:t>0.710</w:t>
            </w:r>
          </w:p>
        </w:tc>
        <w:tc>
          <w:tcPr>
            <w:tcW w:type="dxa" w:w="855"/>
          </w:tcPr>
          <w:p>
            <w:pPr>
              <w:spacing w:after="40"/>
              <w:jc w:val="center"/>
            </w:pPr>
            <w:r/>
            <w:r>
              <w:rPr>
                <w:sz w:val="18"/>
              </w:rPr>
              <w:t>0.694</w:t>
            </w:r>
          </w:p>
        </w:tc>
      </w:tr>
      <w:tr>
        <w:tc>
          <w:tcPr>
            <w:tcW w:type="dxa" w:w="855"/>
          </w:tcPr>
          <w:p>
            <w:pPr>
              <w:spacing w:after="40"/>
              <w:jc w:val="left"/>
            </w:pPr>
            <w:r/>
            <w:r>
              <w:rPr>
                <w:sz w:val="18"/>
              </w:rPr>
              <w:t>17</w:t>
            </w:r>
          </w:p>
        </w:tc>
        <w:tc>
          <w:tcPr>
            <w:tcW w:type="dxa" w:w="855"/>
          </w:tcPr>
          <w:p>
            <w:pPr>
              <w:spacing w:after="40"/>
              <w:jc w:val="center"/>
            </w:pPr>
            <w:r/>
            <w:r>
              <w:rPr>
                <w:sz w:val="18"/>
              </w:rPr>
              <w:t>Rad+IHC-A+Gen+PDL1</w:t>
            </w:r>
          </w:p>
        </w:tc>
        <w:tc>
          <w:tcPr>
            <w:tcW w:type="dxa" w:w="855"/>
          </w:tcPr>
          <w:p>
            <w:pPr>
              <w:spacing w:after="40"/>
              <w:jc w:val="center"/>
            </w:pPr>
            <w:r/>
            <w:r>
              <w:rPr>
                <w:sz w:val="18"/>
              </w:rPr>
              <w:t>6</w:t>
            </w:r>
          </w:p>
        </w:tc>
        <w:tc>
          <w:tcPr>
            <w:tcW w:type="dxa" w:w="855"/>
          </w:tcPr>
          <w:p>
            <w:pPr>
              <w:spacing w:after="40"/>
              <w:jc w:val="center"/>
            </w:pPr>
            <w:r/>
            <w:r>
              <w:rPr>
                <w:b/>
                <w:sz w:val="18"/>
              </w:rPr>
              <w:t>33.0</w:t>
            </w:r>
          </w:p>
        </w:tc>
        <w:tc>
          <w:tcPr>
            <w:tcW w:type="dxa" w:w="855"/>
          </w:tcPr>
          <w:p>
            <w:pPr>
              <w:spacing w:after="40"/>
              <w:jc w:val="center"/>
            </w:pPr>
            <w:r/>
            <w:r>
              <w:rPr>
                <w:sz w:val="18"/>
              </w:rPr>
              <w:t>18.9</w:t>
            </w:r>
          </w:p>
        </w:tc>
        <w:tc>
          <w:tcPr>
            <w:tcW w:type="dxa" w:w="855"/>
          </w:tcPr>
          <w:p>
            <w:pPr>
              <w:spacing w:after="40"/>
              <w:jc w:val="center"/>
            </w:pPr>
            <w:r/>
            <w:r>
              <w:rPr>
                <w:sz w:val="18"/>
              </w:rPr>
              <w:t>33.0</w:t>
            </w:r>
          </w:p>
        </w:tc>
        <w:tc>
          <w:tcPr>
            <w:tcW w:type="dxa" w:w="855"/>
          </w:tcPr>
          <w:p>
            <w:pPr>
              <w:spacing w:after="40"/>
              <w:jc w:val="center"/>
            </w:pPr>
            <w:r/>
            <w:r>
              <w:rPr>
                <w:sz w:val="18"/>
              </w:rPr>
              <w:t>18.9</w:t>
            </w:r>
          </w:p>
        </w:tc>
        <w:tc>
          <w:tcPr>
            <w:tcW w:type="dxa" w:w="855"/>
          </w:tcPr>
          <w:p>
            <w:pPr>
              <w:spacing w:after="40"/>
              <w:jc w:val="center"/>
            </w:pPr>
            <w:r/>
            <w:r>
              <w:rPr>
                <w:b/>
                <w:sz w:val="18"/>
              </w:rPr>
              <w:t>0.774</w:t>
            </w:r>
          </w:p>
        </w:tc>
        <w:tc>
          <w:tcPr>
            <w:tcW w:type="dxa" w:w="855"/>
          </w:tcPr>
          <w:p>
            <w:pPr>
              <w:spacing w:after="40"/>
              <w:jc w:val="center"/>
            </w:pPr>
            <w:r/>
            <w:r>
              <w:rPr>
                <w:sz w:val="18"/>
              </w:rPr>
              <w:t>0.732</w:t>
            </w:r>
          </w:p>
        </w:tc>
        <w:tc>
          <w:tcPr>
            <w:tcW w:type="dxa" w:w="855"/>
          </w:tcPr>
          <w:p>
            <w:pPr>
              <w:spacing w:after="40"/>
              <w:jc w:val="center"/>
            </w:pPr>
            <w:r/>
            <w:r>
              <w:rPr>
                <w:sz w:val="18"/>
              </w:rPr>
              <w:t>0.774</w:t>
            </w:r>
          </w:p>
        </w:tc>
        <w:tc>
          <w:tcPr>
            <w:tcW w:type="dxa" w:w="855"/>
          </w:tcPr>
          <w:p>
            <w:pPr>
              <w:spacing w:after="40"/>
              <w:jc w:val="center"/>
            </w:pPr>
            <w:r/>
            <w:r>
              <w:rPr>
                <w:sz w:val="18"/>
              </w:rPr>
              <w:t>0.732</w:t>
            </w:r>
          </w:p>
        </w:tc>
      </w:tr>
      <w:tr>
        <w:tc>
          <w:tcPr>
            <w:tcW w:type="dxa" w:w="855"/>
          </w:tcPr>
          <w:p>
            <w:pPr>
              <w:spacing w:after="40"/>
              <w:jc w:val="left"/>
            </w:pPr>
            <w:r/>
            <w:r>
              <w:rPr>
                <w:sz w:val="18"/>
              </w:rPr>
              <w:t>18</w:t>
            </w:r>
          </w:p>
        </w:tc>
        <w:tc>
          <w:tcPr>
            <w:tcW w:type="dxa" w:w="855"/>
          </w:tcPr>
          <w:p>
            <w:pPr>
              <w:spacing w:after="40"/>
              <w:jc w:val="center"/>
            </w:pPr>
            <w:r/>
            <w:r>
              <w:rPr>
                <w:sz w:val="18"/>
              </w:rPr>
              <w:t>Rad+IHC-G+Gen+PDL1 (BM1)</w:t>
            </w:r>
          </w:p>
        </w:tc>
        <w:tc>
          <w:tcPr>
            <w:tcW w:type="dxa" w:w="855"/>
          </w:tcPr>
          <w:p>
            <w:pPr>
              <w:spacing w:after="40"/>
              <w:jc w:val="center"/>
            </w:pPr>
            <w:r/>
            <w:r>
              <w:rPr>
                <w:sz w:val="18"/>
              </w:rPr>
              <w:t>6</w:t>
            </w:r>
          </w:p>
        </w:tc>
        <w:tc>
          <w:tcPr>
            <w:tcW w:type="dxa" w:w="855"/>
          </w:tcPr>
          <w:p>
            <w:pPr>
              <w:spacing w:after="40"/>
              <w:jc w:val="center"/>
            </w:pPr>
            <w:r/>
            <w:r>
              <w:rPr>
                <w:sz w:val="18"/>
              </w:rPr>
              <w:t>17.4</w:t>
            </w:r>
          </w:p>
        </w:tc>
        <w:tc>
          <w:tcPr>
            <w:tcW w:type="dxa" w:w="855"/>
          </w:tcPr>
          <w:p>
            <w:pPr>
              <w:spacing w:after="40"/>
              <w:jc w:val="center"/>
            </w:pPr>
            <w:r/>
            <w:r>
              <w:rPr>
                <w:b/>
                <w:sz w:val="18"/>
              </w:rPr>
              <w:t>20.3</w:t>
            </w:r>
          </w:p>
        </w:tc>
        <w:tc>
          <w:tcPr>
            <w:tcW w:type="dxa" w:w="855"/>
          </w:tcPr>
          <w:p>
            <w:pPr>
              <w:spacing w:after="40"/>
              <w:jc w:val="center"/>
            </w:pPr>
            <w:r/>
            <w:r>
              <w:rPr>
                <w:sz w:val="18"/>
              </w:rPr>
              <w:t>17.4</w:t>
            </w:r>
          </w:p>
        </w:tc>
        <w:tc>
          <w:tcPr>
            <w:tcW w:type="dxa" w:w="855"/>
          </w:tcPr>
          <w:p>
            <w:pPr>
              <w:spacing w:after="40"/>
              <w:jc w:val="center"/>
            </w:pPr>
            <w:r/>
            <w:r>
              <w:rPr>
                <w:sz w:val="18"/>
              </w:rPr>
              <w:t>20.3</w:t>
            </w:r>
          </w:p>
        </w:tc>
        <w:tc>
          <w:tcPr>
            <w:tcW w:type="dxa" w:w="855"/>
          </w:tcPr>
          <w:p>
            <w:pPr>
              <w:spacing w:after="40"/>
              <w:jc w:val="center"/>
            </w:pPr>
            <w:r/>
            <w:r>
              <w:rPr>
                <w:b/>
                <w:sz w:val="18"/>
              </w:rPr>
              <w:t>0.726</w:t>
            </w:r>
          </w:p>
        </w:tc>
        <w:tc>
          <w:tcPr>
            <w:tcW w:type="dxa" w:w="855"/>
          </w:tcPr>
          <w:p>
            <w:pPr>
              <w:spacing w:after="40"/>
              <w:jc w:val="center"/>
            </w:pPr>
            <w:r/>
            <w:r>
              <w:rPr>
                <w:sz w:val="18"/>
              </w:rPr>
              <w:t>0.717</w:t>
            </w:r>
          </w:p>
        </w:tc>
        <w:tc>
          <w:tcPr>
            <w:tcW w:type="dxa" w:w="855"/>
          </w:tcPr>
          <w:p>
            <w:pPr>
              <w:spacing w:after="40"/>
              <w:jc w:val="center"/>
            </w:pPr>
            <w:r/>
            <w:r>
              <w:rPr>
                <w:sz w:val="18"/>
              </w:rPr>
              <w:t>0.726</w:t>
            </w:r>
          </w:p>
        </w:tc>
        <w:tc>
          <w:tcPr>
            <w:tcW w:type="dxa" w:w="855"/>
          </w:tcPr>
          <w:p>
            <w:pPr>
              <w:spacing w:after="40"/>
              <w:jc w:val="center"/>
            </w:pPr>
            <w:r/>
            <w:r>
              <w:rPr>
                <w:sz w:val="18"/>
              </w:rPr>
              <w:t>0.717</w:t>
            </w:r>
          </w:p>
        </w:tc>
      </w:tr>
      <w:tr>
        <w:tc>
          <w:tcPr>
            <w:tcW w:type="dxa" w:w="855"/>
          </w:tcPr>
          <w:p>
            <w:pPr>
              <w:spacing w:after="40"/>
              <w:jc w:val="left"/>
            </w:pPr>
            <w:r/>
            <w:r>
              <w:rPr>
                <w:sz w:val="18"/>
              </w:rPr>
              <w:t>19</w:t>
            </w:r>
          </w:p>
        </w:tc>
        <w:tc>
          <w:tcPr>
            <w:tcW w:type="dxa" w:w="855"/>
          </w:tcPr>
          <w:p>
            <w:pPr>
              <w:spacing w:after="40"/>
              <w:jc w:val="center"/>
            </w:pPr>
            <w:r/>
            <w:r>
              <w:rPr>
                <w:sz w:val="18"/>
              </w:rPr>
              <w:t>Rad+IHC-A+Gen+TMB+PDL1</w:t>
            </w:r>
          </w:p>
        </w:tc>
        <w:tc>
          <w:tcPr>
            <w:tcW w:type="dxa" w:w="855"/>
          </w:tcPr>
          <w:p>
            <w:pPr>
              <w:spacing w:after="40"/>
              <w:jc w:val="center"/>
            </w:pPr>
            <w:r/>
            <w:r>
              <w:rPr>
                <w:sz w:val="18"/>
              </w:rPr>
              <w:t>7</w:t>
            </w:r>
          </w:p>
        </w:tc>
        <w:tc>
          <w:tcPr>
            <w:tcW w:type="dxa" w:w="855"/>
          </w:tcPr>
          <w:p>
            <w:pPr>
              <w:spacing w:after="40"/>
              <w:jc w:val="center"/>
            </w:pPr>
            <w:r/>
            <w:r>
              <w:rPr>
                <w:b/>
                <w:sz w:val="18"/>
              </w:rPr>
              <w:t>21.1</w:t>
            </w:r>
          </w:p>
        </w:tc>
        <w:tc>
          <w:tcPr>
            <w:tcW w:type="dxa" w:w="855"/>
          </w:tcPr>
          <w:p>
            <w:pPr>
              <w:spacing w:after="40"/>
              <w:jc w:val="center"/>
            </w:pPr>
            <w:r/>
            <w:r>
              <w:rPr>
                <w:sz w:val="18"/>
              </w:rPr>
              <w:t>21.0</w:t>
            </w:r>
          </w:p>
        </w:tc>
        <w:tc>
          <w:tcPr>
            <w:tcW w:type="dxa" w:w="855"/>
          </w:tcPr>
          <w:p>
            <w:pPr>
              <w:spacing w:after="40"/>
              <w:jc w:val="center"/>
            </w:pPr>
            <w:r/>
            <w:r>
              <w:rPr>
                <w:sz w:val="18"/>
              </w:rPr>
              <w:t>21.1</w:t>
            </w:r>
          </w:p>
        </w:tc>
        <w:tc>
          <w:tcPr>
            <w:tcW w:type="dxa" w:w="855"/>
          </w:tcPr>
          <w:p>
            <w:pPr>
              <w:spacing w:after="40"/>
              <w:jc w:val="center"/>
            </w:pPr>
            <w:r/>
            <w:r>
              <w:rPr>
                <w:sz w:val="18"/>
              </w:rPr>
              <w:t>21.0</w:t>
            </w:r>
          </w:p>
        </w:tc>
        <w:tc>
          <w:tcPr>
            <w:tcW w:type="dxa" w:w="855"/>
          </w:tcPr>
          <w:p>
            <w:pPr>
              <w:spacing w:after="40"/>
              <w:jc w:val="center"/>
            </w:pPr>
            <w:r/>
            <w:r>
              <w:rPr>
                <w:sz w:val="18"/>
              </w:rPr>
              <w:t>0.712</w:t>
            </w:r>
          </w:p>
        </w:tc>
        <w:tc>
          <w:tcPr>
            <w:tcW w:type="dxa" w:w="855"/>
          </w:tcPr>
          <w:p>
            <w:pPr>
              <w:spacing w:after="40"/>
              <w:jc w:val="center"/>
            </w:pPr>
            <w:r/>
            <w:r>
              <w:rPr>
                <w:b/>
                <w:sz w:val="18"/>
              </w:rPr>
              <w:t>0.725</w:t>
            </w:r>
          </w:p>
        </w:tc>
        <w:tc>
          <w:tcPr>
            <w:tcW w:type="dxa" w:w="855"/>
          </w:tcPr>
          <w:p>
            <w:pPr>
              <w:spacing w:after="40"/>
              <w:jc w:val="center"/>
            </w:pPr>
            <w:r/>
            <w:r>
              <w:rPr>
                <w:sz w:val="18"/>
              </w:rPr>
              <w:t>0.712</w:t>
            </w:r>
          </w:p>
        </w:tc>
        <w:tc>
          <w:tcPr>
            <w:tcW w:type="dxa" w:w="855"/>
          </w:tcPr>
          <w:p>
            <w:pPr>
              <w:spacing w:after="40"/>
              <w:jc w:val="center"/>
            </w:pPr>
            <w:r/>
            <w:r>
              <w:rPr>
                <w:sz w:val="18"/>
              </w:rPr>
              <w:t>0.725</w:t>
            </w:r>
          </w:p>
        </w:tc>
      </w:tr>
      <w:tr>
        <w:tc>
          <w:tcPr>
            <w:tcW w:type="dxa" w:w="855"/>
          </w:tcPr>
          <w:p>
            <w:pPr>
              <w:spacing w:after="40"/>
              <w:jc w:val="left"/>
            </w:pPr>
            <w:r/>
            <w:r>
              <w:rPr>
                <w:sz w:val="18"/>
              </w:rPr>
              <w:t>20</w:t>
            </w:r>
          </w:p>
        </w:tc>
        <w:tc>
          <w:tcPr>
            <w:tcW w:type="dxa" w:w="855"/>
          </w:tcPr>
          <w:p>
            <w:pPr>
              <w:spacing w:after="40"/>
              <w:jc w:val="center"/>
            </w:pPr>
            <w:r/>
            <w:r>
              <w:rPr>
                <w:sz w:val="18"/>
              </w:rPr>
              <w:t>Rad+IHC-A+Gen+PDL1+Labs</w:t>
            </w:r>
          </w:p>
        </w:tc>
        <w:tc>
          <w:tcPr>
            <w:tcW w:type="dxa" w:w="855"/>
          </w:tcPr>
          <w:p>
            <w:pPr>
              <w:spacing w:after="40"/>
              <w:jc w:val="center"/>
            </w:pPr>
            <w:r/>
            <w:r>
              <w:rPr>
                <w:sz w:val="18"/>
              </w:rPr>
              <w:t>7</w:t>
            </w:r>
          </w:p>
        </w:tc>
        <w:tc>
          <w:tcPr>
            <w:tcW w:type="dxa" w:w="855"/>
          </w:tcPr>
          <w:p>
            <w:pPr>
              <w:spacing w:after="40"/>
              <w:jc w:val="center"/>
            </w:pPr>
            <w:r/>
            <w:r>
              <w:rPr>
                <w:b/>
                <w:sz w:val="18"/>
              </w:rPr>
              <w:t>23.3</w:t>
            </w:r>
          </w:p>
        </w:tc>
        <w:tc>
          <w:tcPr>
            <w:tcW w:type="dxa" w:w="855"/>
          </w:tcPr>
          <w:p>
            <w:pPr>
              <w:spacing w:after="40"/>
              <w:jc w:val="center"/>
            </w:pPr>
            <w:r/>
            <w:r>
              <w:rPr>
                <w:sz w:val="18"/>
              </w:rPr>
              <w:t>12.1</w:t>
            </w:r>
          </w:p>
        </w:tc>
        <w:tc>
          <w:tcPr>
            <w:tcW w:type="dxa" w:w="855"/>
          </w:tcPr>
          <w:p>
            <w:pPr>
              <w:spacing w:after="40"/>
              <w:jc w:val="center"/>
            </w:pPr>
            <w:r/>
            <w:r>
              <w:rPr>
                <w:sz w:val="18"/>
              </w:rPr>
              <w:t>22.1</w:t>
            </w:r>
          </w:p>
        </w:tc>
        <w:tc>
          <w:tcPr>
            <w:tcW w:type="dxa" w:w="855"/>
          </w:tcPr>
          <w:p>
            <w:pPr>
              <w:spacing w:after="40"/>
              <w:jc w:val="center"/>
            </w:pPr>
            <w:r/>
            <w:r>
              <w:rPr>
                <w:sz w:val="18"/>
              </w:rPr>
              <w:t>20.1</w:t>
            </w:r>
          </w:p>
        </w:tc>
        <w:tc>
          <w:tcPr>
            <w:tcW w:type="dxa" w:w="855"/>
          </w:tcPr>
          <w:p>
            <w:pPr>
              <w:spacing w:after="40"/>
              <w:jc w:val="center"/>
            </w:pPr>
            <w:r/>
            <w:r>
              <w:rPr>
                <w:sz w:val="18"/>
              </w:rPr>
              <w:t>0.690</w:t>
            </w:r>
          </w:p>
        </w:tc>
        <w:tc>
          <w:tcPr>
            <w:tcW w:type="dxa" w:w="855"/>
          </w:tcPr>
          <w:p>
            <w:pPr>
              <w:spacing w:after="40"/>
              <w:jc w:val="center"/>
            </w:pPr>
            <w:r/>
            <w:r>
              <w:rPr>
                <w:sz w:val="18"/>
              </w:rPr>
              <w:t>0.698</w:t>
            </w:r>
          </w:p>
        </w:tc>
        <w:tc>
          <w:tcPr>
            <w:tcW w:type="dxa" w:w="855"/>
          </w:tcPr>
          <w:p>
            <w:pPr>
              <w:spacing w:after="40"/>
              <w:jc w:val="center"/>
            </w:pPr>
            <w:r/>
            <w:r>
              <w:rPr>
                <w:sz w:val="18"/>
              </w:rPr>
              <w:t>0.693</w:t>
            </w:r>
          </w:p>
        </w:tc>
        <w:tc>
          <w:tcPr>
            <w:tcW w:type="dxa" w:w="855"/>
          </w:tcPr>
          <w:p>
            <w:pPr>
              <w:spacing w:after="40"/>
              <w:jc w:val="center"/>
            </w:pPr>
            <w:r/>
            <w:r>
              <w:rPr>
                <w:b/>
                <w:sz w:val="18"/>
              </w:rPr>
              <w:t>0.731</w:t>
            </w:r>
          </w:p>
        </w:tc>
      </w:tr>
      <w:tr>
        <w:tc>
          <w:tcPr>
            <w:tcW w:type="dxa" w:w="855"/>
          </w:tcPr>
          <w:p>
            <w:pPr>
              <w:spacing w:after="40"/>
              <w:jc w:val="left"/>
            </w:pPr>
            <w:r/>
            <w:r>
              <w:rPr>
                <w:sz w:val="18"/>
              </w:rPr>
              <w:t>21</w:t>
            </w:r>
          </w:p>
        </w:tc>
        <w:tc>
          <w:tcPr>
            <w:tcW w:type="dxa" w:w="855"/>
          </w:tcPr>
          <w:p>
            <w:pPr>
              <w:spacing w:after="40"/>
              <w:jc w:val="center"/>
            </w:pPr>
            <w:r/>
            <w:r>
              <w:rPr>
                <w:sz w:val="18"/>
              </w:rPr>
              <w:t>Rad+IHC-G+Gen+PDL1+Labs (BM2)</w:t>
            </w:r>
          </w:p>
        </w:tc>
        <w:tc>
          <w:tcPr>
            <w:tcW w:type="dxa" w:w="855"/>
          </w:tcPr>
          <w:p>
            <w:pPr>
              <w:spacing w:after="40"/>
              <w:jc w:val="center"/>
            </w:pPr>
            <w:r/>
            <w:r>
              <w:rPr>
                <w:sz w:val="18"/>
              </w:rPr>
              <w:t>7</w:t>
            </w:r>
          </w:p>
        </w:tc>
        <w:tc>
          <w:tcPr>
            <w:tcW w:type="dxa" w:w="855"/>
          </w:tcPr>
          <w:p>
            <w:pPr>
              <w:spacing w:after="40"/>
              <w:jc w:val="center"/>
            </w:pPr>
            <w:r/>
            <w:r>
              <w:rPr>
                <w:sz w:val="18"/>
              </w:rPr>
              <w:t>17.6</w:t>
            </w:r>
          </w:p>
        </w:tc>
        <w:tc>
          <w:tcPr>
            <w:tcW w:type="dxa" w:w="855"/>
          </w:tcPr>
          <w:p>
            <w:pPr>
              <w:spacing w:after="40"/>
              <w:jc w:val="center"/>
            </w:pPr>
            <w:r/>
            <w:r>
              <w:rPr>
                <w:sz w:val="18"/>
              </w:rPr>
              <w:t>20.9</w:t>
            </w:r>
          </w:p>
        </w:tc>
        <w:tc>
          <w:tcPr>
            <w:tcW w:type="dxa" w:w="855"/>
          </w:tcPr>
          <w:p>
            <w:pPr>
              <w:spacing w:after="40"/>
              <w:jc w:val="center"/>
            </w:pPr>
            <w:r/>
            <w:r>
              <w:rPr>
                <w:sz w:val="18"/>
              </w:rPr>
              <w:t>19.2</w:t>
            </w:r>
          </w:p>
        </w:tc>
        <w:tc>
          <w:tcPr>
            <w:tcW w:type="dxa" w:w="855"/>
          </w:tcPr>
          <w:p>
            <w:pPr>
              <w:spacing w:after="40"/>
              <w:jc w:val="center"/>
            </w:pPr>
            <w:r/>
            <w:r>
              <w:rPr>
                <w:b/>
                <w:sz w:val="18"/>
              </w:rPr>
              <w:t>23.9</w:t>
            </w:r>
          </w:p>
        </w:tc>
        <w:tc>
          <w:tcPr>
            <w:tcW w:type="dxa" w:w="855"/>
          </w:tcPr>
          <w:p>
            <w:pPr>
              <w:spacing w:after="40"/>
              <w:jc w:val="center"/>
            </w:pPr>
            <w:r/>
            <w:r>
              <w:rPr>
                <w:sz w:val="18"/>
              </w:rPr>
              <w:t>0.698</w:t>
            </w:r>
          </w:p>
        </w:tc>
        <w:tc>
          <w:tcPr>
            <w:tcW w:type="dxa" w:w="855"/>
          </w:tcPr>
          <w:p>
            <w:pPr>
              <w:spacing w:after="40"/>
              <w:jc w:val="center"/>
            </w:pPr>
            <w:r/>
            <w:r>
              <w:rPr>
                <w:sz w:val="18"/>
              </w:rPr>
              <w:t>0.709</w:t>
            </w:r>
          </w:p>
        </w:tc>
        <w:tc>
          <w:tcPr>
            <w:tcW w:type="dxa" w:w="855"/>
          </w:tcPr>
          <w:p>
            <w:pPr>
              <w:spacing w:after="40"/>
              <w:jc w:val="center"/>
            </w:pPr>
            <w:r/>
            <w:r>
              <w:rPr>
                <w:sz w:val="18"/>
              </w:rPr>
              <w:t>0.702</w:t>
            </w:r>
          </w:p>
        </w:tc>
        <w:tc>
          <w:tcPr>
            <w:tcW w:type="dxa" w:w="855"/>
          </w:tcPr>
          <w:p>
            <w:pPr>
              <w:spacing w:after="40"/>
              <w:jc w:val="center"/>
            </w:pPr>
            <w:r/>
            <w:r>
              <w:rPr>
                <w:b/>
                <w:sz w:val="18"/>
              </w:rPr>
              <w:t>0.733</w:t>
            </w:r>
          </w:p>
        </w:tc>
      </w:tr>
    </w:tbl>
    <w:p>
      <w:pPr>
        <w:spacing w:after="80"/>
      </w:pPr>
    </w:p>
    <w:p>
      <w:pPr>
        <w:spacing w:before="200"/>
        <w:jc w:val="center"/>
      </w:pPr>
      <w:r>
        <w:drawing>
          <wp:inline xmlns:a="http://schemas.openxmlformats.org/drawingml/2006/main" xmlns:pic="http://schemas.openxmlformats.org/drawingml/2006/picture">
            <wp:extent cx="5760720" cy="5981226"/>
            <wp:docPr id="5" name="Picture 5"/>
            <wp:cNvGraphicFramePr>
              <a:graphicFrameLocks noChangeAspect="1"/>
            </wp:cNvGraphicFramePr>
            <a:graphic>
              <a:graphicData uri="http://schemas.openxmlformats.org/drawingml/2006/picture">
                <pic:pic>
                  <pic:nvPicPr>
                    <pic:cNvPr id="0" name="composite_fig5.png"/>
                    <pic:cNvPicPr/>
                  </pic:nvPicPr>
                  <pic:blipFill>
                    <a:blip r:embed="rId13"/>
                    <a:stretch>
                      <a:fillRect/>
                    </a:stretch>
                  </pic:blipFill>
                  <pic:spPr>
                    <a:xfrm>
                      <a:off x="0" y="0"/>
                      <a:ext cx="5760720" cy="5981226"/>
                    </a:xfrm>
                    <a:prstGeom prst="rect"/>
                  </pic:spPr>
                </pic:pic>
              </a:graphicData>
            </a:graphic>
          </wp:inline>
        </w:drawing>
      </w:r>
    </w:p>
    <w:p>
      <w:pPr>
        <w:spacing w:after="200"/>
      </w:pPr>
      <w:r>
        <w:rPr>
          <w:b/>
          <w:sz w:val="19"/>
        </w:rPr>
        <w:t>Figure 5.</w:t>
      </w:r>
      <w:r>
        <w:rPr>
          <w:sz w:val="19"/>
        </w:rPr>
        <w:t xml:space="preserve"> Kaplan–Meier progression-free survival curves at the primary benchmark BM1 (Rad+IHC-G+Gen+PDL1), computed from the out-of-fold risk scores of the single 10-fold partition and stratified at the median risk score into high-risk (red) and low-risk (blue) groups, with number-at-risk tables. The log-rank statistics printed in the panels are those of Table 8 (BM1 rows; for the two +NLP panels the NLP encoding is added to the BM1 sources). (</w:t>
      </w:r>
      <w:r>
        <w:rPr>
          <w:b/>
          <w:sz w:val="19"/>
        </w:rPr>
        <w:t>A</w:t>
      </w:r>
      <w:r>
        <w:rPr>
          <w:sz w:val="19"/>
        </w:rPr>
        <w:t>) DyAM. (</w:t>
      </w:r>
      <w:r>
        <w:rPr>
          <w:b/>
          <w:sz w:val="19"/>
        </w:rPr>
        <w:t>B</w:t>
      </w:r>
      <w:r>
        <w:rPr>
          <w:sz w:val="19"/>
        </w:rPr>
        <w:t>) OvO. (</w:t>
      </w:r>
      <w:r>
        <w:rPr>
          <w:b/>
          <w:sz w:val="19"/>
        </w:rPr>
        <w:t>C</w:t>
      </w:r>
      <w:r>
        <w:rPr>
          <w:sz w:val="19"/>
        </w:rPr>
        <w:t>) DyAM+NLP. (</w:t>
      </w:r>
      <w:r>
        <w:rPr>
          <w:b/>
          <w:sz w:val="19"/>
        </w:rPr>
        <w:t>D</w:t>
      </w:r>
      <w:r>
        <w:rPr>
          <w:sz w:val="19"/>
        </w:rPr>
        <w:t>) OvO+NLP.</w:t>
      </w:r>
    </w:p>
    <w:p>
      <w:pPr>
        <w:spacing w:before="200"/>
        <w:jc w:val="center"/>
      </w:pPr>
      <w:r>
        <w:drawing>
          <wp:inline xmlns:a="http://schemas.openxmlformats.org/drawingml/2006/main" xmlns:pic="http://schemas.openxmlformats.org/drawingml/2006/picture">
            <wp:extent cx="5760720" cy="3326001"/>
            <wp:docPr id="6" name="Picture 6"/>
            <wp:cNvGraphicFramePr>
              <a:graphicFrameLocks noChangeAspect="1"/>
            </wp:cNvGraphicFramePr>
            <a:graphic>
              <a:graphicData uri="http://schemas.openxmlformats.org/drawingml/2006/picture">
                <pic:pic>
                  <pic:nvPicPr>
                    <pic:cNvPr id="0" name="composite_fig6.png"/>
                    <pic:cNvPicPr/>
                  </pic:nvPicPr>
                  <pic:blipFill>
                    <a:blip r:embed="rId14"/>
                    <a:stretch>
                      <a:fillRect/>
                    </a:stretch>
                  </pic:blipFill>
                  <pic:spPr>
                    <a:xfrm>
                      <a:off x="0" y="0"/>
                      <a:ext cx="5760720" cy="3326001"/>
                    </a:xfrm>
                    <a:prstGeom prst="rect"/>
                  </pic:spPr>
                </pic:pic>
              </a:graphicData>
            </a:graphic>
          </wp:inline>
        </w:drawing>
      </w:r>
    </w:p>
    <w:p>
      <w:pPr>
        <w:spacing w:after="200"/>
      </w:pPr>
      <w:r>
        <w:rPr>
          <w:b/>
          <w:sz w:val="19"/>
        </w:rPr>
        <w:t>Figure 6.</w:t>
      </w:r>
      <w:r>
        <w:rPr>
          <w:sz w:val="19"/>
        </w:rPr>
        <w:t xml:space="preserve"> Survival association of the risk score across the 21 configurations (numbered as in Table 6), single 10-fold partition. Bars show DyAM, OvO, and, where they differ (configurations 20 and 21), DyAM+NLP and OvO+NLP; for the other configurations the +NLP bars repeat the values without NLP. (</w:t>
      </w:r>
      <w:r>
        <w:rPr>
          <w:b/>
          <w:sz w:val="19"/>
        </w:rPr>
        <w:t>A</w:t>
      </w:r>
      <w:r>
        <w:rPr>
          <w:sz w:val="19"/>
        </w:rPr>
        <w:t>) Harrell's C-index (dashed line, 0.5). (</w:t>
      </w:r>
      <w:r>
        <w:rPr>
          <w:b/>
          <w:sz w:val="19"/>
        </w:rPr>
        <w:t>B</w:t>
      </w:r>
      <w:r>
        <w:rPr>
          <w:sz w:val="19"/>
        </w:rPr>
        <w:t>) Time-dependent AUC at 12 months. (</w:t>
      </w:r>
      <w:r>
        <w:rPr>
          <w:b/>
          <w:sz w:val="19"/>
        </w:rPr>
        <w:t>C</w:t>
      </w:r>
      <w:r>
        <w:rPr>
          <w:sz w:val="19"/>
        </w:rPr>
        <w:t>) Cox hazard ratio per unit of risk score, adjusted for age, ECOG performance status, albumin, dNLR and liver metastases (dashed line, 1). (</w:t>
      </w:r>
      <w:r>
        <w:rPr>
          <w:b/>
          <w:sz w:val="19"/>
        </w:rPr>
        <w:t>D</w:t>
      </w:r>
      <w:r>
        <w:rPr>
          <w:sz w:val="19"/>
        </w:rPr>
        <w:t>) Log-rank χ² of the dichotomised risk score (dashed line, 3.84).</w:t>
      </w:r>
    </w:p>
    <w:p>
      <w:pPr>
        <w:pStyle w:val="Heading1"/>
      </w:pPr>
      <w:r>
        <w:t>4. Discussion</w:t>
      </w:r>
    </w:p>
    <w:p>
      <w:r>
        <w:t>We extended the DyAM multimodal attention framework with two contributions, a competitive (OvO) attention mechanism with fewer parameters and an NLP-based encoding of tabular clinical features, and evaluated them on response (AUC) and progression-free survival in a 247-patient cohort using one 10-fold cross-validation partition. The experiments support four conclusions.</w:t>
      </w:r>
    </w:p>
    <w:p>
      <w:r>
        <w:rPr>
          <w:b/>
        </w:rPr>
        <w:t>Fusing sources is what moves performance.</w:t>
      </w:r>
      <w:r>
        <w:t xml:space="preserve"> The best single sources reached AUCs of 0.708 (PD-L1 TPS), 0.701 (CT radiomics), 0.676 (genomics) and 0.615 (TMB). Fusing four sources raised the AUC to 0.798 under the cooperative attention of the original framework (+0.090 over PD-L1 TPS), a value that this evaluation reproduced and that matches the 0.80 of the original publication </w:t>
      </w:r>
      <w:r>
        <w:t>[</w:t>
      </w:r>
      <w:hyperlink w:anchor="ref_15" w:history="1">
        <w:r>
          <w:rPr>
            <w:color w:val="0563C1"/>
          </w:rPr>
          <w:t>15</w:t>
        </w:r>
      </w:hyperlink>
      <w:r>
        <w:t>]</w:t>
      </w:r>
      <w:r>
        <w:t xml:space="preserve">, and the best model reached 0.824 (95% CI 0.765–0.883), +0.116 above PD-L1 TPS, the biomarker in routine use, and above the modest discrimination reported for PD-L1 and TMB </w:t>
      </w:r>
      <w:r>
        <w:t>[</w:t>
      </w:r>
      <w:hyperlink w:anchor="ref_8" w:history="1">
        <w:r>
          <w:rPr>
            <w:color w:val="0563C1"/>
          </w:rPr>
          <w:t>8</w:t>
        </w:r>
      </w:hyperlink>
      <w:r>
        <w:t>,</w:t>
      </w:r>
      <w:hyperlink w:anchor="ref_7" w:history="1">
        <w:r>
          <w:rPr>
            <w:color w:val="0563C1"/>
          </w:rPr>
          <w:t>7</w:t>
        </w:r>
      </w:hyperlink>
      <w:r>
        <w:t>]</w:t>
      </w:r>
      <w:r>
        <w:t>. The same pattern held for survival: the association of the risk score with progression-free survival rose from a C-index of 0.56–0.59 for a single source to 0.59–0.66 for six or seven sources, and the log-rank χ² from 1.9–16.8 to 12.1–33.0. Two endpoints therefore point to the same conclusion, that the sources carry complementary information that attention-based fusion can combine.</w:t>
      </w:r>
    </w:p>
    <w:p>
      <w:r>
        <w:rPr>
          <w:b/>
        </w:rPr>
        <w:t>The NLP encoding of clinical variables is better than numeric labs.</w:t>
      </w:r>
      <w:r>
        <w:t xml:space="preserve"> This was the most consistent finding of the study. Replacing the 13 numeric laboratory and clinical values by their sentence embedding raised the AUC in all six comparisons that were made: +0.018 and +0.019 in the two pathology arms under cooperative attention, +0.019 and +0.022 in the two seven-source configurations under cooperative attention, and +0.033 and +0.030 in the same two configurations under OvO attention. That a model that sees the encoded clinical profile in place of the numeric vector gains in every comparison, with both attention mechanisms and both pathology encodings, makes a chance explanation less likely than a systematic benefit. A plausible reason is that a sentence embedding represents combinations of variables, for example advanced age together with low albumin and poor performance status, that are not explicit in a 13-dimensional numeric vector and that the attention module would otherwise have to learn from a small training set </w:t>
      </w:r>
      <w:r>
        <w:t>[</w:t>
      </w:r>
      <w:hyperlink w:anchor="ref_16" w:history="1">
        <w:r>
          <w:rPr>
            <w:color w:val="0563C1"/>
          </w:rPr>
          <w:t>16</w:t>
        </w:r>
      </w:hyperlink>
      <w:r>
        <w:t>,</w:t>
      </w:r>
      <w:hyperlink w:anchor="ref_17" w:history="1">
        <w:r>
          <w:rPr>
            <w:color w:val="0563C1"/>
          </w:rPr>
          <w:t>17</w:t>
        </w:r>
      </w:hyperlink>
      <w:r>
        <w:t>]</w:t>
      </w:r>
      <w:r>
        <w:t>; our data do not test this mechanism. The AUC with the encoding was also above that of the same sources without any clinical variable (+0.020 for DyAM and +0.024 for OvO at the primary benchmark), and the general-purpose sentence encoder was better than the domain-specific BioClinBERT (Supplementary Note S2), so no clinical fine-tuning was needed.</w:t>
      </w:r>
    </w:p>
    <w:p>
      <w:r>
        <w:rPr>
          <w:b/>
        </w:rPr>
        <w:t>OvO attention gives the best fusion with a quarter of the parameters.</w:t>
      </w:r>
      <w:r>
        <w:t xml:space="preserve"> At the primary benchmark OvO improved on cooperative attention by +0.017 without the NLP encoding (0.801 against 0.783) and by +0.021 with it (0.824 against 0.803), and in the two seven-source configurations with labs OvO was above the cooperative model as well (0.782 against 0.772 and 0.824 against 0.803 with NLP). OvO with the NLP encoding gave the highest AUC of all 21 configurations while training 1,242 parameters against 4,969 for the cooperative model. OvO therefore offers the best accuracy of the two mechanisms with a simpler model; the parameter count is a possible explanation, which we did not test by shrinking the cooperative attention matrix. For survival, OvO with the NLP encoding gave the strongest separation of risk groups at BM2 (hazard ratio 6.64 against 4.63 for DyAM, log-rank χ² = 23.9 against 17.6, 12-month time-dependent AUC 0.733 against 0.698), and the hazard ratio was higher for OvO at BM1 (5.83 against 5.27), TMB+PDL1 (3.00 against 2.17) and Rad+IHC-A+Gen+TMB+PDL1 (7.04 against 4.88). The C-index was close for the two mechanisms (0.633 against 0.640 at BM2), so the benefit of OvO lies in the separation of high- and low-risk groups rather than in the ranking of patients. The cooperative model remained the stronger of the two in a few configurations, such as Rad+IHC-A+Gen+PDL1 (0.798 against 0.768), where it also had the strongest survival association of the study (C-index 0.655, hazard ratio 8.59), so the choice between mechanisms may depend on the combination of sources.</w:t>
      </w:r>
    </w:p>
    <w:p>
      <w:r>
        <w:rPr>
          <w:b/>
        </w:rPr>
        <w:t>The approach is practical.</w:t>
      </w:r>
      <w:r>
        <w:t xml:space="preserve"> Encoding a patient profile takes less than one second on CPU, needs no labelled clinical text, and can be applied to any structured electronic health record field that can be written as a sentence, so it can be transferred to other structured clinical datasets without a fine-tuned clinical language model.</w:t>
      </w:r>
    </w:p>
    <w:p>
      <w:r>
        <w:rPr>
          <w:b/>
        </w:rPr>
        <w:t>Clinical encodings and survival.</w:t>
      </w:r>
      <w:r>
        <w:t xml:space="preserve"> The clinical encodings did not change the survival metrics consistently: hazard ratios were 5.0–6.3, C-indices 0.62–0.64 and log-rank χ² above 17 for every variant. The NLP encoding matched numeric labs on these metrics, so its advantage in this study is on the response endpoint, and we do not claim that it captures prognostic information.</w:t>
      </w:r>
    </w:p>
    <w:p>
      <w:r>
        <w:rPr>
          <w:b/>
        </w:rPr>
        <w:t>Performance estimates.</w:t>
      </w:r>
      <w:r>
        <w:t xml:space="preserve"> A harder evaluation gave lower values: training on the patients with the earliest CT accession numbers and testing on the later 124 (a proxy for time, since calendar dates were not available) gave AUCs of 0.703 (0.587–0.819) for OvO+NLP and 0.700 (0.587–0.812) for DyAM+NLP, with 0.707 and 0.678 at seven sources. The cross-validated AUC of 0.824 is therefore best read as the performance under the evaluation protocol of the original framework rather than the expected performance in new patients. Because about 60 variants were compared on the same 247 patients, the highest figures also include some selection, which we estimate at 0.014–0.031 AUC.</w:t>
      </w:r>
    </w:p>
    <w:p>
      <w:r>
        <w:rPr>
          <w:b/>
        </w:rPr>
        <w:t>Limitations.</w:t>
      </w:r>
      <w:r>
        <w:t xml:space="preserve"> First, all results come from one 10-fold cross-validation partition of a single-institution retrospective cohort, which limits generalisability; the confidence intervals reflect patient sampling but not the choice of partition. Second, with n = 247 (62 responders) the 95% interval of an AUC is about ± 0.07, and the differences between models, which are 0.02 AUC or smaller, are smaller than this cohort can resolve (about 1,200–1,350 patients would be needed to detect 0.02 AUC with 80% power; Supplementary Note S3), so they are described by direction and magnitude. Third, results depended on the numerical environment (the same code gave 0.798 on Linux and 0.788 on Windows at the primary benchmark), so all results are from one pinned environment. Fourth, the sentence encoder was used without fine-tuning on NSCLC clinical text. Fifth, calendar dates were not available, so temporal validation was approximated by CT accession order and covered two configurations. Finally, PD-L1 TPS was scored with the Sauter method, which may differ from the SP142 or 22C3 assays used elsewhere, so PD-L1-derived features should be interpreted with this in mind.</w:t>
      </w:r>
    </w:p>
    <w:p>
      <w:pPr>
        <w:pStyle w:val="Heading1"/>
      </w:pPr>
      <w:r>
        <w:t>5. Conclusions</w:t>
      </w:r>
    </w:p>
    <w:p>
      <w:r>
        <w:t>We extended the DyAM multimodal attention framework for ICI response prediction in NSCLC with a competitive (OvO) attention mechanism and an NLP-based encoding of structured clinical variables, and the experiments support four conclusions. First, fusing sources is what raises performance: four fused sources reached an AUC of 0.798 and the best model 0.824 (95% CI 0.765–0.883), against 0.708 for PD-L1 TPS alone, and the association of the risk score with progression-free survival grew with the number of fused sources across the 21 configurations (C-index up to 0.66). Second, the NLP encoding of clinical variables with a general-purpose sentence transformer exceeded numeric labs in all six comparisons (+0.018 and +0.019 in the two pathology arms, +0.019 to +0.033 in the two seven-source configurations), without any fine-tuning on clinical text. Third, OvO attention with the NLP encoding gave the highest AUC at the primary benchmark (0.824 against 0.803 for cooperative attention and 0.783 for the original framework, +0.041) with about a quarter of the trainable parameters, and the strongest separation of risk groups in the labs-replaced configuration of BM2 (hazard ratio 6.64 against 4.63, log-rank χ² = 23.9 against 17.6, 12-month time-dependent AUC 0.733 against 0.698), although the C-index was similar (0.633 against 0.640). Fourth, the approach is practical, since encoding a patient takes less than one second on CPU and needs no labelled clinical text. These results come from a single 10-fold partition, and an order-based hold-out evaluation gave lower estimates (0.703 for OvO+NLP and 0.700 for DyAM+NLP), so the cross-validated AUCs should not be read as expected performance in new patients. Validation in larger, multi-institutional cohorts with calendar dates is needed to confirm these findings and to establish their clinical utility for treatment selection.</w:t>
      </w:r>
    </w:p>
    <w:p>
      <w:pPr>
        <w:pStyle w:val="Heading1"/>
      </w:pPr>
      <w:r>
        <w:t>Declarations</w:t>
      </w:r>
    </w:p>
    <w:p>
      <w:r>
        <w:rPr>
          <w:b/>
        </w:rPr>
        <w:t>Author Contributions:</w:t>
      </w:r>
      <w:r>
        <w:t xml:space="preserve"> Conceptualization, methodology, software, formal analysis, investigation, writing—original draft preparation, and writing—review and editing, V.H.H. The author has read and agreed to the published version of the manuscript.</w:t>
      </w:r>
    </w:p>
    <w:p>
      <w:r>
        <w:rPr>
          <w:b/>
        </w:rPr>
        <w:t>Data Availability Statement:</w:t>
      </w:r>
      <w:r>
        <w:t xml:space="preserve"> The code used in this study is available at https://github.com/hoanghuyvu2k/Multimodal-Lung-Cancer. Patient-level data are subject to institutional data-sharing agreements and available upon reasonable request.</w:t>
      </w:r>
    </w:p>
    <w:p>
      <w:r>
        <w:rPr>
          <w:b/>
        </w:rPr>
        <w:t>Conflicts of Interest:</w:t>
      </w:r>
      <w:r>
        <w:t xml:space="preserve"> The author declares no conflicts of interest.</w:t>
      </w:r>
    </w:p>
    <w:p>
      <w:pPr>
        <w:pStyle w:val="Heading1"/>
      </w:pPr>
      <w:r>
        <w:t>References</w:t>
      </w:r>
    </w:p>
    <w:p>
      <w:pPr>
        <w:spacing w:after="80"/>
        <w:ind w:left="425" w:hanging="425"/>
      </w:pPr>
      <w:bookmarkStart w:id="9001" w:name="ref_1"/>
      <w:bookmarkEnd w:id="9001"/>
      <w:r>
        <w:rPr>
          <w:sz w:val="20"/>
        </w:rPr>
        <w:t>1.</w:t>
        <w:tab/>
      </w:r>
      <w:r>
        <w:rPr>
          <w:sz w:val="20"/>
        </w:rPr>
        <w:t xml:space="preserve">Siegel RL, Giaquinto AN, Jemal A. Cancer Statistics, 2024. CA Cancer J Clin. 2024;74:12–49. </w:t>
      </w:r>
      <w:hyperlink r:id="rId15" w:history="1">
        <w:r>
          <w:rPr>
            <w:color w:val="0563C1"/>
            <w:u w:val="single"/>
            <w:sz w:val="20"/>
          </w:rPr>
          <w:t>doi:10.3322/caac.21820</w:t>
        </w:r>
      </w:hyperlink>
    </w:p>
    <w:p>
      <w:pPr>
        <w:spacing w:after="80"/>
        <w:ind w:left="425" w:hanging="425"/>
      </w:pPr>
      <w:bookmarkStart w:id="9002" w:name="ref_2"/>
      <w:bookmarkEnd w:id="9002"/>
      <w:r>
        <w:rPr>
          <w:sz w:val="20"/>
        </w:rPr>
        <w:t>2.</w:t>
        <w:tab/>
      </w:r>
      <w:r>
        <w:rPr>
          <w:sz w:val="20"/>
        </w:rPr>
        <w:t xml:space="preserve">Reck M, Rodríguez-Abreu D, Robinson AG, et al. Pembrolizumab versus Chemotherapy for PD-L1-Positive Non-Small-Cell Lung Cancer. N Engl J Med. 2016;375:1823–1833. </w:t>
      </w:r>
      <w:hyperlink r:id="rId16" w:history="1">
        <w:r>
          <w:rPr>
            <w:color w:val="0563C1"/>
            <w:u w:val="single"/>
            <w:sz w:val="20"/>
          </w:rPr>
          <w:t>doi:10.1056/NEJMoa1606774</w:t>
        </w:r>
      </w:hyperlink>
    </w:p>
    <w:p>
      <w:pPr>
        <w:spacing w:after="80"/>
        <w:ind w:left="425" w:hanging="425"/>
      </w:pPr>
      <w:bookmarkStart w:id="9003" w:name="ref_3"/>
      <w:bookmarkEnd w:id="9003"/>
      <w:r>
        <w:rPr>
          <w:sz w:val="20"/>
        </w:rPr>
        <w:t>3.</w:t>
        <w:tab/>
      </w:r>
      <w:r>
        <w:rPr>
          <w:sz w:val="20"/>
        </w:rPr>
        <w:t xml:space="preserve">Borghaei H, Paz-Ares L, Horn L, et al. Nivolumab versus Docetaxel in Advanced Nonsquamous Non-Small-Cell Lung Cancer. N Engl J Med. 2015;373:1627–1639. </w:t>
      </w:r>
      <w:hyperlink r:id="rId17" w:history="1">
        <w:r>
          <w:rPr>
            <w:color w:val="0563C1"/>
            <w:u w:val="single"/>
            <w:sz w:val="20"/>
          </w:rPr>
          <w:t>doi:10.1056/NEJMoa1507643</w:t>
        </w:r>
      </w:hyperlink>
    </w:p>
    <w:p>
      <w:pPr>
        <w:spacing w:after="80"/>
        <w:ind w:left="425" w:hanging="425"/>
      </w:pPr>
      <w:bookmarkStart w:id="9004" w:name="ref_4"/>
      <w:bookmarkEnd w:id="9004"/>
      <w:r>
        <w:rPr>
          <w:sz w:val="20"/>
        </w:rPr>
        <w:t>4.</w:t>
        <w:tab/>
      </w:r>
      <w:r>
        <w:rPr>
          <w:sz w:val="20"/>
        </w:rPr>
        <w:t xml:space="preserve">Sharma P, Hu-Lieskovan S, Wargo JA, Ribas A. Primary, Adaptive, and Acquired Resistance to Cancer Immunotherapy. Cell. 2017;168(4):707–723. </w:t>
      </w:r>
      <w:hyperlink r:id="rId18" w:history="1">
        <w:r>
          <w:rPr>
            <w:color w:val="0563C1"/>
            <w:u w:val="single"/>
            <w:sz w:val="20"/>
          </w:rPr>
          <w:t>doi:10.1016/j.cell.2017.01.017</w:t>
        </w:r>
      </w:hyperlink>
    </w:p>
    <w:p>
      <w:pPr>
        <w:spacing w:after="80"/>
        <w:ind w:left="425" w:hanging="425"/>
      </w:pPr>
      <w:bookmarkStart w:id="9005" w:name="ref_5"/>
      <w:bookmarkEnd w:id="9005"/>
      <w:r>
        <w:rPr>
          <w:sz w:val="20"/>
        </w:rPr>
        <w:t>5.</w:t>
        <w:tab/>
      </w:r>
      <w:r>
        <w:rPr>
          <w:sz w:val="20"/>
        </w:rPr>
        <w:t xml:space="preserve">Herbst RS, Baas P, Kim DW, et al. Pembrolizumab versus docetaxel for previously treated, PD-L1-positive, advanced non-small-cell lung cancer (KEYNOTE-010). Lancet. 2016;387:1540–1550. </w:t>
      </w:r>
      <w:hyperlink r:id="rId19" w:history="1">
        <w:r>
          <w:rPr>
            <w:color w:val="0563C1"/>
            <w:u w:val="single"/>
            <w:sz w:val="20"/>
          </w:rPr>
          <w:t>doi:10.1016/S0140-6736(15)01281-7</w:t>
        </w:r>
      </w:hyperlink>
    </w:p>
    <w:p>
      <w:pPr>
        <w:spacing w:after="80"/>
        <w:ind w:left="425" w:hanging="425"/>
      </w:pPr>
      <w:bookmarkStart w:id="9006" w:name="ref_6"/>
      <w:bookmarkEnd w:id="9006"/>
      <w:r>
        <w:rPr>
          <w:sz w:val="20"/>
        </w:rPr>
        <w:t>6.</w:t>
        <w:tab/>
      </w:r>
      <w:r>
        <w:rPr>
          <w:sz w:val="20"/>
        </w:rPr>
        <w:t xml:space="preserve">Hirsch FR, McElhinny A, Stanforth D, et al. PD-L1 Immunohistochemistry Assays for Lung Cancer: Results from Phase 1 of the Blueprint PD-L1 IHC Assay Comparison Project. J Thorac Oncol. 2017;12(2):208–222. </w:t>
      </w:r>
      <w:hyperlink r:id="rId20" w:history="1">
        <w:r>
          <w:rPr>
            <w:color w:val="0563C1"/>
            <w:u w:val="single"/>
            <w:sz w:val="20"/>
          </w:rPr>
          <w:t>doi:10.1016/j.jtho.2016.11.2228</w:t>
        </w:r>
      </w:hyperlink>
    </w:p>
    <w:p>
      <w:pPr>
        <w:spacing w:after="80"/>
        <w:ind w:left="425" w:hanging="425"/>
      </w:pPr>
      <w:bookmarkStart w:id="9007" w:name="ref_7"/>
      <w:bookmarkEnd w:id="9007"/>
      <w:r>
        <w:rPr>
          <w:sz w:val="20"/>
        </w:rPr>
        <w:t>7.</w:t>
        <w:tab/>
      </w:r>
      <w:r>
        <w:rPr>
          <w:sz w:val="20"/>
        </w:rPr>
        <w:t xml:space="preserve">Rizvi NA, Hellmann MD, Snyder A, et al. Mutational landscape determines sensitivity to PD-1 blockade in non-small cell lung cancer. Science. 2015;348:124–128. </w:t>
      </w:r>
      <w:hyperlink r:id="rId21" w:history="1">
        <w:r>
          <w:rPr>
            <w:color w:val="0563C1"/>
            <w:u w:val="single"/>
            <w:sz w:val="20"/>
          </w:rPr>
          <w:t>doi:10.1126/science.aaa1348</w:t>
        </w:r>
      </w:hyperlink>
    </w:p>
    <w:p>
      <w:pPr>
        <w:spacing w:after="80"/>
        <w:ind w:left="425" w:hanging="425"/>
      </w:pPr>
      <w:bookmarkStart w:id="9008" w:name="ref_8"/>
      <w:bookmarkEnd w:id="9008"/>
      <w:r>
        <w:rPr>
          <w:sz w:val="20"/>
        </w:rPr>
        <w:t>8.</w:t>
        <w:tab/>
      </w:r>
      <w:r>
        <w:rPr>
          <w:sz w:val="20"/>
        </w:rPr>
        <w:t xml:space="preserve">Lu S, Stein JE, Rimm DL, et al. Comparison of Biomarker Modalities for Predicting Response to PD-1/PD-L1 Checkpoint Blockade: A Systematic Review and Meta-analysis. JAMA Oncol. 2019;5(8):1195–1204. </w:t>
      </w:r>
      <w:hyperlink r:id="rId22" w:history="1">
        <w:r>
          <w:rPr>
            <w:color w:val="0563C1"/>
            <w:u w:val="single"/>
            <w:sz w:val="20"/>
          </w:rPr>
          <w:t>doi:10.1001/jamaoncol.2019.1549</w:t>
        </w:r>
      </w:hyperlink>
    </w:p>
    <w:p>
      <w:pPr>
        <w:spacing w:after="80"/>
        <w:ind w:left="425" w:hanging="425"/>
      </w:pPr>
      <w:bookmarkStart w:id="9009" w:name="ref_9"/>
      <w:bookmarkEnd w:id="9009"/>
      <w:r>
        <w:rPr>
          <w:sz w:val="20"/>
        </w:rPr>
        <w:t>9.</w:t>
        <w:tab/>
      </w:r>
      <w:r>
        <w:rPr>
          <w:sz w:val="20"/>
        </w:rPr>
        <w:t xml:space="preserve">Boehm KM, Khosravi P, Vanguri R, Gao J, Shah SP. Harnessing multimodal data integration to advance precision oncology. Nat Rev Cancer. 2022;22(2):114–126. </w:t>
      </w:r>
      <w:hyperlink r:id="rId23" w:history="1">
        <w:r>
          <w:rPr>
            <w:color w:val="0563C1"/>
            <w:u w:val="single"/>
            <w:sz w:val="20"/>
          </w:rPr>
          <w:t>doi:10.1038/s41568-021-00408-3</w:t>
        </w:r>
      </w:hyperlink>
    </w:p>
    <w:p>
      <w:pPr>
        <w:spacing w:after="80"/>
        <w:ind w:left="425" w:hanging="425"/>
      </w:pPr>
      <w:bookmarkStart w:id="9010" w:name="ref_10"/>
      <w:bookmarkEnd w:id="9010"/>
      <w:r>
        <w:rPr>
          <w:sz w:val="20"/>
        </w:rPr>
        <w:t>10.</w:t>
        <w:tab/>
      </w:r>
      <w:r>
        <w:rPr>
          <w:sz w:val="20"/>
        </w:rPr>
        <w:t xml:space="preserve">Bodalal Z, Trebeschi S, Nguyen-Kim TDL, et al. Radiogenomics: bridging imaging and genomics. Abdom Radiol. 2019;44:1960–1984. </w:t>
      </w:r>
      <w:hyperlink r:id="rId24" w:history="1">
        <w:r>
          <w:rPr>
            <w:color w:val="0563C1"/>
            <w:u w:val="single"/>
            <w:sz w:val="20"/>
          </w:rPr>
          <w:t>doi:10.1007/s00261-019-02028-w</w:t>
        </w:r>
      </w:hyperlink>
    </w:p>
    <w:p>
      <w:pPr>
        <w:spacing w:after="80"/>
        <w:ind w:left="425" w:hanging="425"/>
      </w:pPr>
      <w:bookmarkStart w:id="9011" w:name="ref_11"/>
      <w:bookmarkEnd w:id="9011"/>
      <w:r>
        <w:rPr>
          <w:sz w:val="20"/>
        </w:rPr>
        <w:t>11.</w:t>
        <w:tab/>
      </w:r>
      <w:r>
        <w:rPr>
          <w:sz w:val="20"/>
        </w:rPr>
        <w:t xml:space="preserve">Dercle L, Fronheiser M, Lu L, et al. Identification of Non-Small Cell Lung Cancer Sensitive to Systemic Cancer Therapies Using Radiomics. Clin Cancer Res. 2020;26:2151–2162. </w:t>
      </w:r>
      <w:hyperlink r:id="rId25" w:history="1">
        <w:r>
          <w:rPr>
            <w:color w:val="0563C1"/>
            <w:u w:val="single"/>
            <w:sz w:val="20"/>
          </w:rPr>
          <w:t>doi:10.1158/1078-0432.CCR-19-2942</w:t>
        </w:r>
      </w:hyperlink>
    </w:p>
    <w:p>
      <w:pPr>
        <w:spacing w:after="80"/>
        <w:ind w:left="425" w:hanging="425"/>
      </w:pPr>
      <w:bookmarkStart w:id="9012" w:name="ref_12"/>
      <w:bookmarkEnd w:id="9012"/>
      <w:r>
        <w:rPr>
          <w:sz w:val="20"/>
        </w:rPr>
        <w:t>12.</w:t>
        <w:tab/>
      </w:r>
      <w:r>
        <w:rPr>
          <w:sz w:val="20"/>
        </w:rPr>
        <w:t xml:space="preserve">Trebeschi S, Drago SG, Birkbak NJ, et al. Predicting Response to Cancer Immunotherapy Using Noninvasive Radiomic Biomarkers. Ann Oncol. 2019;30:998–1004. </w:t>
      </w:r>
      <w:hyperlink r:id="rId26" w:history="1">
        <w:r>
          <w:rPr>
            <w:color w:val="0563C1"/>
            <w:u w:val="single"/>
            <w:sz w:val="20"/>
          </w:rPr>
          <w:t>doi:10.1093/annonc/mdz108</w:t>
        </w:r>
      </w:hyperlink>
    </w:p>
    <w:p>
      <w:pPr>
        <w:spacing w:after="80"/>
        <w:ind w:left="425" w:hanging="425"/>
      </w:pPr>
      <w:bookmarkStart w:id="9013" w:name="ref_13"/>
      <w:bookmarkEnd w:id="9013"/>
      <w:r>
        <w:rPr>
          <w:sz w:val="20"/>
        </w:rPr>
        <w:t>13.</w:t>
        <w:tab/>
      </w:r>
      <w:r>
        <w:rPr>
          <w:sz w:val="20"/>
        </w:rPr>
        <w:t xml:space="preserve">Cheerla A, Gevaert O. Deep Learning with Multimodal Representation for Pancancer Prognosis Prediction. Bioinformatics. 2019;35:i446–i454. </w:t>
      </w:r>
      <w:hyperlink r:id="rId27" w:history="1">
        <w:r>
          <w:rPr>
            <w:color w:val="0563C1"/>
            <w:u w:val="single"/>
            <w:sz w:val="20"/>
          </w:rPr>
          <w:t>doi:10.1093/bioinformatics/btz342</w:t>
        </w:r>
      </w:hyperlink>
    </w:p>
    <w:p>
      <w:pPr>
        <w:spacing w:after="80"/>
        <w:ind w:left="425" w:hanging="425"/>
      </w:pPr>
      <w:bookmarkStart w:id="9014" w:name="ref_14"/>
      <w:bookmarkEnd w:id="9014"/>
      <w:r>
        <w:rPr>
          <w:sz w:val="20"/>
        </w:rPr>
        <w:t>14.</w:t>
        <w:tab/>
      </w:r>
      <w:r>
        <w:rPr>
          <w:sz w:val="20"/>
        </w:rPr>
        <w:t xml:space="preserve">Ma M, Ren J, Zhao L, et al. SMIL: Multimodal Learning with Severely Missing Modality. Proc AAAI Conf Artif Intell. 2021;35(3):2302–2310. </w:t>
      </w:r>
      <w:hyperlink r:id="rId28" w:history="1">
        <w:r>
          <w:rPr>
            <w:color w:val="0563C1"/>
            <w:u w:val="single"/>
            <w:sz w:val="20"/>
          </w:rPr>
          <w:t>doi:10.1609/aaai.v35i3.16330</w:t>
        </w:r>
      </w:hyperlink>
    </w:p>
    <w:p>
      <w:pPr>
        <w:spacing w:after="80"/>
        <w:ind w:left="425" w:hanging="425"/>
      </w:pPr>
      <w:bookmarkStart w:id="9015" w:name="ref_15"/>
      <w:bookmarkEnd w:id="9015"/>
      <w:r>
        <w:rPr>
          <w:sz w:val="20"/>
        </w:rPr>
        <w:t>15.</w:t>
        <w:tab/>
      </w:r>
      <w:r>
        <w:rPr>
          <w:sz w:val="20"/>
        </w:rPr>
        <w:t xml:space="preserve">Vanguri RS, Luo J, Aukerman AT, et al. Multimodal integration of radiology, pathology and genomics for prediction of response to PD-(L)1 blockade in patients with non-small cell lung cancer. Nat Cancer. 2022;3(10):1151–1164. </w:t>
      </w:r>
      <w:hyperlink r:id="rId29" w:history="1">
        <w:r>
          <w:rPr>
            <w:color w:val="0563C1"/>
            <w:u w:val="single"/>
            <w:sz w:val="20"/>
          </w:rPr>
          <w:t>doi:10.1038/s43018-022-00416-8</w:t>
        </w:r>
      </w:hyperlink>
    </w:p>
    <w:p>
      <w:pPr>
        <w:spacing w:after="80"/>
        <w:ind w:left="425" w:hanging="425"/>
      </w:pPr>
      <w:bookmarkStart w:id="9016" w:name="ref_16"/>
      <w:bookmarkEnd w:id="9016"/>
      <w:r>
        <w:rPr>
          <w:sz w:val="20"/>
        </w:rPr>
        <w:t>16.</w:t>
        <w:tab/>
      </w:r>
      <w:r>
        <w:rPr>
          <w:sz w:val="20"/>
        </w:rPr>
        <w:t xml:space="preserve">Reimers N, Gurevych I. Sentence-BERT: Sentence Embeddings using Siamese BERT-Networks. Proc 2019 Conf Empir Methods Nat Lang Process and 9th Int Jt Conf Nat Lang Process (EMNLP-IJCNLP). 2019:3982–3992. </w:t>
      </w:r>
      <w:hyperlink r:id="rId30" w:history="1">
        <w:r>
          <w:rPr>
            <w:color w:val="0563C1"/>
            <w:u w:val="single"/>
            <w:sz w:val="20"/>
          </w:rPr>
          <w:t>doi:10.18653/v1/D19-1410</w:t>
        </w:r>
      </w:hyperlink>
    </w:p>
    <w:p>
      <w:pPr>
        <w:spacing w:after="80"/>
        <w:ind w:left="425" w:hanging="425"/>
      </w:pPr>
      <w:bookmarkStart w:id="9017" w:name="ref_17"/>
      <w:bookmarkEnd w:id="9017"/>
      <w:r>
        <w:rPr>
          <w:sz w:val="20"/>
        </w:rPr>
        <w:t>17.</w:t>
        <w:tab/>
      </w:r>
      <w:r>
        <w:rPr>
          <w:sz w:val="20"/>
        </w:rPr>
        <w:t>Wang W, Wei F, Dong L, et al. MiniLM: Deep Self-Attention Distillation for Task-Agnostic Compression of Pre-Trained Transformers. Adv Neural Inf Process Syst (NeurIPS). 2020;33:5776–5788.</w:t>
      </w:r>
      <w:r>
        <w:rPr>
          <w:sz w:val="20"/>
        </w:rPr>
        <w:t xml:space="preserve"> </w:t>
      </w:r>
      <w:hyperlink r:id="rId31" w:history="1">
        <w:r>
          <w:rPr>
            <w:color w:val="0563C1"/>
            <w:u w:val="single"/>
            <w:sz w:val="20"/>
          </w:rPr>
          <w:t>https://arxiv.org/abs/2002.10957</w:t>
        </w:r>
      </w:hyperlink>
    </w:p>
    <w:p>
      <w:pPr>
        <w:spacing w:after="80"/>
        <w:ind w:left="425" w:hanging="425"/>
      </w:pPr>
      <w:bookmarkStart w:id="9018" w:name="ref_18"/>
      <w:bookmarkEnd w:id="9018"/>
      <w:r>
        <w:rPr>
          <w:sz w:val="20"/>
        </w:rPr>
        <w:t>18.</w:t>
        <w:tab/>
      </w:r>
      <w:r>
        <w:rPr>
          <w:sz w:val="20"/>
        </w:rPr>
        <w:t xml:space="preserve">Alsentzer E, Murphy JR, Boag W, et al. Publicly Available Clinical BERT Embeddings. Proc 2nd Clinical Nat Lang Process Workshop. 2019:72–78. </w:t>
      </w:r>
      <w:hyperlink r:id="rId32" w:history="1">
        <w:r>
          <w:rPr>
            <w:color w:val="0563C1"/>
            <w:u w:val="single"/>
            <w:sz w:val="20"/>
          </w:rPr>
          <w:t>doi:10.18653/v1/W19-1909</w:t>
        </w:r>
      </w:hyperlink>
    </w:p>
    <w:p>
      <w:pPr>
        <w:spacing w:after="80"/>
        <w:ind w:left="425" w:hanging="425"/>
      </w:pPr>
      <w:bookmarkStart w:id="9019" w:name="ref_19"/>
      <w:bookmarkEnd w:id="9019"/>
      <w:r>
        <w:rPr>
          <w:sz w:val="20"/>
        </w:rPr>
        <w:t>19.</w:t>
        <w:tab/>
      </w:r>
      <w:r>
        <w:rPr>
          <w:sz w:val="20"/>
        </w:rPr>
        <w:t xml:space="preserve">van Griethuysen JJM, Fedorov A, Parmar C, et al. Computational Radiomics System to Decode the Radiographic Phenotype. Cancer Res. 2017;77(21):e104–e107. </w:t>
      </w:r>
      <w:hyperlink r:id="rId33" w:history="1">
        <w:r>
          <w:rPr>
            <w:color w:val="0563C1"/>
            <w:u w:val="single"/>
            <w:sz w:val="20"/>
          </w:rPr>
          <w:t>doi:10.1158/0008-5472.CAN-17-0339</w:t>
        </w:r>
      </w:hyperlink>
    </w:p>
    <w:p>
      <w:pPr>
        <w:spacing w:after="80"/>
        <w:ind w:left="425" w:hanging="425"/>
      </w:pPr>
      <w:bookmarkStart w:id="9020" w:name="ref_20"/>
      <w:bookmarkEnd w:id="9020"/>
      <w:r>
        <w:rPr>
          <w:sz w:val="20"/>
        </w:rPr>
        <w:t>20.</w:t>
        <w:tab/>
      </w:r>
      <w:r>
        <w:rPr>
          <w:sz w:val="20"/>
        </w:rPr>
        <w:t xml:space="preserve">Cheng DT, Mitchell TN, Zehir A, et al. Memorial Sloan Kettering-Integrated Mutation Profiling of Actionable Cancer Targets (MSK-IMPACT): A Hybridization Capture-Based Next-Generation Sequencing Clinical Assay for Solid Tumor Molecular Oncology. J Mol Diagn. 2015;17(3):251–264. </w:t>
      </w:r>
      <w:hyperlink r:id="rId34" w:history="1">
        <w:r>
          <w:rPr>
            <w:color w:val="0563C1"/>
            <w:u w:val="single"/>
            <w:sz w:val="20"/>
          </w:rPr>
          <w:t>doi:10.1016/j.jmoldx.2014.12.006</w:t>
        </w:r>
      </w:hyperlink>
    </w:p>
    <w:p>
      <w:pPr>
        <w:spacing w:after="80"/>
        <w:ind w:left="425" w:hanging="425"/>
      </w:pPr>
      <w:bookmarkStart w:id="9021" w:name="ref_21"/>
      <w:bookmarkEnd w:id="9021"/>
      <w:r>
        <w:rPr>
          <w:sz w:val="20"/>
        </w:rPr>
        <w:t>21.</w:t>
        <w:tab/>
      </w:r>
      <w:r>
        <w:rPr>
          <w:sz w:val="20"/>
        </w:rPr>
        <w:t>Vaswani A, Shazeer N, Parmar N, et al. Attention Is All You Need. Adv Neural Inf Process Syst (NeurIPS). 2017;30:5998–6008.</w:t>
      </w:r>
      <w:r>
        <w:rPr>
          <w:sz w:val="20"/>
        </w:rPr>
        <w:t xml:space="preserve"> </w:t>
      </w:r>
      <w:hyperlink r:id="rId35" w:history="1">
        <w:r>
          <w:rPr>
            <w:color w:val="0563C1"/>
            <w:u w:val="single"/>
            <w:sz w:val="20"/>
          </w:rPr>
          <w:t>https://arxiv.org/abs/1706.03762</w:t>
        </w:r>
      </w:hyperlink>
    </w:p>
    <w:p>
      <w:pPr>
        <w:spacing w:after="80"/>
        <w:ind w:left="425" w:hanging="425"/>
      </w:pPr>
      <w:bookmarkStart w:id="9022" w:name="ref_22"/>
      <w:bookmarkEnd w:id="9022"/>
      <w:r>
        <w:rPr>
          <w:sz w:val="20"/>
        </w:rPr>
        <w:t>22.</w:t>
        <w:tab/>
      </w:r>
      <w:r>
        <w:rPr>
          <w:sz w:val="20"/>
        </w:rPr>
        <w:t>Rifkin R, Klautau A. In Defense of One-Vs-All Classification. J Mach Learn Res. 2004;5:101–141.</w:t>
      </w:r>
      <w:r>
        <w:rPr>
          <w:sz w:val="20"/>
        </w:rPr>
        <w:t xml:space="preserve"> </w:t>
      </w:r>
      <w:hyperlink r:id="rId36" w:history="1">
        <w:r>
          <w:rPr>
            <w:color w:val="0563C1"/>
            <w:u w:val="single"/>
            <w:sz w:val="20"/>
          </w:rPr>
          <w:t>https://www.jmlr.org/papers/v5/rifkin04a.html</w:t>
        </w:r>
      </w:hyperlink>
    </w:p>
    <w:p>
      <w:pPr>
        <w:spacing w:after="80"/>
        <w:ind w:left="425" w:hanging="425"/>
      </w:pPr>
      <w:bookmarkStart w:id="9023" w:name="ref_23"/>
      <w:bookmarkEnd w:id="9023"/>
      <w:r>
        <w:rPr>
          <w:sz w:val="20"/>
        </w:rPr>
        <w:t>23.</w:t>
        <w:tab/>
      </w:r>
      <w:r>
        <w:rPr>
          <w:sz w:val="20"/>
        </w:rPr>
        <w:t xml:space="preserve">DeLong ER, DeLong DM, Clarke-Pearson DL. Comparing the Areas under Two or More Correlated Receiver Operating Characteristic Curves: A Nonparametric Approach. Biometrics. 1988;44:837–845. </w:t>
      </w:r>
      <w:hyperlink r:id="rId37" w:history="1">
        <w:r>
          <w:rPr>
            <w:color w:val="0563C1"/>
            <w:u w:val="single"/>
            <w:sz w:val="20"/>
          </w:rPr>
          <w:t>doi:10.2307/2531595</w:t>
        </w:r>
      </w:hyperlink>
    </w:p>
    <w:p>
      <w:pPr>
        <w:spacing w:after="80"/>
        <w:ind w:left="425" w:hanging="425"/>
      </w:pPr>
      <w:bookmarkStart w:id="9024" w:name="ref_24"/>
      <w:bookmarkEnd w:id="9024"/>
      <w:r>
        <w:rPr>
          <w:sz w:val="20"/>
        </w:rPr>
        <w:t>24.</w:t>
        <w:tab/>
      </w:r>
      <w:r>
        <w:rPr>
          <w:sz w:val="20"/>
        </w:rPr>
        <w:t xml:space="preserve">Harrell FE, Lee KL, Mark DB. Multivariable Prognostic Models: Issues in Developing Models, Evaluating Assumptions and Adequacy, and Measuring and Reducing Errors. Stat Med. 1996;15:361–387. </w:t>
      </w:r>
      <w:hyperlink r:id="rId38" w:history="1">
        <w:r>
          <w:rPr>
            <w:color w:val="0563C1"/>
            <w:u w:val="single"/>
            <w:sz w:val="20"/>
          </w:rPr>
          <w:t>doi:10.1002/(SICI)1097-0258(19960229)15:4&lt;361::AID-SIM168&gt;3.0.CO;2-4</w:t>
        </w:r>
      </w:hyperlink>
    </w:p>
    <w:p>
      <w:pPr>
        <w:spacing w:after="80"/>
        <w:ind w:left="425" w:hanging="425"/>
      </w:pPr>
      <w:bookmarkStart w:id="9025" w:name="ref_25"/>
      <w:bookmarkEnd w:id="9025"/>
      <w:r>
        <w:rPr>
          <w:sz w:val="20"/>
        </w:rPr>
        <w:t>25.</w:t>
        <w:tab/>
      </w:r>
      <w:r>
        <w:rPr>
          <w:sz w:val="20"/>
        </w:rPr>
        <w:t xml:space="preserve">Uno H, Cai T, Tian L, Wei LJ. Evaluating Prediction Rules for t-Year Survivors With Censored Regression Models. J Am Stat Assoc. 2007;102(478):527–537. </w:t>
      </w:r>
      <w:hyperlink r:id="rId39" w:history="1">
        <w:r>
          <w:rPr>
            <w:color w:val="0563C1"/>
            <w:u w:val="single"/>
            <w:sz w:val="20"/>
          </w:rPr>
          <w:t>doi:10.1198/016214507000000149</w:t>
        </w:r>
      </w:hyperlink>
    </w:p>
    <w:p>
      <w:pPr>
        <w:spacing w:after="80"/>
        <w:ind w:left="425" w:hanging="425"/>
      </w:pPr>
      <w:bookmarkStart w:id="9026" w:name="ref_26"/>
      <w:bookmarkEnd w:id="9026"/>
      <w:r>
        <w:rPr>
          <w:sz w:val="20"/>
        </w:rPr>
        <w:t>26.</w:t>
        <w:tab/>
      </w:r>
      <w:r>
        <w:rPr>
          <w:sz w:val="20"/>
        </w:rPr>
        <w:t xml:space="preserve">Hung H, Chiang CT. Estimation methods for time-dependent AUC models with survival data. Can J Stat. 2010;38(1):8–26. </w:t>
      </w:r>
      <w:hyperlink r:id="rId40" w:history="1">
        <w:r>
          <w:rPr>
            <w:color w:val="0563C1"/>
            <w:u w:val="single"/>
            <w:sz w:val="20"/>
          </w:rPr>
          <w:t>doi:10.1002/cjs.10046</w:t>
        </w:r>
      </w:hyperlink>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doi.org/10.3322/caac.21820" TargetMode="External"/><Relationship Id="rId16" Type="http://schemas.openxmlformats.org/officeDocument/2006/relationships/hyperlink" Target="https://doi.org/10.1056/NEJMoa1606774" TargetMode="External"/><Relationship Id="rId17" Type="http://schemas.openxmlformats.org/officeDocument/2006/relationships/hyperlink" Target="https://doi.org/10.1056/NEJMoa1507643" TargetMode="External"/><Relationship Id="rId18" Type="http://schemas.openxmlformats.org/officeDocument/2006/relationships/hyperlink" Target="https://doi.org/10.1016/j.cell.2017.01.017" TargetMode="External"/><Relationship Id="rId19" Type="http://schemas.openxmlformats.org/officeDocument/2006/relationships/hyperlink" Target="https://doi.org/10.1016/S0140-6736(15)01281-7" TargetMode="External"/><Relationship Id="rId20" Type="http://schemas.openxmlformats.org/officeDocument/2006/relationships/hyperlink" Target="https://doi.org/10.1016/j.jtho.2016.11.2228" TargetMode="External"/><Relationship Id="rId21" Type="http://schemas.openxmlformats.org/officeDocument/2006/relationships/hyperlink" Target="https://doi.org/10.1126/science.aaa1348" TargetMode="External"/><Relationship Id="rId22" Type="http://schemas.openxmlformats.org/officeDocument/2006/relationships/hyperlink" Target="https://doi.org/10.1001/jamaoncol.2019.1549" TargetMode="External"/><Relationship Id="rId23" Type="http://schemas.openxmlformats.org/officeDocument/2006/relationships/hyperlink" Target="https://doi.org/10.1038/s41568-021-00408-3" TargetMode="External"/><Relationship Id="rId24" Type="http://schemas.openxmlformats.org/officeDocument/2006/relationships/hyperlink" Target="https://doi.org/10.1007/s00261-019-02028-w" TargetMode="External"/><Relationship Id="rId25" Type="http://schemas.openxmlformats.org/officeDocument/2006/relationships/hyperlink" Target="https://doi.org/10.1158/1078-0432.CCR-19-2942" TargetMode="External"/><Relationship Id="rId26" Type="http://schemas.openxmlformats.org/officeDocument/2006/relationships/hyperlink" Target="https://doi.org/10.1093/annonc/mdz108" TargetMode="External"/><Relationship Id="rId27" Type="http://schemas.openxmlformats.org/officeDocument/2006/relationships/hyperlink" Target="https://doi.org/10.1093/bioinformatics/btz342" TargetMode="External"/><Relationship Id="rId28" Type="http://schemas.openxmlformats.org/officeDocument/2006/relationships/hyperlink" Target="https://doi.org/10.1609/aaai.v35i3.16330" TargetMode="External"/><Relationship Id="rId29" Type="http://schemas.openxmlformats.org/officeDocument/2006/relationships/hyperlink" Target="https://doi.org/10.1038/s43018-022-00416-8" TargetMode="External"/><Relationship Id="rId30" Type="http://schemas.openxmlformats.org/officeDocument/2006/relationships/hyperlink" Target="https://doi.org/10.18653/v1/D19-1410" TargetMode="External"/><Relationship Id="rId31" Type="http://schemas.openxmlformats.org/officeDocument/2006/relationships/hyperlink" Target="https://arxiv.org/abs/2002.10957" TargetMode="External"/><Relationship Id="rId32" Type="http://schemas.openxmlformats.org/officeDocument/2006/relationships/hyperlink" Target="https://doi.org/10.18653/v1/W19-1909" TargetMode="External"/><Relationship Id="rId33" Type="http://schemas.openxmlformats.org/officeDocument/2006/relationships/hyperlink" Target="https://doi.org/10.1158/0008-5472.CAN-17-0339" TargetMode="External"/><Relationship Id="rId34" Type="http://schemas.openxmlformats.org/officeDocument/2006/relationships/hyperlink" Target="https://doi.org/10.1016/j.jmoldx.2014.12.006" TargetMode="External"/><Relationship Id="rId35" Type="http://schemas.openxmlformats.org/officeDocument/2006/relationships/hyperlink" Target="https://arxiv.org/abs/1706.03762" TargetMode="External"/><Relationship Id="rId36" Type="http://schemas.openxmlformats.org/officeDocument/2006/relationships/hyperlink" Target="https://www.jmlr.org/papers/v5/rifkin04a.html" TargetMode="External"/><Relationship Id="rId37" Type="http://schemas.openxmlformats.org/officeDocument/2006/relationships/hyperlink" Target="https://doi.org/10.2307/2531595" TargetMode="External"/><Relationship Id="rId38" Type="http://schemas.openxmlformats.org/officeDocument/2006/relationships/hyperlink" Target="https://doi.org/10.1002/(SICI)1097-0258(19960229)15:4%3C361::AID-SIM168%3E3.0.CO;2-4" TargetMode="External"/><Relationship Id="rId39" Type="http://schemas.openxmlformats.org/officeDocument/2006/relationships/hyperlink" Target="https://doi.org/10.1198/016214507000000149" TargetMode="External"/><Relationship Id="rId40" Type="http://schemas.openxmlformats.org/officeDocument/2006/relationships/hyperlink" Target="https://doi.org/10.1002/cjs.100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