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6B7A99"/>
          <w:spacing w:val="60"/>
          <w:sz w:val="24"/>
          <w:szCs w:val="24"/>
        </w:rPr>
        <w:t xml:space="preserve">BÀI LUẬN MẪU</w:t>
      </w:r>
    </w:p>
    <w:p>
      <w:pPr>
        <w:spacing w:after="120"/>
      </w:pPr>
      <w:r>
        <w:rPr>
          <w:rFonts w:ascii="Calibri" w:cs="Calibri" w:eastAsia="Calibri" w:hAnsi="Calibri"/>
          <w:b/>
          <w:bCs/>
          <w:color w:val="1F3864"/>
          <w:sz w:val="38"/>
          <w:szCs w:val="38"/>
        </w:rPr>
        <w:t xml:space="preserve">Artificial Intelligence in Auditing: Advantages, Disadvantages, and a Reasoned Position</w:t>
      </w:r>
    </w:p>
    <w:p>
      <w:pPr>
        <w:spacing w:after="300"/>
      </w:pPr>
      <w:r>
        <w:rPr>
          <w:rFonts w:ascii="Calibri" w:cs="Calibri" w:eastAsia="Calibri" w:hAnsi="Calibri"/>
          <w:i/>
          <w:iCs/>
          <w:color w:val="33415C"/>
          <w:sz w:val="26"/>
          <w:szCs w:val="26"/>
        </w:rPr>
        <w:t xml:space="preserve">Trí tuệ nhân tạo trong kiểm toán: lợi ích, hạn chế và quan điểm cá nhân</w:t>
      </w:r>
    </w:p>
    <w:p>
      <w:pPr>
        <w:pBdr>
          <w:bottom w:val="single" w:color="C9D3E4" w:sz="6" w:space="1"/>
        </w:pBdr>
        <w:spacing w:after="200" w:before="120"/>
      </w:pPr>
      <w:r>
        <w:rPr>
          <w:sz w:val="2"/>
          <w:szCs w:val="2"/>
        </w:rPr>
        <w:t xml:space="preserve"/>
      </w:r>
    </w:p>
    <w:tbl>
      <w:tblPr>
        <w:tblW w:type="dxa" w:w="9360"/>
        <w:tblBorders>
          <w:top w:val="single" w:color="B9C5DA" w:sz="4"/>
          <w:left w:val="single" w:color="B9C5DA" w:sz="4"/>
          <w:bottom w:val="single" w:color="B9C5DA" w:sz="4"/>
          <w:right w:val="single" w:color="B9C5DA" w:sz="4"/>
          <w:insideH w:val="single" w:color="D5DEEC" w:sz="2"/>
          <w:insideV w:val="single" w:color="D5DEEC" w:sz="2"/>
        </w:tblBorders>
      </w:tblPr>
      <w:tblGrid>
        <w:gridCol w:w="2200"/>
        <w:gridCol w:w="7160"/>
      </w:tblGrid>
      <w:tr>
        <w:trPr>
          <w:tblHeader/>
        </w:trPr>
        <w:tc>
          <w:tcPr>
            <w:tcW w:type="dxa" w:w="2200"/>
            <w:shd w:fill="1F3864" w:color="auto" w:val="clear"/>
            <w:tcMar>
              <w:top w:type="dxa" w:w="80"/>
              <w:left w:type="dxa" w:w="120"/>
              <w:bottom w:type="dxa" w:w="80"/>
              <w:right w:type="dxa" w:w="120"/>
            </w:tcMar>
          </w:tcPr>
          <w:p>
            <w:pPr>
              <w:spacing w:after="0" w:line="280"/>
              <w:jc w:val="left"/>
            </w:pPr>
            <w:r>
              <w:rPr>
                <w:rFonts w:ascii="Calibri" w:cs="Calibri" w:eastAsia="Calibri" w:hAnsi="Calibri"/>
                <w:b/>
                <w:bCs/>
                <w:color w:val="FFFFFF"/>
                <w:sz w:val="21"/>
                <w:szCs w:val="21"/>
              </w:rPr>
              <w:t xml:space="preserve">Hạng mục</w:t>
            </w:r>
          </w:p>
        </w:tc>
        <w:tc>
          <w:tcPr>
            <w:tcW w:type="dxa" w:w="7160"/>
            <w:shd w:fill="1F3864" w:color="auto" w:val="clear"/>
            <w:tcMar>
              <w:top w:type="dxa" w:w="80"/>
              <w:left w:type="dxa" w:w="120"/>
              <w:bottom w:type="dxa" w:w="80"/>
              <w:right w:type="dxa" w:w="120"/>
            </w:tcMar>
          </w:tcPr>
          <w:p>
            <w:pPr>
              <w:spacing w:after="0" w:line="280"/>
              <w:jc w:val="left"/>
            </w:pPr>
            <w:r>
              <w:rPr>
                <w:rFonts w:ascii="Calibri" w:cs="Calibri" w:eastAsia="Calibri" w:hAnsi="Calibri"/>
                <w:b/>
                <w:bCs/>
                <w:color w:val="FFFFFF"/>
                <w:sz w:val="21"/>
                <w:szCs w:val="21"/>
              </w:rPr>
              <w:t xml:space="preserve">Thông tin</w:t>
            </w:r>
          </w:p>
        </w:tc>
      </w:tr>
      <w:tr>
        <w:tc>
          <w:tcPr>
            <w:tcW w:type="dxa" w:w="2200"/>
            <w:tcMar>
              <w:top w:type="dxa" w:w="80"/>
              <w:left w:type="dxa" w:w="120"/>
              <w:bottom w:type="dxa" w:w="80"/>
              <w:right w:type="dxa" w:w="120"/>
            </w:tcMar>
          </w:tcPr>
          <w:p>
            <w:pPr>
              <w:spacing w:after="0" w:line="280"/>
              <w:jc w:val="left"/>
            </w:pPr>
            <w:r>
              <w:rPr>
                <w:rFonts w:ascii="Calibri" w:cs="Calibri" w:eastAsia="Calibri" w:hAnsi="Calibri"/>
                <w:b/>
                <w:bCs/>
                <w:color w:val="1A1A1A"/>
                <w:sz w:val="21"/>
                <w:szCs w:val="21"/>
              </w:rPr>
              <w:t xml:space="preserve">Dạng bài</w:t>
            </w:r>
          </w:p>
        </w:tc>
        <w:tc>
          <w:tcPr>
            <w:tcW w:type="dxa" w:w="71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Luận học thuật: nêu lợi ích, nêu hạn chế, rồi đưa quan điểm cá nhân (advantages, disadvantages and your own view)</w:t>
            </w:r>
          </w:p>
        </w:tc>
      </w:tr>
      <w:tr>
        <w:tc>
          <w:tcPr>
            <w:tcW w:type="dxa" w:w="2200"/>
            <w:shd w:fill="F2F5FA" w:color="auto" w:val="clear"/>
            <w:tcMar>
              <w:top w:type="dxa" w:w="80"/>
              <w:left w:type="dxa" w:w="120"/>
              <w:bottom w:type="dxa" w:w="80"/>
              <w:right w:type="dxa" w:w="120"/>
            </w:tcMar>
          </w:tcPr>
          <w:p>
            <w:pPr>
              <w:spacing w:after="0" w:line="280"/>
              <w:jc w:val="left"/>
            </w:pPr>
            <w:r>
              <w:rPr>
                <w:rFonts w:ascii="Calibri" w:cs="Calibri" w:eastAsia="Calibri" w:hAnsi="Calibri"/>
                <w:b/>
                <w:bCs/>
                <w:color w:val="1A1A1A"/>
                <w:sz w:val="21"/>
                <w:szCs w:val="21"/>
              </w:rPr>
              <w:t xml:space="preserve">Đối tượng</w:t>
            </w:r>
          </w:p>
        </w:tc>
        <w:tc>
          <w:tcPr>
            <w:tcW w:type="dxa" w:w="71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Sinh viên kế toán, kiểm toán</w:t>
            </w:r>
          </w:p>
        </w:tc>
      </w:tr>
      <w:tr>
        <w:tc>
          <w:tcPr>
            <w:tcW w:type="dxa" w:w="2200"/>
            <w:tcMar>
              <w:top w:type="dxa" w:w="80"/>
              <w:left w:type="dxa" w:w="120"/>
              <w:bottom w:type="dxa" w:w="80"/>
              <w:right w:type="dxa" w:w="120"/>
            </w:tcMar>
          </w:tcPr>
          <w:p>
            <w:pPr>
              <w:spacing w:after="0" w:line="280"/>
              <w:jc w:val="left"/>
            </w:pPr>
            <w:r>
              <w:rPr>
                <w:rFonts w:ascii="Calibri" w:cs="Calibri" w:eastAsia="Calibri" w:hAnsi="Calibri"/>
                <w:b/>
                <w:bCs/>
                <w:color w:val="1A1A1A"/>
                <w:sz w:val="21"/>
                <w:szCs w:val="21"/>
              </w:rPr>
              <w:t xml:space="preserve">Độ dài bài luận</w:t>
            </w:r>
          </w:p>
        </w:tc>
        <w:tc>
          <w:tcPr>
            <w:tcW w:type="dxa" w:w="71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1.013 từ, 9 đoạn</w:t>
            </w:r>
          </w:p>
        </w:tc>
      </w:tr>
      <w:tr>
        <w:tc>
          <w:tcPr>
            <w:tcW w:type="dxa" w:w="2200"/>
            <w:shd w:fill="F2F5FA" w:color="auto" w:val="clear"/>
            <w:tcMar>
              <w:top w:type="dxa" w:w="80"/>
              <w:left w:type="dxa" w:w="120"/>
              <w:bottom w:type="dxa" w:w="80"/>
              <w:right w:type="dxa" w:w="120"/>
            </w:tcMar>
          </w:tcPr>
          <w:p>
            <w:pPr>
              <w:spacing w:after="0" w:line="280"/>
              <w:jc w:val="left"/>
            </w:pPr>
            <w:r>
              <w:rPr>
                <w:rFonts w:ascii="Calibri" w:cs="Calibri" w:eastAsia="Calibri" w:hAnsi="Calibri"/>
                <w:b/>
                <w:bCs/>
                <w:color w:val="1A1A1A"/>
                <w:sz w:val="21"/>
                <w:szCs w:val="21"/>
              </w:rPr>
              <w:t xml:space="preserve">Ngôn ngữ</w:t>
            </w:r>
          </w:p>
        </w:tc>
        <w:tc>
          <w:tcPr>
            <w:tcW w:type="dxa" w:w="71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Bài luận bằng tiếng Anh, phần phân tích và hướng dẫn bằng tiếng Việt</w:t>
            </w:r>
          </w:p>
        </w:tc>
      </w:tr>
      <w:tr>
        <w:tc>
          <w:tcPr>
            <w:tcW w:type="dxa" w:w="2200"/>
            <w:tcMar>
              <w:top w:type="dxa" w:w="80"/>
              <w:left w:type="dxa" w:w="120"/>
              <w:bottom w:type="dxa" w:w="80"/>
              <w:right w:type="dxa" w:w="120"/>
            </w:tcMar>
          </w:tcPr>
          <w:p>
            <w:pPr>
              <w:spacing w:after="0" w:line="280"/>
              <w:jc w:val="left"/>
            </w:pPr>
            <w:r>
              <w:rPr>
                <w:rFonts w:ascii="Calibri" w:cs="Calibri" w:eastAsia="Calibri" w:hAnsi="Calibri"/>
                <w:b/>
                <w:bCs/>
                <w:color w:val="1A1A1A"/>
                <w:sz w:val="21"/>
                <w:szCs w:val="21"/>
              </w:rPr>
              <w:t xml:space="preserve">Dùng để</w:t>
            </w:r>
          </w:p>
        </w:tc>
        <w:tc>
          <w:tcPr>
            <w:tcW w:type="dxa" w:w="71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Đọc mẫu, phân tích cách lập luận, lấy từ vựng chuyên ngành, làm cơ sở viết bài riêng</w:t>
            </w:r>
          </w:p>
        </w:tc>
      </w:tr>
    </w:tbl>
    <w:p>
      <w:pPr>
        <w:spacing w:before="300"/>
      </w:pPr>
      <w:r>
        <w:t xml:space="preserve"/>
      </w:r>
    </w:p>
    <w:p>
      <w:pPr>
        <w:pBdr>
          <w:left w:val="single" w:color="1F3864" w:sz="12" w:space="10"/>
        </w:pBdr>
        <w:spacing w:after="180" w:before="120" w:line="300"/>
        <w:ind w:left="431"/>
      </w:pPr>
      <w:r>
        <w:rPr>
          <w:rFonts w:ascii="Calibri" w:cs="Calibri" w:eastAsia="Calibri" w:hAnsi="Calibri"/>
          <w:i/>
          <w:iCs/>
          <w:color w:val="33415C"/>
          <w:sz w:val="22"/>
          <w:szCs w:val="22"/>
        </w:rPr>
        <w:t xml:space="preserve">Một bài luận tốt không thắng nhờ từ khó. Nó thắng nhờ người đọc hiểu chính xác bạn đang nói gì và tại sao bạn tin điều đó.</w:t>
      </w:r>
    </w:p>
    <w:p>
      <w:r>
        <w:br w:type="page"/>
      </w:r>
    </w:p>
    <w:p>
      <w:pPr>
        <w:pStyle w:val="Heading1"/>
        <w:spacing w:after="180" w:before="360"/>
      </w:pPr>
      <w:r>
        <w:rPr>
          <w:rFonts w:ascii="Calibri" w:cs="Calibri" w:eastAsia="Calibri" w:hAnsi="Calibri"/>
          <w:b/>
          <w:bCs/>
          <w:color w:val="1F3864"/>
          <w:sz w:val="30"/>
          <w:szCs w:val="30"/>
        </w:rPr>
        <w:t xml:space="preserve">1. Đề bài và yêu cầu</w:t>
      </w:r>
    </w:p>
    <w:p>
      <w:pPr>
        <w:spacing w:after="140" w:line="300"/>
        <w:jc w:val="both"/>
      </w:pPr>
      <w:r>
        <w:rPr>
          <w:rFonts w:ascii="Calibri" w:cs="Calibri" w:eastAsia="Calibri" w:hAnsi="Calibri"/>
          <w:b w:val="false"/>
          <w:bCs w:val="false"/>
          <w:i w:val="false"/>
          <w:iCs w:val="false"/>
          <w:color w:val="1A1A1A"/>
          <w:sz w:val="22"/>
          <w:szCs w:val="22"/>
        </w:rPr>
        <w:t xml:space="preserve">Đề bài được dùng cho bài mẫu này:</w:t>
      </w:r>
    </w:p>
    <w:p>
      <w:pPr>
        <w:pBdr>
          <w:left w:val="single" w:color="1F3864" w:sz="12" w:space="10"/>
        </w:pBdr>
        <w:spacing w:after="180" w:before="120" w:line="300"/>
        <w:ind w:left="431"/>
      </w:pPr>
      <w:r>
        <w:rPr>
          <w:rFonts w:ascii="Calibri" w:cs="Calibri" w:eastAsia="Calibri" w:hAnsi="Calibri"/>
          <w:i/>
          <w:iCs/>
          <w:color w:val="33415C"/>
          <w:sz w:val="22"/>
          <w:szCs w:val="22"/>
        </w:rPr>
        <w:t xml:space="preserve">Artificial intelligence is increasingly used in the audit process. What are the advantages and disadvantages of this development? Give your own opinion.</w:t>
      </w:r>
    </w:p>
    <w:p>
      <w:pPr>
        <w:spacing w:after="140" w:line="300"/>
        <w:jc w:val="both"/>
      </w:pPr>
      <w:r>
        <w:rPr>
          <w:rFonts w:ascii="Calibri" w:cs="Calibri" w:eastAsia="Calibri" w:hAnsi="Calibri"/>
          <w:b w:val="false"/>
          <w:bCs w:val="false"/>
          <w:i w:val="false"/>
          <w:iCs w:val="false"/>
          <w:color w:val="1A1A1A"/>
          <w:sz w:val="22"/>
          <w:szCs w:val="22"/>
        </w:rPr>
        <w:t xml:space="preserve">Đề có ba yêu cầu riêng biệt, và bỏ sót một yêu cầu là lỗi nặng nhất ở dạng bài này:</w:t>
      </w:r>
    </w:p>
    <w:p>
      <w:pPr>
        <w:pStyle w:val="ListParagraph"/>
        <w:numPr>
          <w:ilvl w:val="0"/>
          <w:numId w:val="2"/>
        </w:numPr>
        <w:spacing w:after="90" w:line="300"/>
        <w:jc w:val="both"/>
      </w:pPr>
      <w:r>
        <w:rPr>
          <w:rFonts w:ascii="Calibri" w:cs="Calibri" w:eastAsia="Calibri" w:hAnsi="Calibri"/>
          <w:sz w:val="22"/>
          <w:szCs w:val="22"/>
        </w:rPr>
        <w:t xml:space="preserve">Nêu lợi ích. Không phải liệt kê cho đủ số lượng, mà chọn vài lợi ích quan trọng rồi giải thích đến cùng.</w:t>
      </w:r>
    </w:p>
    <w:p>
      <w:pPr>
        <w:pStyle w:val="ListParagraph"/>
        <w:numPr>
          <w:ilvl w:val="0"/>
          <w:numId w:val="2"/>
        </w:numPr>
        <w:spacing w:after="90" w:line="300"/>
        <w:jc w:val="both"/>
      </w:pPr>
      <w:r>
        <w:rPr>
          <w:rFonts w:ascii="Calibri" w:cs="Calibri" w:eastAsia="Calibri" w:hAnsi="Calibri"/>
          <w:sz w:val="22"/>
          <w:szCs w:val="22"/>
        </w:rPr>
        <w:t xml:space="preserve">Nêu hạn chế. Phải là hạn chế thật, có thể chứng minh, không phải lo ngại chung chung kiểu "máy móc không có cảm xúc".</w:t>
      </w:r>
    </w:p>
    <w:p>
      <w:pPr>
        <w:pStyle w:val="ListParagraph"/>
        <w:numPr>
          <w:ilvl w:val="0"/>
          <w:numId w:val="2"/>
        </w:numPr>
        <w:spacing w:after="90" w:line="300"/>
        <w:jc w:val="both"/>
      </w:pPr>
      <w:r>
        <w:rPr>
          <w:rFonts w:ascii="Calibri" w:cs="Calibri" w:eastAsia="Calibri" w:hAnsi="Calibri"/>
          <w:sz w:val="22"/>
          <w:szCs w:val="22"/>
        </w:rPr>
        <w:t xml:space="preserve">Đưa quan điểm cá nhân. Quan điểm phải trả lời được câu hỏi: theo bạn, nên hay không nên, và trong điều kiện nào.</w:t>
      </w:r>
    </w:p>
    <w:p>
      <w:pPr>
        <w:pStyle w:val="Heading3"/>
        <w:spacing w:after="100" w:before="200"/>
      </w:pPr>
      <w:r>
        <w:rPr>
          <w:rFonts w:ascii="Calibri" w:cs="Calibri" w:eastAsia="Calibri" w:hAnsi="Calibri"/>
          <w:b/>
          <w:bCs/>
          <w:color w:val="2E5A9C"/>
          <w:sz w:val="23"/>
          <w:szCs w:val="23"/>
        </w:rPr>
        <w:t xml:space="preserve">Một lưu ý về quan điểm cá nhân</w:t>
      </w:r>
    </w:p>
    <w:p>
      <w:pPr>
        <w:spacing w:after="140" w:line="300"/>
        <w:jc w:val="both"/>
      </w:pPr>
      <w:r>
        <w:rPr>
          <w:rFonts w:ascii="Calibri" w:cs="Calibri" w:eastAsia="Calibri" w:hAnsi="Calibri"/>
          <w:b w:val="false"/>
          <w:bCs w:val="false"/>
          <w:i w:val="false"/>
          <w:iCs w:val="false"/>
          <w:color w:val="1A1A1A"/>
          <w:sz w:val="22"/>
          <w:szCs w:val="22"/>
        </w:rPr>
        <w:t xml:space="preserve">Nhiều bài viết đến phần quan điểm thì viết một câu vô hại kiểu "cả hai mặt đều quan trọng, cần cân bằng". Câu đó không sai nhưng cũng không nói gì. Quan điểm mạnh là quan điểm có điều kiện rõ ràng: lợi ích lớn hơn hạn chế khi nào, và nhỏ hơn khi nào. Bài mẫu dưới đây chọn cách đó.</w:t>
      </w:r>
    </w:p>
    <w:p>
      <w:pPr>
        <w:pStyle w:val="Heading1"/>
        <w:spacing w:after="180" w:before="360"/>
      </w:pPr>
      <w:r>
        <w:rPr>
          <w:rFonts w:ascii="Calibri" w:cs="Calibri" w:eastAsia="Calibri" w:hAnsi="Calibri"/>
          <w:b/>
          <w:bCs/>
          <w:color w:val="1F3864"/>
          <w:sz w:val="30"/>
          <w:szCs w:val="30"/>
        </w:rPr>
        <w:t xml:space="preserve">2. Dàn ý chi tiết</w:t>
      </w:r>
    </w:p>
    <w:p>
      <w:pPr>
        <w:spacing w:after="140" w:line="300"/>
        <w:jc w:val="both"/>
      </w:pPr>
      <w:r>
        <w:rPr>
          <w:rFonts w:ascii="Calibri" w:cs="Calibri" w:eastAsia="Calibri" w:hAnsi="Calibri"/>
          <w:b w:val="false"/>
          <w:bCs w:val="false"/>
          <w:i w:val="false"/>
          <w:iCs w:val="false"/>
          <w:color w:val="1A1A1A"/>
          <w:sz w:val="22"/>
          <w:szCs w:val="22"/>
        </w:rPr>
        <w:t xml:space="preserve">Cấu trúc bảy đoạn. Phần lợi ích và phần hạn chế cân nhau về dung lượng để bài không bị lệch, sau đó một đoạn riêng dành cho quan điểm.</w:t>
      </w:r>
    </w:p>
    <w:tbl>
      <w:tblPr>
        <w:tblW w:type="dxa" w:w="9360"/>
        <w:tblBorders>
          <w:top w:val="single" w:color="B9C5DA" w:sz="4"/>
          <w:left w:val="single" w:color="B9C5DA" w:sz="4"/>
          <w:bottom w:val="single" w:color="B9C5DA" w:sz="4"/>
          <w:right w:val="single" w:color="B9C5DA" w:sz="4"/>
          <w:insideH w:val="single" w:color="D5DEEC" w:sz="2"/>
          <w:insideV w:val="single" w:color="D5DEEC" w:sz="2"/>
        </w:tblBorders>
      </w:tblPr>
      <w:tblGrid>
        <w:gridCol w:w="700"/>
        <w:gridCol w:w="1600"/>
        <w:gridCol w:w="5460"/>
        <w:gridCol w:w="1600"/>
      </w:tblGrid>
      <w:tr>
        <w:trPr>
          <w:tblHeader/>
        </w:trPr>
        <w:tc>
          <w:tcPr>
            <w:tcW w:type="dxa" w:w="700"/>
            <w:shd w:fill="1F3864" w:color="auto" w:val="clear"/>
            <w:tcMar>
              <w:top w:type="dxa" w:w="80"/>
              <w:left w:type="dxa" w:w="120"/>
              <w:bottom w:type="dxa" w:w="80"/>
              <w:right w:type="dxa" w:w="120"/>
            </w:tcMar>
          </w:tcPr>
          <w:p>
            <w:pPr>
              <w:spacing w:after="0" w:line="280"/>
              <w:jc w:val="left"/>
            </w:pPr>
            <w:r>
              <w:rPr>
                <w:rFonts w:ascii="Calibri" w:cs="Calibri" w:eastAsia="Calibri" w:hAnsi="Calibri"/>
                <w:b/>
                <w:bCs/>
                <w:color w:val="FFFFFF"/>
                <w:sz w:val="21"/>
                <w:szCs w:val="21"/>
              </w:rPr>
              <w:t xml:space="preserve">Đoạn</w:t>
            </w:r>
          </w:p>
        </w:tc>
        <w:tc>
          <w:tcPr>
            <w:tcW w:type="dxa" w:w="1600"/>
            <w:shd w:fill="1F3864" w:color="auto" w:val="clear"/>
            <w:tcMar>
              <w:top w:type="dxa" w:w="80"/>
              <w:left w:type="dxa" w:w="120"/>
              <w:bottom w:type="dxa" w:w="80"/>
              <w:right w:type="dxa" w:w="120"/>
            </w:tcMar>
          </w:tcPr>
          <w:p>
            <w:pPr>
              <w:spacing w:after="0" w:line="280"/>
              <w:jc w:val="left"/>
            </w:pPr>
            <w:r>
              <w:rPr>
                <w:rFonts w:ascii="Calibri" w:cs="Calibri" w:eastAsia="Calibri" w:hAnsi="Calibri"/>
                <w:b/>
                <w:bCs/>
                <w:color w:val="FFFFFF"/>
                <w:sz w:val="21"/>
                <w:szCs w:val="21"/>
              </w:rPr>
              <w:t xml:space="preserve">Chức năng</w:t>
            </w:r>
          </w:p>
        </w:tc>
        <w:tc>
          <w:tcPr>
            <w:tcW w:type="dxa" w:w="5460"/>
            <w:shd w:fill="1F3864" w:color="auto" w:val="clear"/>
            <w:tcMar>
              <w:top w:type="dxa" w:w="80"/>
              <w:left w:type="dxa" w:w="120"/>
              <w:bottom w:type="dxa" w:w="80"/>
              <w:right w:type="dxa" w:w="120"/>
            </w:tcMar>
          </w:tcPr>
          <w:p>
            <w:pPr>
              <w:spacing w:after="0" w:line="280"/>
              <w:jc w:val="left"/>
            </w:pPr>
            <w:r>
              <w:rPr>
                <w:rFonts w:ascii="Calibri" w:cs="Calibri" w:eastAsia="Calibri" w:hAnsi="Calibri"/>
                <w:b/>
                <w:bCs/>
                <w:color w:val="FFFFFF"/>
                <w:sz w:val="21"/>
                <w:szCs w:val="21"/>
              </w:rPr>
              <w:t xml:space="preserve">Nội dung chính</w:t>
            </w:r>
          </w:p>
        </w:tc>
        <w:tc>
          <w:tcPr>
            <w:tcW w:type="dxa" w:w="1600"/>
            <w:shd w:fill="1F3864" w:color="auto" w:val="clear"/>
            <w:tcMar>
              <w:top w:type="dxa" w:w="80"/>
              <w:left w:type="dxa" w:w="120"/>
              <w:bottom w:type="dxa" w:w="80"/>
              <w:right w:type="dxa" w:w="120"/>
            </w:tcMar>
          </w:tcPr>
          <w:p>
            <w:pPr>
              <w:spacing w:after="0" w:line="280"/>
              <w:jc w:val="left"/>
            </w:pPr>
            <w:r>
              <w:rPr>
                <w:rFonts w:ascii="Calibri" w:cs="Calibri" w:eastAsia="Calibri" w:hAnsi="Calibri"/>
                <w:b/>
                <w:bCs/>
                <w:color w:val="FFFFFF"/>
                <w:sz w:val="21"/>
                <w:szCs w:val="21"/>
              </w:rPr>
              <w:t xml:space="preserve">Số từ</w:t>
            </w:r>
          </w:p>
        </w:tc>
      </w:tr>
      <w:tr>
        <w:tc>
          <w:tcPr>
            <w:tcW w:type="dxa" w:w="7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1</w:t>
            </w:r>
          </w:p>
        </w:tc>
        <w:tc>
          <w:tcPr>
            <w:tcW w:type="dxa" w:w="16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Mở bài</w:t>
            </w:r>
          </w:p>
        </w:tc>
        <w:tc>
          <w:tcPr>
            <w:tcW w:type="dxa" w:w="54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Bối cảnh ngành kiểm toán đang tự động hoá, nêu lại ba nhiệm vụ của bài</w:t>
            </w:r>
          </w:p>
        </w:tc>
        <w:tc>
          <w:tcPr>
            <w:tcW w:type="dxa" w:w="16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98</w:t>
            </w:r>
          </w:p>
        </w:tc>
      </w:tr>
      <w:tr>
        <w:tc>
          <w:tcPr>
            <w:tcW w:type="dxa" w:w="7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2</w:t>
            </w:r>
          </w:p>
        </w:tc>
        <w:tc>
          <w:tcPr>
            <w:tcW w:type="dxa" w:w="16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Lợi ích 1</w:t>
            </w:r>
          </w:p>
        </w:tc>
        <w:tc>
          <w:tcPr>
            <w:tcW w:type="dxa" w:w="54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Phạm vi kiểm tra: từ chọn mẫu sang kiểm tra toàn bộ tổng thể</w:t>
            </w:r>
          </w:p>
        </w:tc>
        <w:tc>
          <w:tcPr>
            <w:tcW w:type="dxa" w:w="16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110</w:t>
            </w:r>
          </w:p>
        </w:tc>
      </w:tr>
      <w:tr>
        <w:tc>
          <w:tcPr>
            <w:tcW w:type="dxa" w:w="7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3</w:t>
            </w:r>
          </w:p>
        </w:tc>
        <w:tc>
          <w:tcPr>
            <w:tcW w:type="dxa" w:w="16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Lợi ích 2</w:t>
            </w:r>
          </w:p>
        </w:tc>
        <w:tc>
          <w:tcPr>
            <w:tcW w:type="dxa" w:w="54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Thời điểm phát hiện: từ kiểm toán cuối năm sang theo dõi liên tục</w:t>
            </w:r>
          </w:p>
        </w:tc>
        <w:tc>
          <w:tcPr>
            <w:tcW w:type="dxa" w:w="16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93</w:t>
            </w:r>
          </w:p>
        </w:tc>
      </w:tr>
      <w:tr>
        <w:tc>
          <w:tcPr>
            <w:tcW w:type="dxa" w:w="7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4</w:t>
            </w:r>
          </w:p>
        </w:tc>
        <w:tc>
          <w:tcPr>
            <w:tcW w:type="dxa" w:w="16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Lợi ích 3</w:t>
            </w:r>
          </w:p>
        </w:tc>
        <w:tc>
          <w:tcPr>
            <w:tcW w:type="dxa" w:w="54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Phân bổ lại nguồn lực: người làm phần xét đoán, máy làm phần cơ học</w:t>
            </w:r>
          </w:p>
        </w:tc>
        <w:tc>
          <w:tcPr>
            <w:tcW w:type="dxa" w:w="16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97</w:t>
            </w:r>
          </w:p>
        </w:tc>
      </w:tr>
      <w:tr>
        <w:tc>
          <w:tcPr>
            <w:tcW w:type="dxa" w:w="7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5</w:t>
            </w:r>
          </w:p>
        </w:tc>
        <w:tc>
          <w:tcPr>
            <w:tcW w:type="dxa" w:w="16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Hạn chế 1</w:t>
            </w:r>
          </w:p>
        </w:tc>
        <w:tc>
          <w:tcPr>
            <w:tcW w:type="dxa" w:w="54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Tính giải trình của bằng chứng kiểm toán, vấn đề hộp đen</w:t>
            </w:r>
          </w:p>
        </w:tc>
        <w:tc>
          <w:tcPr>
            <w:tcW w:type="dxa" w:w="16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128</w:t>
            </w:r>
          </w:p>
        </w:tc>
      </w:tr>
      <w:tr>
        <w:tc>
          <w:tcPr>
            <w:tcW w:type="dxa" w:w="7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6</w:t>
            </w:r>
          </w:p>
        </w:tc>
        <w:tc>
          <w:tcPr>
            <w:tcW w:type="dxa" w:w="16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Hạn chế 2</w:t>
            </w:r>
          </w:p>
        </w:tc>
        <w:tc>
          <w:tcPr>
            <w:tcW w:type="dxa" w:w="54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Chất lượng dữ liệu, phụ thuộc quá mức, mai một thái độ nghề nghiệp</w:t>
            </w:r>
          </w:p>
        </w:tc>
        <w:tc>
          <w:tcPr>
            <w:tcW w:type="dxa" w:w="16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130</w:t>
            </w:r>
          </w:p>
        </w:tc>
      </w:tr>
      <w:tr>
        <w:tc>
          <w:tcPr>
            <w:tcW w:type="dxa" w:w="7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7</w:t>
            </w:r>
          </w:p>
        </w:tc>
        <w:tc>
          <w:tcPr>
            <w:tcW w:type="dxa" w:w="16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Hạn chế 3</w:t>
            </w:r>
          </w:p>
        </w:tc>
        <w:tc>
          <w:tcPr>
            <w:tcW w:type="dxa" w:w="54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Chi phí, khoảng cách giữa các công ty, trách nhiệm pháp lý, bảo mật</w:t>
            </w:r>
          </w:p>
        </w:tc>
        <w:tc>
          <w:tcPr>
            <w:tcW w:type="dxa" w:w="16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121</w:t>
            </w:r>
          </w:p>
        </w:tc>
      </w:tr>
      <w:tr>
        <w:tc>
          <w:tcPr>
            <w:tcW w:type="dxa" w:w="7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8</w:t>
            </w:r>
          </w:p>
        </w:tc>
        <w:tc>
          <w:tcPr>
            <w:tcW w:type="dxa" w:w="16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Quan điểm</w:t>
            </w:r>
          </w:p>
        </w:tc>
        <w:tc>
          <w:tcPr>
            <w:tcW w:type="dxa" w:w="54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Lợi ích lớn hơn nhưng có điều kiện, nêu rõ bốn điều kiện đó</w:t>
            </w:r>
          </w:p>
        </w:tc>
        <w:tc>
          <w:tcPr>
            <w:tcW w:type="dxa" w:w="16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161</w:t>
            </w:r>
          </w:p>
        </w:tc>
      </w:tr>
      <w:tr>
        <w:tc>
          <w:tcPr>
            <w:tcW w:type="dxa" w:w="7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9</w:t>
            </w:r>
          </w:p>
        </w:tc>
        <w:tc>
          <w:tcPr>
            <w:tcW w:type="dxa" w:w="16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Kết bài</w:t>
            </w:r>
          </w:p>
        </w:tc>
        <w:tc>
          <w:tcPr>
            <w:tcW w:type="dxa" w:w="54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Tóm lại hai mặt, khẳng định kết quả phụ thuộc cách triển khai</w:t>
            </w:r>
          </w:p>
        </w:tc>
        <w:tc>
          <w:tcPr>
            <w:tcW w:type="dxa" w:w="16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75</w:t>
            </w:r>
          </w:p>
        </w:tc>
      </w:tr>
    </w:tbl>
    <w:p>
      <w:pPr>
        <w:spacing w:before="200"/>
      </w:pPr>
      <w:r>
        <w:t xml:space="preserve"/>
      </w:r>
    </w:p>
    <w:p>
      <w:pPr>
        <w:spacing w:after="140" w:line="300"/>
        <w:jc w:val="both"/>
      </w:pPr>
      <w:r>
        <w:rPr>
          <w:rFonts w:ascii="Calibri" w:cs="Calibri" w:eastAsia="Calibri" w:hAnsi="Calibri"/>
          <w:b w:val="false"/>
          <w:bCs w:val="false"/>
          <w:i w:val="false"/>
          <w:iCs w:val="false"/>
          <w:color w:val="1A1A1A"/>
          <w:sz w:val="22"/>
          <w:szCs w:val="22"/>
        </w:rPr>
        <w:t xml:space="preserve">Số từ trong bảng là số từ thực tế của bài mẫu ở mục 4, không phải số ước lượng. Phần hạn chế được tách thành ba đoạn thay vì hai vì hạn chế thứ ba mang tính cấu trúc, khác bản chất với hai hạn chế đầu. Nếu cần bài ngắn hơn, gộp đoạn 7 vào đoạn 6.</w:t>
      </w:r>
    </w:p>
    <w:p>
      <w:r>
        <w:br w:type="page"/>
      </w:r>
    </w:p>
    <w:p>
      <w:pPr>
        <w:pStyle w:val="Heading1"/>
        <w:spacing w:after="180" w:before="360"/>
      </w:pPr>
      <w:r>
        <w:rPr>
          <w:rFonts w:ascii="Calibri" w:cs="Calibri" w:eastAsia="Calibri" w:hAnsi="Calibri"/>
          <w:b/>
          <w:bCs/>
          <w:color w:val="1F3864"/>
          <w:sz w:val="30"/>
          <w:szCs w:val="30"/>
        </w:rPr>
        <w:t xml:space="preserve">3. Ý tưởng và cách khai triển</w:t>
      </w:r>
    </w:p>
    <w:p>
      <w:pPr>
        <w:spacing w:after="140" w:line="300"/>
        <w:jc w:val="both"/>
      </w:pPr>
      <w:r>
        <w:rPr>
          <w:rFonts w:ascii="Calibri" w:cs="Calibri" w:eastAsia="Calibri" w:hAnsi="Calibri"/>
          <w:b w:val="false"/>
          <w:bCs w:val="false"/>
          <w:i w:val="false"/>
          <w:iCs w:val="false"/>
          <w:color w:val="1A1A1A"/>
          <w:sz w:val="22"/>
          <w:szCs w:val="22"/>
        </w:rPr>
        <w:t xml:space="preserve">Phần này giải thích logic phía sau từng ý. Mục đích là để bạn hiểu tại sao ý đó thuyết phục, từ đó tự khai triển được ý khác, chứ không chỉ học thuộc bài mẫu.</w:t>
      </w:r>
    </w:p>
    <w:p>
      <w:pPr>
        <w:pStyle w:val="Heading2"/>
        <w:spacing w:after="120" w:before="260"/>
      </w:pPr>
      <w:r>
        <w:rPr>
          <w:rFonts w:ascii="Calibri" w:cs="Calibri" w:eastAsia="Calibri" w:hAnsi="Calibri"/>
          <w:b/>
          <w:bCs/>
          <w:color w:val="1F3864"/>
          <w:sz w:val="25"/>
          <w:szCs w:val="25"/>
        </w:rPr>
        <w:t xml:space="preserve">3.1. Ba lợi ích</w:t>
      </w:r>
    </w:p>
    <w:p>
      <w:pPr>
        <w:pStyle w:val="Heading3"/>
        <w:spacing w:after="100" w:before="200"/>
      </w:pPr>
      <w:r>
        <w:rPr>
          <w:rFonts w:ascii="Calibri" w:cs="Calibri" w:eastAsia="Calibri" w:hAnsi="Calibri"/>
          <w:b/>
          <w:bCs/>
          <w:color w:val="2E5A9C"/>
          <w:sz w:val="23"/>
          <w:szCs w:val="23"/>
        </w:rPr>
        <w:t xml:space="preserve">Lợi ích 1: kiểm tra toàn bộ tổng thể thay vì chọn mẫu</w:t>
      </w:r>
    </w:p>
    <w:p>
      <w:pPr>
        <w:spacing w:after="140" w:line="300"/>
        <w:jc w:val="both"/>
      </w:pPr>
      <w:r>
        <w:rPr>
          <w:rFonts w:ascii="Calibri" w:cs="Calibri" w:eastAsia="Calibri" w:hAnsi="Calibri"/>
          <w:b/>
          <w:bCs/>
          <w:i w:val="false"/>
          <w:iCs w:val="false"/>
          <w:color w:val="1A1A1A"/>
          <w:sz w:val="22"/>
          <w:szCs w:val="22"/>
        </w:rPr>
        <w:t xml:space="preserve">Lõi của lập luận: </w:t>
      </w:r>
      <w:r>
        <w:rPr>
          <w:rFonts w:ascii="Calibri" w:cs="Calibri" w:eastAsia="Calibri" w:hAnsi="Calibri"/>
          <w:b w:val="false"/>
          <w:bCs w:val="false"/>
          <w:i w:val="false"/>
          <w:iCs w:val="false"/>
          <w:color w:val="1A1A1A"/>
          <w:sz w:val="22"/>
          <w:szCs w:val="22"/>
        </w:rPr>
        <w:t xml:space="preserve">chọn mẫu tồn tại vì con người không có đủ thời gian, không phải vì kiểm tra một phần là cách tốt. Đây là điểm quan trọng nhất của cả đoạn. Khi bạn chỉ ra rằng sampling là một sự nhượng bộ trước giới hạn nguồn lực, thì việc máy kiểm tra được 100% giao dịch lập tức trở thành lợi ích về bản chất, không chỉ về tốc độ.</w:t>
      </w:r>
    </w:p>
    <w:p>
      <w:pPr>
        <w:spacing w:after="140" w:line="300"/>
        <w:ind w:left="360"/>
        <w:jc w:val="both"/>
      </w:pPr>
      <w:r>
        <w:rPr>
          <w:rFonts w:ascii="Calibri" w:cs="Calibri" w:eastAsia="Calibri" w:hAnsi="Calibri"/>
          <w:b w:val="false"/>
          <w:bCs w:val="false"/>
          <w:i w:val="false"/>
          <w:iCs w:val="false"/>
          <w:color w:val="1A1A1A"/>
          <w:sz w:val="22"/>
          <w:szCs w:val="22"/>
        </w:rPr>
        <w:t xml:space="preserve">Khai triển: nêu ví dụ cụ thể để ý không bị treo lơ lửng. Máy có thể đối chiếu từng hoá đơn với từng đơn đặt hàng, tính lại toàn bộ bảng khấu hao, rà soát mọi bút toán trong năm. Hệ quả: những sai sót cố ý được chia nhỏ và rải rác, loại gần như không bao giờ rơi vào mẫu, trở nên nhìn thấy được.</w:t>
      </w:r>
    </w:p>
    <w:p>
      <w:pPr>
        <w:pStyle w:val="Heading3"/>
        <w:spacing w:after="100" w:before="200"/>
      </w:pPr>
      <w:r>
        <w:rPr>
          <w:rFonts w:ascii="Calibri" w:cs="Calibri" w:eastAsia="Calibri" w:hAnsi="Calibri"/>
          <w:b/>
          <w:bCs/>
          <w:color w:val="2E5A9C"/>
          <w:sz w:val="23"/>
          <w:szCs w:val="23"/>
        </w:rPr>
        <w:t xml:space="preserve">Lợi ích 2: phát hiện sớm thay vì phát hiện muộn</w:t>
      </w:r>
    </w:p>
    <w:p>
      <w:pPr>
        <w:spacing w:after="140" w:line="300"/>
        <w:jc w:val="both"/>
      </w:pPr>
      <w:r>
        <w:rPr>
          <w:rFonts w:ascii="Calibri" w:cs="Calibri" w:eastAsia="Calibri" w:hAnsi="Calibri"/>
          <w:b/>
          <w:bCs/>
          <w:i w:val="false"/>
          <w:iCs w:val="false"/>
          <w:color w:val="1A1A1A"/>
          <w:sz w:val="22"/>
          <w:szCs w:val="22"/>
        </w:rPr>
        <w:t xml:space="preserve">Lõi của lập luận: </w:t>
      </w:r>
      <w:r>
        <w:rPr>
          <w:rFonts w:ascii="Calibri" w:cs="Calibri" w:eastAsia="Calibri" w:hAnsi="Calibri"/>
          <w:b w:val="false"/>
          <w:bCs w:val="false"/>
          <w:i w:val="false"/>
          <w:iCs w:val="false"/>
          <w:color w:val="1A1A1A"/>
          <w:sz w:val="22"/>
          <w:szCs w:val="22"/>
        </w:rPr>
        <w:t xml:space="preserve">giá trị của một phát hiện phụ thuộc vào thời điểm phát hiện. Một sai sót tìm ra vào tháng ba thì sửa được; tìm ra sau khi báo cáo tài chính đã phát hành thì thành khủng hoảng.</w:t>
      </w:r>
    </w:p>
    <w:p>
      <w:pPr>
        <w:spacing w:after="140" w:line="300"/>
        <w:ind w:left="360"/>
        <w:jc w:val="both"/>
      </w:pPr>
      <w:r>
        <w:rPr>
          <w:rFonts w:ascii="Calibri" w:cs="Calibri" w:eastAsia="Calibri" w:hAnsi="Calibri"/>
          <w:b w:val="false"/>
          <w:bCs w:val="false"/>
          <w:i w:val="false"/>
          <w:iCs w:val="false"/>
          <w:color w:val="1A1A1A"/>
          <w:sz w:val="22"/>
          <w:szCs w:val="22"/>
        </w:rPr>
        <w:t xml:space="preserve">Khai triển: mô tả các dấu hiệu mà hệ thống theo dõi liên tục bắt được, như khoản thanh toán tròn số bất thường, bút toán ghi nhận ngoài giờ làm việc, nhà cung cấp dùng chung số tài khoản với nhân viên. Đây là những ví dụ cụ thể, dễ hình dung, và có thật trong thực tế kiểm toán gian lận.</w:t>
      </w:r>
    </w:p>
    <w:p>
      <w:pPr>
        <w:pStyle w:val="Heading3"/>
        <w:spacing w:after="100" w:before="200"/>
      </w:pPr>
      <w:r>
        <w:rPr>
          <w:rFonts w:ascii="Calibri" w:cs="Calibri" w:eastAsia="Calibri" w:hAnsi="Calibri"/>
          <w:b/>
          <w:bCs/>
          <w:color w:val="2E5A9C"/>
          <w:sz w:val="23"/>
          <w:szCs w:val="23"/>
        </w:rPr>
        <w:t xml:space="preserve">Lợi ích 3: người làm việc của người</w:t>
      </w:r>
    </w:p>
    <w:p>
      <w:pPr>
        <w:spacing w:after="140" w:line="300"/>
        <w:jc w:val="both"/>
      </w:pPr>
      <w:r>
        <w:rPr>
          <w:rFonts w:ascii="Calibri" w:cs="Calibri" w:eastAsia="Calibri" w:hAnsi="Calibri"/>
          <w:b/>
          <w:bCs/>
          <w:i w:val="false"/>
          <w:iCs w:val="false"/>
          <w:color w:val="1A1A1A"/>
          <w:sz w:val="22"/>
          <w:szCs w:val="22"/>
        </w:rPr>
        <w:t xml:space="preserve">Lõi của lập luận: </w:t>
      </w:r>
      <w:r>
        <w:rPr>
          <w:rFonts w:ascii="Calibri" w:cs="Calibri" w:eastAsia="Calibri" w:hAnsi="Calibri"/>
          <w:b w:val="false"/>
          <w:bCs w:val="false"/>
          <w:i w:val="false"/>
          <w:iCs w:val="false"/>
          <w:color w:val="1A1A1A"/>
          <w:sz w:val="22"/>
          <w:szCs w:val="22"/>
        </w:rPr>
        <w:t xml:space="preserve">tự động hoá không lấy đi công việc, nó chuyển công việc. Việc bị lấy đi là việc đối chiếu, cộng dọc, tìm chứng từ, loại việc đòi hỏi kiên nhẫn hơn là hiểu biết. Việc được thêm thời gian là ước tính tổn thất tín dụng dự kiến, đánh giá giả định hoạt động liên tục, định giá tài sản không có thị trường hoạt động.</w:t>
      </w:r>
    </w:p>
    <w:p>
      <w:pPr>
        <w:spacing w:after="140" w:line="300"/>
        <w:ind w:left="360"/>
        <w:jc w:val="both"/>
      </w:pPr>
      <w:r>
        <w:rPr>
          <w:rFonts w:ascii="Calibri" w:cs="Calibri" w:eastAsia="Calibri" w:hAnsi="Calibri"/>
          <w:b w:val="false"/>
          <w:bCs w:val="false"/>
          <w:i w:val="false"/>
          <w:iCs w:val="false"/>
          <w:color w:val="1A1A1A"/>
          <w:sz w:val="22"/>
          <w:szCs w:val="22"/>
        </w:rPr>
        <w:t xml:space="preserve">Khai triển: thêm một ý phụ về tính nhất quán. Mô hình áp dụng cùng một tiêu chí cho phần tử thứ mười nghìn như cho phần tử đầu tiên. Một kiểm toán viên đã làm mười hai giờ liên tục thì không.</w:t>
      </w:r>
    </w:p>
    <w:p>
      <w:pPr>
        <w:pStyle w:val="Heading2"/>
        <w:spacing w:after="120" w:before="260"/>
      </w:pPr>
      <w:r>
        <w:rPr>
          <w:rFonts w:ascii="Calibri" w:cs="Calibri" w:eastAsia="Calibri" w:hAnsi="Calibri"/>
          <w:b/>
          <w:bCs/>
          <w:color w:val="1F3864"/>
          <w:sz w:val="25"/>
          <w:szCs w:val="25"/>
        </w:rPr>
        <w:t xml:space="preserve">3.2. Ba hạn chế</w:t>
      </w:r>
    </w:p>
    <w:p>
      <w:pPr>
        <w:pStyle w:val="Heading3"/>
        <w:spacing w:after="100" w:before="200"/>
      </w:pPr>
      <w:r>
        <w:rPr>
          <w:rFonts w:ascii="Calibri" w:cs="Calibri" w:eastAsia="Calibri" w:hAnsi="Calibri"/>
          <w:b/>
          <w:bCs/>
          <w:color w:val="2E5A9C"/>
          <w:sz w:val="23"/>
          <w:szCs w:val="23"/>
        </w:rPr>
        <w:t xml:space="preserve">Hạn chế 1: hộp đen và yêu cầu về bằng chứng kiểm toán</w:t>
      </w:r>
    </w:p>
    <w:p>
      <w:pPr>
        <w:spacing w:after="140" w:line="300"/>
        <w:jc w:val="both"/>
      </w:pPr>
      <w:r>
        <w:rPr>
          <w:rFonts w:ascii="Calibri" w:cs="Calibri" w:eastAsia="Calibri" w:hAnsi="Calibri"/>
          <w:b/>
          <w:bCs/>
          <w:i w:val="false"/>
          <w:iCs w:val="false"/>
          <w:color w:val="1A1A1A"/>
          <w:sz w:val="22"/>
          <w:szCs w:val="22"/>
        </w:rPr>
        <w:t xml:space="preserve">Lõi của lập luận: </w:t>
      </w:r>
      <w:r>
        <w:rPr>
          <w:rFonts w:ascii="Calibri" w:cs="Calibri" w:eastAsia="Calibri" w:hAnsi="Calibri"/>
          <w:b w:val="false"/>
          <w:bCs w:val="false"/>
          <w:i w:val="false"/>
          <w:iCs w:val="false"/>
          <w:color w:val="1A1A1A"/>
          <w:sz w:val="22"/>
          <w:szCs w:val="22"/>
        </w:rPr>
        <w:t xml:space="preserve">đây là hạn chế nghiêm trọng nhất và nên đặt đầu tiên. ISA 500 đòi hỏi bằng chứng kiểm toán đầy đủ và thích hợp, và hồ sơ kiểm toán phải cho thấy kết luận được hình thành như thế nào. Nhiều mô hình mạnh nhất, nhất là mạng nơ ron sâu, không giải thích được chính nó theo ngôn ngữ đó.</w:t>
      </w:r>
    </w:p>
    <w:p>
      <w:pPr>
        <w:spacing w:after="140" w:line="300"/>
        <w:ind w:left="360"/>
        <w:jc w:val="both"/>
      </w:pPr>
      <w:r>
        <w:rPr>
          <w:rFonts w:ascii="Calibri" w:cs="Calibri" w:eastAsia="Calibri" w:hAnsi="Calibri"/>
          <w:b w:val="false"/>
          <w:bCs w:val="false"/>
          <w:i w:val="false"/>
          <w:iCs w:val="false"/>
          <w:color w:val="1A1A1A"/>
          <w:sz w:val="22"/>
          <w:szCs w:val="22"/>
        </w:rPr>
        <w:t xml:space="preserve">Khai triển: đẩy lập luận tới chỗ bế tắc thật, vì đó là nơi bài viết trở nên thuyết phục. Kiểm toán viên ghi vào hồ sơ rằng "mô hình đánh dấu giao dịch này" thì chỉ đang lưu một kết quả đầu ra, không phải bằng chứng. Nhưng nếu kiểm toán viên bỏ qua cảnh báo mà mình không hiểu, thì cũng không có cơ sở nào được lưu lại cho quyết định bỏ qua đó. Cả hai hướng đều hỏng, và đó mới là vấn đề.</w:t>
      </w:r>
    </w:p>
    <w:p>
      <w:pPr>
        <w:pStyle w:val="Heading3"/>
        <w:spacing w:after="100" w:before="200"/>
      </w:pPr>
      <w:r>
        <w:rPr>
          <w:rFonts w:ascii="Calibri" w:cs="Calibri" w:eastAsia="Calibri" w:hAnsi="Calibri"/>
          <w:b/>
          <w:bCs/>
          <w:color w:val="2E5A9C"/>
          <w:sz w:val="23"/>
          <w:szCs w:val="23"/>
        </w:rPr>
        <w:t xml:space="preserve">Hạn chế 2: dữ liệu, phụ thuộc quá mức và mai một năng lực</w:t>
      </w:r>
    </w:p>
    <w:p>
      <w:pPr>
        <w:spacing w:after="140" w:line="300"/>
        <w:jc w:val="both"/>
      </w:pPr>
      <w:r>
        <w:rPr>
          <w:rFonts w:ascii="Calibri" w:cs="Calibri" w:eastAsia="Calibri" w:hAnsi="Calibri"/>
          <w:b/>
          <w:bCs/>
          <w:i w:val="false"/>
          <w:iCs w:val="false"/>
          <w:color w:val="1A1A1A"/>
          <w:sz w:val="22"/>
          <w:szCs w:val="22"/>
        </w:rPr>
        <w:t xml:space="preserve">Lõi của lập luận: </w:t>
      </w:r>
      <w:r>
        <w:rPr>
          <w:rFonts w:ascii="Calibri" w:cs="Calibri" w:eastAsia="Calibri" w:hAnsi="Calibri"/>
          <w:b w:val="false"/>
          <w:bCs w:val="false"/>
          <w:i w:val="false"/>
          <w:iCs w:val="false"/>
          <w:color w:val="1A1A1A"/>
          <w:sz w:val="22"/>
          <w:szCs w:val="22"/>
        </w:rPr>
        <w:t xml:space="preserve">mô hình thừa hưởng điểm yếu của dữ liệu huấn luyện và của người sử dụng nó. Một mô hình học từ các hợp đồng kiểm toán cũ của chính công ty sẽ lặp lại đúng những gì công ty đó từng bỏ sót. Một hình thức gian lận mà nó chưa từng gặp thì với nó là bình thường.</w:t>
      </w:r>
    </w:p>
    <w:p>
      <w:pPr>
        <w:spacing w:after="140" w:line="300"/>
        <w:ind w:left="360"/>
        <w:jc w:val="both"/>
      </w:pPr>
      <w:r>
        <w:rPr>
          <w:rFonts w:ascii="Calibri" w:cs="Calibri" w:eastAsia="Calibri" w:hAnsi="Calibri"/>
          <w:b w:val="false"/>
          <w:bCs w:val="false"/>
          <w:i w:val="false"/>
          <w:iCs w:val="false"/>
          <w:color w:val="1A1A1A"/>
          <w:sz w:val="22"/>
          <w:szCs w:val="22"/>
        </w:rPr>
        <w:t xml:space="preserve">Khai triển: nối sang thiên lệch tự động hoá, hiện tượng người dùng tin kết quả của máy hơn xét đoán của chính mình, đặc biệt khi sắp hết hạn. Thái độ nghề nghiệp thận trọng là một trạng thái tinh thần theo chuẩn mực, không phải một thủ tục, nên nó mai một một cách âm thầm khi mặc định trong đầu trở thành "hệ thống đã kiểm rồi". Kết thúc bằng hệ quả dài hạn: thế hệ kiểm toán viên chỉ được huấn luyện để xem xét ngoại lệ do máy báo có thể lên tới cấp cao mà không có trực giác nghề nghiệp.</w:t>
      </w:r>
    </w:p>
    <w:p>
      <w:pPr>
        <w:pStyle w:val="Heading3"/>
        <w:spacing w:after="100" w:before="200"/>
      </w:pPr>
      <w:r>
        <w:rPr>
          <w:rFonts w:ascii="Calibri" w:cs="Calibri" w:eastAsia="Calibri" w:hAnsi="Calibri"/>
          <w:b/>
          <w:bCs/>
          <w:color w:val="2E5A9C"/>
          <w:sz w:val="23"/>
          <w:szCs w:val="23"/>
        </w:rPr>
        <w:t xml:space="preserve">Hạn chế 3: chi phí, trách nhiệm và bảo mật</w:t>
      </w:r>
    </w:p>
    <w:p>
      <w:pPr>
        <w:spacing w:after="140" w:line="300"/>
        <w:jc w:val="both"/>
      </w:pPr>
      <w:r>
        <w:rPr>
          <w:rFonts w:ascii="Calibri" w:cs="Calibri" w:eastAsia="Calibri" w:hAnsi="Calibri"/>
          <w:b/>
          <w:bCs/>
          <w:i w:val="false"/>
          <w:iCs w:val="false"/>
          <w:color w:val="1A1A1A"/>
          <w:sz w:val="22"/>
          <w:szCs w:val="22"/>
        </w:rPr>
        <w:t xml:space="preserve">Lõi của lập luận: </w:t>
      </w:r>
      <w:r>
        <w:rPr>
          <w:rFonts w:ascii="Calibri" w:cs="Calibri" w:eastAsia="Calibri" w:hAnsi="Calibri"/>
          <w:b w:val="false"/>
          <w:bCs w:val="false"/>
          <w:i w:val="false"/>
          <w:iCs w:val="false"/>
          <w:color w:val="1A1A1A"/>
          <w:sz w:val="22"/>
          <w:szCs w:val="22"/>
        </w:rPr>
        <w:t xml:space="preserve">ba hạn chế mang tính cấu trúc, gộp vào một đoạn vì cùng một bản chất là ngành chưa có khung xử lý.</w:t>
      </w:r>
    </w:p>
    <w:p>
      <w:pPr>
        <w:pStyle w:val="ListParagraph"/>
        <w:numPr>
          <w:ilvl w:val="0"/>
          <w:numId w:val="2"/>
        </w:numPr>
        <w:spacing w:after="90" w:line="300"/>
        <w:jc w:val="both"/>
      </w:pPr>
      <w:r>
        <w:rPr>
          <w:rFonts w:ascii="Calibri" w:cs="Calibri" w:eastAsia="Calibri" w:hAnsi="Calibri"/>
          <w:sz w:val="22"/>
          <w:szCs w:val="22"/>
        </w:rPr>
        <w:t xml:space="preserve">Chi phí: hạ tầng dữ liệu, bản quyền phần mềm và chuyên gia chỉ nằm trong khả năng của các hãng lớn. Rủi ro là một nghề hai tầng, nơi chất lượng kiểm toán phụ thuộc vào quy mô công ty kiểm toán.</w:t>
      </w:r>
    </w:p>
    <w:p>
      <w:pPr>
        <w:pStyle w:val="ListParagraph"/>
        <w:numPr>
          <w:ilvl w:val="0"/>
          <w:numId w:val="2"/>
        </w:numPr>
        <w:spacing w:after="90" w:line="300"/>
        <w:jc w:val="both"/>
      </w:pPr>
      <w:r>
        <w:rPr>
          <w:rFonts w:ascii="Calibri" w:cs="Calibri" w:eastAsia="Calibri" w:hAnsi="Calibri"/>
          <w:sz w:val="22"/>
          <w:szCs w:val="22"/>
        </w:rPr>
        <w:t xml:space="preserve">Trách nhiệm: nếu một sai sót trọng yếu không bị phát hiện do lỗi thiết kế mô hình, trách nhiệm nằm ở đâu giữa hãng kiểm toán, nhà cung cấp công nghệ và thành viên ký báo cáo. Chuẩn mực nghề nghiệp chưa trả lời câu này.</w:t>
      </w:r>
    </w:p>
    <w:p>
      <w:pPr>
        <w:pStyle w:val="ListParagraph"/>
        <w:numPr>
          <w:ilvl w:val="0"/>
          <w:numId w:val="2"/>
        </w:numPr>
        <w:spacing w:after="90" w:line="300"/>
        <w:jc w:val="both"/>
      </w:pPr>
      <w:r>
        <w:rPr>
          <w:rFonts w:ascii="Calibri" w:cs="Calibri" w:eastAsia="Calibri" w:hAnsi="Calibri"/>
          <w:sz w:val="22"/>
          <w:szCs w:val="22"/>
        </w:rPr>
        <w:t xml:space="preserve">Bảo mật: đưa dữ liệu khách hàng vào hệ thống của bên thứ ba tạo ra rủi ro mà nghĩa vụ bảo mật trong Bộ quy tắc đạo đức IESBA chưa lường tới.</w:t>
      </w:r>
    </w:p>
    <w:p>
      <w:pPr>
        <w:pStyle w:val="Heading2"/>
        <w:spacing w:after="120" w:before="260"/>
      </w:pPr>
      <w:r>
        <w:rPr>
          <w:rFonts w:ascii="Calibri" w:cs="Calibri" w:eastAsia="Calibri" w:hAnsi="Calibri"/>
          <w:b/>
          <w:bCs/>
          <w:color w:val="1F3864"/>
          <w:sz w:val="25"/>
          <w:szCs w:val="25"/>
        </w:rPr>
        <w:t xml:space="preserve">3.3. Quan điểm cá nhân</w:t>
      </w:r>
    </w:p>
    <w:p>
      <w:pPr>
        <w:spacing w:after="140" w:line="300"/>
        <w:jc w:val="both"/>
      </w:pPr>
      <w:r>
        <w:rPr>
          <w:rFonts w:ascii="Calibri" w:cs="Calibri" w:eastAsia="Calibri" w:hAnsi="Calibri"/>
          <w:b w:val="false"/>
          <w:bCs w:val="false"/>
          <w:i w:val="false"/>
          <w:iCs w:val="false"/>
          <w:color w:val="1A1A1A"/>
          <w:sz w:val="22"/>
          <w:szCs w:val="22"/>
        </w:rPr>
        <w:t xml:space="preserve">Quan điểm của bài mẫu: lợi ích lớn hơn hạn chế, nhưng có điều kiện. Trí tuệ nhân tạo cải thiện chất lượng kiểm toán khi được coi là công cụ mở rộng tầm với của kiểm toán viên, và làm hỏng chất lượng kiểm toán khi được coi là vật thay thế cho xét đoán của kiểm toán viên.</w:t>
      </w:r>
    </w:p>
    <w:p>
      <w:pPr>
        <w:spacing w:after="140" w:line="300"/>
        <w:jc w:val="both"/>
      </w:pPr>
      <w:r>
        <w:rPr>
          <w:rFonts w:ascii="Calibri" w:cs="Calibri" w:eastAsia="Calibri" w:hAnsi="Calibri"/>
          <w:b w:val="false"/>
          <w:bCs w:val="false"/>
          <w:i w:val="false"/>
          <w:iCs w:val="false"/>
          <w:color w:val="1A1A1A"/>
          <w:sz w:val="22"/>
          <w:szCs w:val="22"/>
        </w:rPr>
        <w:t xml:space="preserve">Điểm làm nên sức nặng của quan điểm này là nó nêu ra bốn điều kiện cụ thể, có thể kiểm chứng, thay vì nói chung:</w:t>
      </w:r>
    </w:p>
    <w:p>
      <w:pPr>
        <w:pStyle w:val="ListParagraph"/>
        <w:numPr>
          <w:ilvl w:val="0"/>
          <w:numId w:val="2"/>
        </w:numPr>
        <w:spacing w:after="90" w:line="300"/>
        <w:jc w:val="both"/>
      </w:pPr>
      <w:r>
        <w:rPr>
          <w:rFonts w:ascii="Calibri" w:cs="Calibri" w:eastAsia="Calibri" w:hAnsi="Calibri"/>
          <w:sz w:val="22"/>
          <w:szCs w:val="22"/>
        </w:rPr>
        <w:t xml:space="preserve">Ưu tiên mô hình giải thích được và ghi chép được, kể cả khi phải đánh đổi một phần độ chính xác dự báo.</w:t>
      </w:r>
    </w:p>
    <w:p>
      <w:pPr>
        <w:pStyle w:val="ListParagraph"/>
        <w:numPr>
          <w:ilvl w:val="0"/>
          <w:numId w:val="2"/>
        </w:numPr>
        <w:spacing w:after="90" w:line="300"/>
        <w:jc w:val="both"/>
      </w:pPr>
      <w:r>
        <w:rPr>
          <w:rFonts w:ascii="Calibri" w:cs="Calibri" w:eastAsia="Calibri" w:hAnsi="Calibri"/>
          <w:sz w:val="22"/>
          <w:szCs w:val="22"/>
        </w:rPr>
        <w:t xml:space="preserve">Mọi vấn đề thuộc về xét đoán phải do con người kết luận và ghi lại kết luận đó.</w:t>
      </w:r>
    </w:p>
    <w:p>
      <w:pPr>
        <w:pStyle w:val="ListParagraph"/>
        <w:numPr>
          <w:ilvl w:val="0"/>
          <w:numId w:val="2"/>
        </w:numPr>
        <w:spacing w:after="90" w:line="300"/>
        <w:jc w:val="both"/>
      </w:pPr>
      <w:r>
        <w:rPr>
          <w:rFonts w:ascii="Calibri" w:cs="Calibri" w:eastAsia="Calibri" w:hAnsi="Calibri"/>
          <w:sz w:val="22"/>
          <w:szCs w:val="22"/>
        </w:rPr>
        <w:t xml:space="preserve">Kiểm định mô hình trên các sai sót đã biết trước khi dựa vào nó.</w:t>
      </w:r>
    </w:p>
    <w:p>
      <w:pPr>
        <w:pStyle w:val="ListParagraph"/>
        <w:numPr>
          <w:ilvl w:val="0"/>
          <w:numId w:val="2"/>
        </w:numPr>
        <w:spacing w:after="90" w:line="300"/>
        <w:jc w:val="both"/>
      </w:pPr>
      <w:r>
        <w:rPr>
          <w:rFonts w:ascii="Calibri" w:cs="Calibri" w:eastAsia="Calibri" w:hAnsi="Calibri"/>
          <w:sz w:val="22"/>
          <w:szCs w:val="22"/>
        </w:rPr>
        <w:t xml:space="preserve">Huấn luyện nhân sự mới bằng lập luận kế toán nền tảng, không chỉ bằng cách vận hành công cụ.</w:t>
      </w:r>
    </w:p>
    <w:p>
      <w:pPr>
        <w:spacing w:after="140" w:line="300"/>
        <w:jc w:val="both"/>
      </w:pPr>
      <w:r>
        <w:rPr>
          <w:rFonts w:ascii="Calibri" w:cs="Calibri" w:eastAsia="Calibri" w:hAnsi="Calibri"/>
          <w:b w:val="false"/>
          <w:bCs w:val="false"/>
          <w:i w:val="false"/>
          <w:iCs w:val="false"/>
          <w:color w:val="1A1A1A"/>
          <w:sz w:val="22"/>
          <w:szCs w:val="22"/>
        </w:rPr>
        <w:t xml:space="preserve">Câu chốt của đoạn quan điểm, cũng là câu đáng học nhất trong bài:</w:t>
      </w:r>
    </w:p>
    <w:p>
      <w:pPr>
        <w:pBdr>
          <w:left w:val="single" w:color="1F3864" w:sz="12" w:space="10"/>
        </w:pBdr>
        <w:spacing w:after="180" w:before="120" w:line="300"/>
        <w:ind w:left="431"/>
      </w:pPr>
      <w:r>
        <w:rPr>
          <w:rFonts w:ascii="Calibri" w:cs="Calibri" w:eastAsia="Calibri" w:hAnsi="Calibri"/>
          <w:i/>
          <w:iCs/>
          <w:color w:val="33415C"/>
          <w:sz w:val="22"/>
          <w:szCs w:val="22"/>
        </w:rPr>
        <w:t xml:space="preserve">Without them, it produces an audit that looks more thorough and is in fact less accountable.</w:t>
      </w:r>
    </w:p>
    <w:p>
      <w:pPr>
        <w:spacing w:after="140" w:line="300"/>
        <w:jc w:val="both"/>
      </w:pPr>
      <w:r>
        <w:rPr>
          <w:rFonts w:ascii="Calibri" w:cs="Calibri" w:eastAsia="Calibri" w:hAnsi="Calibri"/>
          <w:b w:val="false"/>
          <w:bCs w:val="false"/>
          <w:i w:val="false"/>
          <w:iCs w:val="false"/>
          <w:color w:val="1A1A1A"/>
          <w:sz w:val="22"/>
          <w:szCs w:val="22"/>
        </w:rPr>
        <w:t xml:space="preserve">Câu này mạnh vì nó chỉ ra một nghịch lý: bề ngoài kỹ lưỡng hơn nhưng thực chất ít giải trình hơn. Người đọc nhớ ý đó, không nhớ từ vựng.</w:t>
      </w:r>
    </w:p>
    <w:p>
      <w:r>
        <w:br w:type="page"/>
      </w:r>
    </w:p>
    <w:p>
      <w:pPr>
        <w:pStyle w:val="Heading1"/>
        <w:spacing w:after="180" w:before="360"/>
      </w:pPr>
      <w:r>
        <w:rPr>
          <w:rFonts w:ascii="Calibri" w:cs="Calibri" w:eastAsia="Calibri" w:hAnsi="Calibri"/>
          <w:b/>
          <w:bCs/>
          <w:color w:val="1F3864"/>
          <w:sz w:val="30"/>
          <w:szCs w:val="30"/>
        </w:rPr>
        <w:t xml:space="preserve">4. Bài luận mẫu</w:t>
      </w:r>
    </w:p>
    <w:p>
      <w:pPr>
        <w:spacing w:after="140" w:line="300"/>
        <w:jc w:val="both"/>
      </w:pPr>
      <w:r>
        <w:rPr>
          <w:rFonts w:ascii="Calibri" w:cs="Calibri" w:eastAsia="Calibri" w:hAnsi="Calibri"/>
          <w:b w:val="false"/>
          <w:bCs w:val="false"/>
          <w:i/>
          <w:iCs/>
          <w:color w:val="5A6B88"/>
          <w:sz w:val="22"/>
          <w:szCs w:val="22"/>
        </w:rPr>
        <w:t xml:space="preserve">1.013 từ. Mỗi đoạn được đánh số ở lề để bạn đối chiếu với dàn ý ở mục 2.</w:t>
      </w:r>
    </w:p>
    <w:p>
      <w:pPr>
        <w:pBdr>
          <w:bottom w:val="single" w:color="C9D3E4" w:sz="6" w:space="1"/>
        </w:pBdr>
        <w:spacing w:after="200" w:before="120"/>
      </w:pPr>
      <w:r>
        <w:rPr>
          <w:sz w:val="2"/>
          <w:szCs w:val="2"/>
        </w:rPr>
        <w:t xml:space="preserve"/>
      </w:r>
    </w:p>
    <w:p>
      <w:pPr>
        <w:spacing w:after="200"/>
        <w:jc w:val="center"/>
      </w:pPr>
      <w:r>
        <w:rPr>
          <w:rFonts w:ascii="Calibri" w:cs="Calibri" w:eastAsia="Calibri" w:hAnsi="Calibri"/>
          <w:b/>
          <w:bCs/>
          <w:color w:val="1F3864"/>
          <w:sz w:val="26"/>
          <w:szCs w:val="26"/>
        </w:rPr>
        <w:t xml:space="preserve">Artificial Intelligence in Auditing: Advantages, Disadvantages, and a Reasoned Position</w:t>
      </w:r>
    </w:p>
    <w:p>
      <w:pPr>
        <w:spacing w:after="40" w:before="160"/>
      </w:pPr>
      <w:r>
        <w:rPr>
          <w:rFonts w:ascii="Calibri" w:cs="Calibri" w:eastAsia="Calibri" w:hAnsi="Calibri"/>
          <w:b/>
          <w:bCs/>
          <w:color w:val="8191AD"/>
          <w:sz w:val="18"/>
          <w:szCs w:val="18"/>
        </w:rPr>
        <w:t xml:space="preserve">[1] Mở bài</w:t>
      </w:r>
    </w:p>
    <w:p>
      <w:pPr>
        <w:spacing w:after="140" w:line="300"/>
        <w:jc w:val="both"/>
      </w:pPr>
      <w:r>
        <w:rPr>
          <w:rFonts w:ascii="Calibri" w:cs="Calibri" w:eastAsia="Calibri" w:hAnsi="Calibri"/>
          <w:b w:val="false"/>
          <w:bCs w:val="false"/>
          <w:i w:val="false"/>
          <w:iCs w:val="false"/>
          <w:color w:val="1A1A1A"/>
          <w:sz w:val="22"/>
          <w:szCs w:val="22"/>
        </w:rPr>
        <w:t xml:space="preserve">Audit firms have spent the past decade moving work that was once done by hand onto machines. Artificial intelligence now reads contracts, tests entire ledgers, and flags transactions that a human sampler would almost certainly have missed. The change is real, and so is the unease it creates among students who are about to enter the profession. This essay sets out the main advantages of using artificial intelligence in auditing, examines the disadvantages that firms and regulators are still struggling with, and argues that the technology strengthens the audit only where the auditor's judgement remains clearly in charge.</w:t>
      </w:r>
    </w:p>
    <w:p>
      <w:pPr>
        <w:spacing w:after="40" w:before="160"/>
      </w:pPr>
      <w:r>
        <w:rPr>
          <w:rFonts w:ascii="Calibri" w:cs="Calibri" w:eastAsia="Calibri" w:hAnsi="Calibri"/>
          <w:b/>
          <w:bCs/>
          <w:color w:val="8191AD"/>
          <w:sz w:val="18"/>
          <w:szCs w:val="18"/>
        </w:rPr>
        <w:t xml:space="preserve">[2] Lợi ích 1</w:t>
      </w:r>
    </w:p>
    <w:p>
      <w:pPr>
        <w:spacing w:after="140" w:line="300"/>
        <w:jc w:val="both"/>
      </w:pPr>
      <w:r>
        <w:rPr>
          <w:rFonts w:ascii="Calibri" w:cs="Calibri" w:eastAsia="Calibri" w:hAnsi="Calibri"/>
          <w:b w:val="false"/>
          <w:bCs w:val="false"/>
          <w:i w:val="false"/>
          <w:iCs w:val="false"/>
          <w:color w:val="1A1A1A"/>
          <w:sz w:val="22"/>
          <w:szCs w:val="22"/>
        </w:rPr>
        <w:t xml:space="preserve">The clearest advantage is coverage. Traditional substantive testing relies on sampling: the auditor selects a limited number of items and infers something about the population from them. Sampling exists because of a constraint on human time, not because partial testing is desirable. Machine learning and rule-based analytics remove that constraint. A model can test every journal entry in a financial year, recalculate every depreciation schedule, and reconcile every invoice against its purchase order. Where sampling gave the auditor a defensible estimate, full-population testing gives something much closer to a complete answer, and misstatements that fall outside a sample, including frauds deliberately kept small and spread across many accounts, become visible.</w:t>
      </w:r>
    </w:p>
    <w:p>
      <w:pPr>
        <w:spacing w:after="40" w:before="160"/>
      </w:pPr>
      <w:r>
        <w:rPr>
          <w:rFonts w:ascii="Calibri" w:cs="Calibri" w:eastAsia="Calibri" w:hAnsi="Calibri"/>
          <w:b/>
          <w:bCs/>
          <w:color w:val="8191AD"/>
          <w:sz w:val="18"/>
          <w:szCs w:val="18"/>
        </w:rPr>
        <w:t xml:space="preserve">[3] Lợi ích 2</w:t>
      </w:r>
    </w:p>
    <w:p>
      <w:pPr>
        <w:spacing w:after="140" w:line="300"/>
        <w:jc w:val="both"/>
      </w:pPr>
      <w:r>
        <w:rPr>
          <w:rFonts w:ascii="Calibri" w:cs="Calibri" w:eastAsia="Calibri" w:hAnsi="Calibri"/>
          <w:b w:val="false"/>
          <w:bCs w:val="false"/>
          <w:i w:val="false"/>
          <w:iCs w:val="false"/>
          <w:color w:val="1A1A1A"/>
          <w:sz w:val="22"/>
          <w:szCs w:val="22"/>
        </w:rPr>
        <w:t xml:space="preserve">A second advantage concerns timing. Conventional audit work is concentrated at year end, which means errors are often found months after they were made. Systems that monitor transactions continuously can raise an exception as it arises: a payment in a suspiciously round amount, an entry posted at three in the morning, a supplier whose bank details match an employee's. The practical effect is to shorten the distance between the moment something goes wrong and the moment someone notices, which gives management the chance to correct the accounting record rather than explain it afterwards.</w:t>
      </w:r>
    </w:p>
    <w:p>
      <w:pPr>
        <w:spacing w:after="40" w:before="160"/>
      </w:pPr>
      <w:r>
        <w:rPr>
          <w:rFonts w:ascii="Calibri" w:cs="Calibri" w:eastAsia="Calibri" w:hAnsi="Calibri"/>
          <w:b/>
          <w:bCs/>
          <w:color w:val="8191AD"/>
          <w:sz w:val="18"/>
          <w:szCs w:val="18"/>
        </w:rPr>
        <w:t xml:space="preserve">[4] Lợi ích 3</w:t>
      </w:r>
    </w:p>
    <w:p>
      <w:pPr>
        <w:spacing w:after="140" w:line="300"/>
        <w:jc w:val="both"/>
      </w:pPr>
      <w:r>
        <w:rPr>
          <w:rFonts w:ascii="Calibri" w:cs="Calibri" w:eastAsia="Calibri" w:hAnsi="Calibri"/>
          <w:b w:val="false"/>
          <w:bCs w:val="false"/>
          <w:i w:val="false"/>
          <w:iCs w:val="false"/>
          <w:color w:val="1A1A1A"/>
          <w:sz w:val="22"/>
          <w:szCs w:val="22"/>
        </w:rPr>
        <w:t xml:space="preserve">Third, automation frees the auditor for work that only a person can do. Vouching, footing, tie-outs and document retrieval consume a great deal of junior time and reward patience rather than insight. When software absorbs them, those hours move to the areas where professional judgement actually decides the outcome: estimating expected credit losses, challenging management's going-concern assumptions, assessing the fair value of assets with no active market. Consistency improves as well. A model applies the same criterion to the ten-thousandth item as it does to the first, whereas an auditor twelve hours into a deadline does not.</w:t>
      </w:r>
    </w:p>
    <w:p>
      <w:pPr>
        <w:spacing w:after="40" w:before="160"/>
      </w:pPr>
      <w:r>
        <w:rPr>
          <w:rFonts w:ascii="Calibri" w:cs="Calibri" w:eastAsia="Calibri" w:hAnsi="Calibri"/>
          <w:b/>
          <w:bCs/>
          <w:color w:val="8191AD"/>
          <w:sz w:val="18"/>
          <w:szCs w:val="18"/>
        </w:rPr>
        <w:t xml:space="preserve">[5] Hạn chế 1</w:t>
      </w:r>
    </w:p>
    <w:p>
      <w:pPr>
        <w:spacing w:after="140" w:line="300"/>
        <w:jc w:val="both"/>
      </w:pPr>
      <w:r>
        <w:rPr>
          <w:rFonts w:ascii="Calibri" w:cs="Calibri" w:eastAsia="Calibri" w:hAnsi="Calibri"/>
          <w:b w:val="false"/>
          <w:bCs w:val="false"/>
          <w:i w:val="false"/>
          <w:iCs w:val="false"/>
          <w:color w:val="1A1A1A"/>
          <w:sz w:val="22"/>
          <w:szCs w:val="22"/>
        </w:rPr>
        <w:t xml:space="preserve">The most serious disadvantage concerns evidence. ISA 500 requires audit evidence that is sufficient and appropriate, and the audit file must show how a conclusion was reached. Many of the strongest models, deep neural networks in particular, cannot explain themselves in those terms. A model may rank a transaction as high risk without producing a reason that a partner can read, an inspector can test, or a court can examine. An auditor who records that the model flagged an item has stored an output, not evidence. Yet an auditor who overrides a flag they do not understand has documented no basis for that decision either. Both paths lead to a file that does not support the opinion, and this is a problem of accountability rather than of technology.</w:t>
      </w:r>
    </w:p>
    <w:p>
      <w:pPr>
        <w:spacing w:after="40" w:before="160"/>
      </w:pPr>
      <w:r>
        <w:rPr>
          <w:rFonts w:ascii="Calibri" w:cs="Calibri" w:eastAsia="Calibri" w:hAnsi="Calibri"/>
          <w:b/>
          <w:bCs/>
          <w:color w:val="8191AD"/>
          <w:sz w:val="18"/>
          <w:szCs w:val="18"/>
        </w:rPr>
        <w:t xml:space="preserve">[6] Hạn chế 2</w:t>
      </w:r>
    </w:p>
    <w:p>
      <w:pPr>
        <w:spacing w:after="140" w:line="300"/>
        <w:jc w:val="both"/>
      </w:pPr>
      <w:r>
        <w:rPr>
          <w:rFonts w:ascii="Calibri" w:cs="Calibri" w:eastAsia="Calibri" w:hAnsi="Calibri"/>
          <w:b w:val="false"/>
          <w:bCs w:val="false"/>
          <w:i w:val="false"/>
          <w:iCs w:val="false"/>
          <w:color w:val="1A1A1A"/>
          <w:sz w:val="22"/>
          <w:szCs w:val="22"/>
        </w:rPr>
        <w:t xml:space="preserve">Artificial intelligence also inherits the weaknesses of the data it learns from and of the people who use it. A model trained on a firm's historical engagements will reproduce whatever that firm has previously failed to notice, and a fraud scheme it has never encountered looks ordinary to it. Over-reliance makes this worse. Automation bias is well documented: users accept machine output more readily than their own judgement, especially under deadline pressure. Professional scepticism, which the standards treat as a state of mind rather than a procedure, erodes quietly once the working assumption becomes that the system has already checked. Over time, juniors trained mainly to review machine-generated exceptions may reach senior rank without ever developing the instinct that tells an experienced auditor something is wrong before the data does.</w:t>
      </w:r>
    </w:p>
    <w:p>
      <w:pPr>
        <w:spacing w:after="40" w:before="160"/>
      </w:pPr>
      <w:r>
        <w:rPr>
          <w:rFonts w:ascii="Calibri" w:cs="Calibri" w:eastAsia="Calibri" w:hAnsi="Calibri"/>
          <w:b/>
          <w:bCs/>
          <w:color w:val="8191AD"/>
          <w:sz w:val="18"/>
          <w:szCs w:val="18"/>
        </w:rPr>
        <w:t xml:space="preserve">[7] Hạn chế 3</w:t>
      </w:r>
    </w:p>
    <w:p>
      <w:pPr>
        <w:spacing w:after="140" w:line="300"/>
        <w:jc w:val="both"/>
      </w:pPr>
      <w:r>
        <w:rPr>
          <w:rFonts w:ascii="Calibri" w:cs="Calibri" w:eastAsia="Calibri" w:hAnsi="Calibri"/>
          <w:b w:val="false"/>
          <w:bCs w:val="false"/>
          <w:i w:val="false"/>
          <w:iCs w:val="false"/>
          <w:color w:val="1A1A1A"/>
          <w:sz w:val="22"/>
          <w:szCs w:val="22"/>
        </w:rPr>
        <w:t xml:space="preserve">Cost and responsibility raise further concerns, and these are structural rather than technical. The data infrastructure, licences and specialists behind credible audit technology are affordable to large international networks and out of reach for small practices, which risks a two-tier profession in which audit quality depends on the size of the firm engaged. Liability is equally unsettled: if an undetected material misstatement traces back to a flaw in a model's design, responsibility sits somewhere between the audit firm, the software vendor and the engagement partner who signed the report, and professional standards have not yet answered that question. Feeding client records into third-party platforms also creates a confidentiality exposure that the duty in the IESBA Code was never written to address.</w:t>
      </w:r>
    </w:p>
    <w:p>
      <w:pPr>
        <w:spacing w:after="40" w:before="160"/>
      </w:pPr>
      <w:r>
        <w:rPr>
          <w:rFonts w:ascii="Calibri" w:cs="Calibri" w:eastAsia="Calibri" w:hAnsi="Calibri"/>
          <w:b/>
          <w:bCs/>
          <w:color w:val="8191AD"/>
          <w:sz w:val="18"/>
          <w:szCs w:val="18"/>
        </w:rPr>
        <w:t xml:space="preserve">[8] Quan điểm</w:t>
      </w:r>
    </w:p>
    <w:p>
      <w:pPr>
        <w:spacing w:after="140" w:line="300"/>
        <w:jc w:val="both"/>
      </w:pPr>
      <w:r>
        <w:rPr>
          <w:rFonts w:ascii="Calibri" w:cs="Calibri" w:eastAsia="Calibri" w:hAnsi="Calibri"/>
          <w:b w:val="false"/>
          <w:bCs w:val="false"/>
          <w:i w:val="false"/>
          <w:iCs w:val="false"/>
          <w:color w:val="1A1A1A"/>
          <w:sz w:val="22"/>
          <w:szCs w:val="22"/>
        </w:rPr>
        <w:t xml:space="preserve">In my own view the advantages outweigh the disadvantages, but only on conditions, and the conditions are specific enough to be tested. Artificial intelligence improves an audit where it is treated as an instrument that extends the auditor's reach, and it damages an audit where it is treated as a substitute for the auditor's judgement. In practice that means preferring models whose output can be explained and documented, even at some cost in predictive accuracy; requiring a person to form and record the conclusion on every matter of judgement; validating models against known errors before relying on them; and training new staff in accounting reasoning rather than only in operating the tools. Where those conditions hold, the technology addresses the oldest weakness of the audit, which is the gap between what auditors are able to examine and what they are asked to assure. Where they do not, it produces an audit that looks more thorough and is in fact less accountable.</w:t>
      </w:r>
    </w:p>
    <w:p>
      <w:pPr>
        <w:spacing w:after="40" w:before="160"/>
      </w:pPr>
      <w:r>
        <w:rPr>
          <w:rFonts w:ascii="Calibri" w:cs="Calibri" w:eastAsia="Calibri" w:hAnsi="Calibri"/>
          <w:b/>
          <w:bCs/>
          <w:color w:val="8191AD"/>
          <w:sz w:val="18"/>
          <w:szCs w:val="18"/>
        </w:rPr>
        <w:t xml:space="preserve">[9] Kết bài</w:t>
      </w:r>
    </w:p>
    <w:p>
      <w:pPr>
        <w:spacing w:after="140" w:line="300"/>
        <w:jc w:val="both"/>
      </w:pPr>
      <w:r>
        <w:rPr>
          <w:rFonts w:ascii="Calibri" w:cs="Calibri" w:eastAsia="Calibri" w:hAnsi="Calibri"/>
          <w:b w:val="false"/>
          <w:bCs w:val="false"/>
          <w:i w:val="false"/>
          <w:iCs w:val="false"/>
          <w:color w:val="1A1A1A"/>
          <w:sz w:val="22"/>
          <w:szCs w:val="22"/>
        </w:rPr>
        <w:t xml:space="preserve">Artificial intelligence offers the profession wider coverage, earlier detection and more time for judgement, at the price of opacity, dependence on data quality and unresolved questions of responsibility. Neither set of effects is automatic; both follow from the choices firms make when they deploy it. The auditor's role is not disappearing so much as narrowing onto what it was always meant to be, which is forming a judgement that a person can be held to.</w:t>
      </w:r>
    </w:p>
    <w:p>
      <w:pPr>
        <w:pBdr>
          <w:bottom w:val="single" w:color="C9D3E4" w:sz="6" w:space="1"/>
        </w:pBdr>
        <w:spacing w:after="200" w:before="120"/>
      </w:pPr>
      <w:r>
        <w:rPr>
          <w:sz w:val="2"/>
          <w:szCs w:val="2"/>
        </w:rPr>
        <w:t xml:space="preserve"/>
      </w:r>
    </w:p>
    <w:p>
      <w:pPr>
        <w:spacing w:after="140" w:line="300"/>
        <w:jc w:val="both"/>
      </w:pPr>
      <w:r>
        <w:rPr>
          <w:rFonts w:ascii="Calibri" w:cs="Calibri" w:eastAsia="Calibri" w:hAnsi="Calibri"/>
          <w:b w:val="false"/>
          <w:bCs w:val="false"/>
          <w:i/>
          <w:iCs/>
          <w:color w:val="5A6B88"/>
          <w:sz w:val="22"/>
          <w:szCs w:val="22"/>
        </w:rPr>
        <w:t xml:space="preserve">Tổng số từ: 1013.</w:t>
      </w:r>
    </w:p>
    <w:p>
      <w:r>
        <w:br w:type="page"/>
      </w:r>
    </w:p>
    <w:p>
      <w:pPr>
        <w:pStyle w:val="Heading1"/>
        <w:spacing w:after="180" w:before="360"/>
      </w:pPr>
      <w:r>
        <w:rPr>
          <w:rFonts w:ascii="Calibri" w:cs="Calibri" w:eastAsia="Calibri" w:hAnsi="Calibri"/>
          <w:b/>
          <w:bCs/>
          <w:color w:val="1F3864"/>
          <w:sz w:val="30"/>
          <w:szCs w:val="30"/>
        </w:rPr>
        <w:t xml:space="preserve">5. Tại sao bài này thuyết phục</w:t>
      </w:r>
    </w:p>
    <w:p>
      <w:pPr>
        <w:spacing w:after="140" w:line="300"/>
        <w:jc w:val="both"/>
      </w:pPr>
      <w:r>
        <w:rPr>
          <w:rFonts w:ascii="Calibri" w:cs="Calibri" w:eastAsia="Calibri" w:hAnsi="Calibri"/>
          <w:b w:val="false"/>
          <w:bCs w:val="false"/>
          <w:i w:val="false"/>
          <w:iCs w:val="false"/>
          <w:color w:val="1A1A1A"/>
          <w:sz w:val="22"/>
          <w:szCs w:val="22"/>
        </w:rPr>
        <w:t xml:space="preserve">Năm điểm dưới đây là những thứ quyết định chất lượng bài luận. Không điểm nào trong số đó liên quan tới việc dùng từ khó.</w:t>
      </w:r>
    </w:p>
    <w:p>
      <w:pPr>
        <w:pStyle w:val="Heading3"/>
        <w:spacing w:after="100" w:before="200"/>
      </w:pPr>
      <w:r>
        <w:rPr>
          <w:rFonts w:ascii="Calibri" w:cs="Calibri" w:eastAsia="Calibri" w:hAnsi="Calibri"/>
          <w:b/>
          <w:bCs/>
          <w:color w:val="2E5A9C"/>
          <w:sz w:val="23"/>
          <w:szCs w:val="23"/>
        </w:rPr>
        <w:t xml:space="preserve">5.1. Mỗi đoạn chỉ có một ý, và ý đó được đẩy tới cùng</w:t>
      </w:r>
    </w:p>
    <w:p>
      <w:pPr>
        <w:spacing w:after="140" w:line="300"/>
        <w:jc w:val="both"/>
      </w:pPr>
      <w:r>
        <w:rPr>
          <w:rFonts w:ascii="Calibri" w:cs="Calibri" w:eastAsia="Calibri" w:hAnsi="Calibri"/>
          <w:b w:val="false"/>
          <w:bCs w:val="false"/>
          <w:i w:val="false"/>
          <w:iCs w:val="false"/>
          <w:color w:val="1A1A1A"/>
          <w:sz w:val="22"/>
          <w:szCs w:val="22"/>
        </w:rPr>
        <w:t xml:space="preserve">Đoạn 2 chỉ nói về phạm vi kiểm tra. Nó không tranh thủ nói thêm về tốc độ hay chi phí. Nhờ vậy nó có đủ chỗ để giải thích rằng chọn mẫu là một sự nhượng bộ trước giới hạn thời gian của con người, rồi mới rút ra kết luận. Một đoạn nói ba ý nửa vời luôn yếu hơn một đoạn nói một ý trọn vẹn.</w:t>
      </w:r>
    </w:p>
    <w:p>
      <w:pPr>
        <w:pStyle w:val="Heading3"/>
        <w:spacing w:after="100" w:before="200"/>
      </w:pPr>
      <w:r>
        <w:rPr>
          <w:rFonts w:ascii="Calibri" w:cs="Calibri" w:eastAsia="Calibri" w:hAnsi="Calibri"/>
          <w:b/>
          <w:bCs/>
          <w:color w:val="2E5A9C"/>
          <w:sz w:val="23"/>
          <w:szCs w:val="23"/>
        </w:rPr>
        <w:t xml:space="preserve">5.2. Ý tưởng mang tính chuyên môn, không phải cảm tính</w:t>
      </w:r>
    </w:p>
    <w:p>
      <w:pPr>
        <w:spacing w:after="140" w:line="300"/>
        <w:jc w:val="both"/>
      </w:pPr>
      <w:r>
        <w:rPr>
          <w:rFonts w:ascii="Calibri" w:cs="Calibri" w:eastAsia="Calibri" w:hAnsi="Calibri"/>
          <w:b w:val="false"/>
          <w:bCs w:val="false"/>
          <w:i w:val="false"/>
          <w:iCs w:val="false"/>
          <w:color w:val="1A1A1A"/>
          <w:sz w:val="22"/>
          <w:szCs w:val="22"/>
        </w:rPr>
        <w:t xml:space="preserve">Bài dẫn ISA 500, nhắc tới thái độ nghề nghiệp thận trọng, ước tính tổn thất tín dụng dự kiến, giả định hoạt động liên tục, Bộ quy tắc đạo đức IESBA. Đây là lợi thế của sinh viên kế toán kiểm toán khi viết đề này: bạn có sẵn những ý mà người ngoài ngành không có. Hãy dùng chúng, nhưng chỉ khi chúng phục vụ lập luận, không phải để trưng ra.</w:t>
      </w:r>
    </w:p>
    <w:p>
      <w:pPr>
        <w:pStyle w:val="Heading3"/>
        <w:spacing w:after="100" w:before="200"/>
      </w:pPr>
      <w:r>
        <w:rPr>
          <w:rFonts w:ascii="Calibri" w:cs="Calibri" w:eastAsia="Calibri" w:hAnsi="Calibri"/>
          <w:b/>
          <w:bCs/>
          <w:color w:val="2E5A9C"/>
          <w:sz w:val="23"/>
          <w:szCs w:val="23"/>
        </w:rPr>
        <w:t xml:space="preserve">5.3. Hạn chế được đẩy tới chỗ bế tắc thật</w:t>
      </w:r>
    </w:p>
    <w:p>
      <w:pPr>
        <w:spacing w:after="140" w:line="300"/>
        <w:jc w:val="both"/>
      </w:pPr>
      <w:r>
        <w:rPr>
          <w:rFonts w:ascii="Calibri" w:cs="Calibri" w:eastAsia="Calibri" w:hAnsi="Calibri"/>
          <w:b w:val="false"/>
          <w:bCs w:val="false"/>
          <w:i w:val="false"/>
          <w:iCs w:val="false"/>
          <w:color w:val="1A1A1A"/>
          <w:sz w:val="22"/>
          <w:szCs w:val="22"/>
        </w:rPr>
        <w:t xml:space="preserve">Đoạn 5 không dừng ở "mô hình khó giải thích". Nó chỉ ra rằng ghi nhận cảnh báo của mô hình thì không phải bằng chứng, mà bỏ qua cảnh báo cũng không có cơ sở. Cả hai hướng đều dẫn tới một hồ sơ không chống đỡ được ý kiến kiểm toán. Khi bạn cho người đọc thấy một vấn đề không có lối ra dễ dàng, họ tin là bạn hiểu vấn đề.</w:t>
      </w:r>
    </w:p>
    <w:p>
      <w:pPr>
        <w:pStyle w:val="Heading3"/>
        <w:spacing w:after="100" w:before="200"/>
      </w:pPr>
      <w:r>
        <w:rPr>
          <w:rFonts w:ascii="Calibri" w:cs="Calibri" w:eastAsia="Calibri" w:hAnsi="Calibri"/>
          <w:b/>
          <w:bCs/>
          <w:color w:val="2E5A9C"/>
          <w:sz w:val="23"/>
          <w:szCs w:val="23"/>
        </w:rPr>
        <w:t xml:space="preserve">5.4. Quan điểm có điều kiện, không trung dung</w:t>
      </w:r>
    </w:p>
    <w:p>
      <w:pPr>
        <w:spacing w:after="140" w:line="300"/>
        <w:jc w:val="both"/>
      </w:pPr>
      <w:r>
        <w:rPr>
          <w:rFonts w:ascii="Calibri" w:cs="Calibri" w:eastAsia="Calibri" w:hAnsi="Calibri"/>
          <w:b w:val="false"/>
          <w:bCs w:val="false"/>
          <w:i w:val="false"/>
          <w:iCs w:val="false"/>
          <w:color w:val="1A1A1A"/>
          <w:sz w:val="22"/>
          <w:szCs w:val="22"/>
        </w:rPr>
        <w:t xml:space="preserve">Bài không nói "cần cân bằng giữa công nghệ và con người". Nó nói lợi ích lớn hơn, kèm bốn điều kiện cụ thể, và nói rõ chuyện gì xảy ra khi thiếu các điều kiện đó. Đó là khác biệt giữa một quan điểm và một câu cho có.</w:t>
      </w:r>
    </w:p>
    <w:p>
      <w:pPr>
        <w:pStyle w:val="Heading3"/>
        <w:spacing w:after="100" w:before="200"/>
      </w:pPr>
      <w:r>
        <w:rPr>
          <w:rFonts w:ascii="Calibri" w:cs="Calibri" w:eastAsia="Calibri" w:hAnsi="Calibri"/>
          <w:b/>
          <w:bCs/>
          <w:color w:val="2E5A9C"/>
          <w:sz w:val="23"/>
          <w:szCs w:val="23"/>
        </w:rPr>
        <w:t xml:space="preserve">5.5. Câu viết rõ, không cố làm phức tạp</w:t>
      </w:r>
    </w:p>
    <w:p>
      <w:pPr>
        <w:spacing w:after="140" w:line="300"/>
        <w:jc w:val="both"/>
      </w:pPr>
      <w:r>
        <w:rPr>
          <w:rFonts w:ascii="Calibri" w:cs="Calibri" w:eastAsia="Calibri" w:hAnsi="Calibri"/>
          <w:b w:val="false"/>
          <w:bCs w:val="false"/>
          <w:i w:val="false"/>
          <w:iCs w:val="false"/>
          <w:color w:val="1A1A1A"/>
          <w:sz w:val="22"/>
          <w:szCs w:val="22"/>
        </w:rPr>
        <w:t xml:space="preserve">Phần lớn câu trong bài là câu dài trung bình, một hoặc hai mệnh đề phụ, không hơn. Chỗ nào cần nhấn thì dùng câu ngắn: "Both paths lead to a file that does not support the opinion." Sự thay đổi độ dài câu tạo nhịp, và nhịp làm người đọc theo được lập luận. Đây là điều tôi nhắc học viên nhiều nhất: viết rõ là một lựa chọn, không phải một mức độ trình độ thấp hơn.</w:t>
      </w:r>
    </w:p>
    <w:p>
      <w:r>
        <w:br w:type="page"/>
      </w:r>
    </w:p>
    <w:p>
      <w:pPr>
        <w:pStyle w:val="Heading1"/>
        <w:spacing w:after="180" w:before="360"/>
      </w:pPr>
      <w:r>
        <w:rPr>
          <w:rFonts w:ascii="Calibri" w:cs="Calibri" w:eastAsia="Calibri" w:hAnsi="Calibri"/>
          <w:b/>
          <w:bCs/>
          <w:color w:val="1F3864"/>
          <w:sz w:val="30"/>
          <w:szCs w:val="30"/>
        </w:rPr>
        <w:t xml:space="preserve">6. Từ vựng chuyên ngành</w:t>
      </w:r>
    </w:p>
    <w:p>
      <w:pPr>
        <w:spacing w:after="140" w:line="300"/>
        <w:jc w:val="both"/>
      </w:pPr>
      <w:r>
        <w:rPr>
          <w:rFonts w:ascii="Calibri" w:cs="Calibri" w:eastAsia="Calibri" w:hAnsi="Calibri"/>
          <w:b w:val="false"/>
          <w:bCs w:val="false"/>
          <w:i w:val="false"/>
          <w:iCs w:val="false"/>
          <w:color w:val="1A1A1A"/>
          <w:sz w:val="22"/>
          <w:szCs w:val="22"/>
        </w:rPr>
        <w:t xml:space="preserve">Các cụm trong bảng đều xuất hiện trong bài mẫu. Học theo cụm và theo ngữ cảnh, đừng học từ rời.</w:t>
      </w:r>
    </w:p>
    <w:p>
      <w:pPr>
        <w:pStyle w:val="Heading2"/>
        <w:spacing w:after="120" w:before="260"/>
      </w:pPr>
      <w:r>
        <w:rPr>
          <w:rFonts w:ascii="Calibri" w:cs="Calibri" w:eastAsia="Calibri" w:hAnsi="Calibri"/>
          <w:b/>
          <w:bCs/>
          <w:color w:val="1F3864"/>
          <w:sz w:val="25"/>
          <w:szCs w:val="25"/>
        </w:rPr>
        <w:t xml:space="preserve">6.1. Thuật ngữ kiểm toán</w:t>
      </w:r>
    </w:p>
    <w:tbl>
      <w:tblPr>
        <w:tblW w:type="dxa" w:w="9360"/>
        <w:tblBorders>
          <w:top w:val="single" w:color="B9C5DA" w:sz="4"/>
          <w:left w:val="single" w:color="B9C5DA" w:sz="4"/>
          <w:bottom w:val="single" w:color="B9C5DA" w:sz="4"/>
          <w:right w:val="single" w:color="B9C5DA" w:sz="4"/>
          <w:insideH w:val="single" w:color="D5DEEC" w:sz="2"/>
          <w:insideV w:val="single" w:color="D5DEEC" w:sz="2"/>
        </w:tblBorders>
      </w:tblPr>
      <w:tblGrid>
        <w:gridCol w:w="2500"/>
        <w:gridCol w:w="3100"/>
        <w:gridCol w:w="3760"/>
      </w:tblGrid>
      <w:tr>
        <w:trPr>
          <w:tblHeader/>
        </w:trPr>
        <w:tc>
          <w:tcPr>
            <w:tcW w:type="dxa" w:w="2500"/>
            <w:shd w:fill="1F3864" w:color="auto" w:val="clear"/>
            <w:tcMar>
              <w:top w:type="dxa" w:w="80"/>
              <w:left w:type="dxa" w:w="120"/>
              <w:bottom w:type="dxa" w:w="80"/>
              <w:right w:type="dxa" w:w="120"/>
            </w:tcMar>
          </w:tcPr>
          <w:p>
            <w:pPr>
              <w:spacing w:after="0" w:line="280"/>
              <w:jc w:val="left"/>
            </w:pPr>
            <w:r>
              <w:rPr>
                <w:rFonts w:ascii="Calibri" w:cs="Calibri" w:eastAsia="Calibri" w:hAnsi="Calibri"/>
                <w:b/>
                <w:bCs/>
                <w:color w:val="FFFFFF"/>
                <w:sz w:val="21"/>
                <w:szCs w:val="21"/>
              </w:rPr>
              <w:t xml:space="preserve">Tiếng Anh</w:t>
            </w:r>
          </w:p>
        </w:tc>
        <w:tc>
          <w:tcPr>
            <w:tcW w:type="dxa" w:w="3100"/>
            <w:shd w:fill="1F3864" w:color="auto" w:val="clear"/>
            <w:tcMar>
              <w:top w:type="dxa" w:w="80"/>
              <w:left w:type="dxa" w:w="120"/>
              <w:bottom w:type="dxa" w:w="80"/>
              <w:right w:type="dxa" w:w="120"/>
            </w:tcMar>
          </w:tcPr>
          <w:p>
            <w:pPr>
              <w:spacing w:after="0" w:line="280"/>
              <w:jc w:val="left"/>
            </w:pPr>
            <w:r>
              <w:rPr>
                <w:rFonts w:ascii="Calibri" w:cs="Calibri" w:eastAsia="Calibri" w:hAnsi="Calibri"/>
                <w:b/>
                <w:bCs/>
                <w:color w:val="FFFFFF"/>
                <w:sz w:val="21"/>
                <w:szCs w:val="21"/>
              </w:rPr>
              <w:t xml:space="preserve">Tiếng Việt</w:t>
            </w:r>
          </w:p>
        </w:tc>
        <w:tc>
          <w:tcPr>
            <w:tcW w:type="dxa" w:w="3760"/>
            <w:shd w:fill="1F3864" w:color="auto" w:val="clear"/>
            <w:tcMar>
              <w:top w:type="dxa" w:w="80"/>
              <w:left w:type="dxa" w:w="120"/>
              <w:bottom w:type="dxa" w:w="80"/>
              <w:right w:type="dxa" w:w="120"/>
            </w:tcMar>
          </w:tcPr>
          <w:p>
            <w:pPr>
              <w:spacing w:after="0" w:line="280"/>
              <w:jc w:val="left"/>
            </w:pPr>
            <w:r>
              <w:rPr>
                <w:rFonts w:ascii="Calibri" w:cs="Calibri" w:eastAsia="Calibri" w:hAnsi="Calibri"/>
                <w:b/>
                <w:bCs/>
                <w:color w:val="FFFFFF"/>
                <w:sz w:val="21"/>
                <w:szCs w:val="21"/>
              </w:rPr>
              <w:t xml:space="preserve">Dùng trong câu</w:t>
            </w:r>
          </w:p>
        </w:tc>
      </w:tr>
      <w:tr>
        <w:tc>
          <w:tcPr>
            <w:tcW w:type="dxa" w:w="25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substantive testing</w:t>
            </w:r>
          </w:p>
        </w:tc>
        <w:tc>
          <w:tcPr>
            <w:tcW w:type="dxa" w:w="31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thử nghiệm cơ bản</w:t>
            </w:r>
          </w:p>
        </w:tc>
        <w:tc>
          <w:tcPr>
            <w:tcW w:type="dxa" w:w="37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Traditional substantive testing relies on sampling.</w:t>
            </w:r>
          </w:p>
        </w:tc>
      </w:tr>
      <w:tr>
        <w:tc>
          <w:tcPr>
            <w:tcW w:type="dxa" w:w="25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sampling</w:t>
            </w:r>
          </w:p>
        </w:tc>
        <w:tc>
          <w:tcPr>
            <w:tcW w:type="dxa" w:w="31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chọn mẫu</w:t>
            </w:r>
          </w:p>
        </w:tc>
        <w:tc>
          <w:tcPr>
            <w:tcW w:type="dxa" w:w="37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Sampling exists because of a constraint on human time.</w:t>
            </w:r>
          </w:p>
        </w:tc>
      </w:tr>
      <w:tr>
        <w:tc>
          <w:tcPr>
            <w:tcW w:type="dxa" w:w="25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population</w:t>
            </w:r>
          </w:p>
        </w:tc>
        <w:tc>
          <w:tcPr>
            <w:tcW w:type="dxa" w:w="31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tổng thể</w:t>
            </w:r>
          </w:p>
        </w:tc>
        <w:tc>
          <w:tcPr>
            <w:tcW w:type="dxa" w:w="37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to infer something about the population</w:t>
            </w:r>
          </w:p>
        </w:tc>
      </w:tr>
      <w:tr>
        <w:tc>
          <w:tcPr>
            <w:tcW w:type="dxa" w:w="25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full-population testing</w:t>
            </w:r>
          </w:p>
        </w:tc>
        <w:tc>
          <w:tcPr>
            <w:tcW w:type="dxa" w:w="31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kiểm tra toàn bộ tổng thể</w:t>
            </w:r>
          </w:p>
        </w:tc>
        <w:tc>
          <w:tcPr>
            <w:tcW w:type="dxa" w:w="37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Full-population testing gives a complete answer.</w:t>
            </w:r>
          </w:p>
        </w:tc>
      </w:tr>
      <w:tr>
        <w:tc>
          <w:tcPr>
            <w:tcW w:type="dxa" w:w="25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journal entry</w:t>
            </w:r>
          </w:p>
        </w:tc>
        <w:tc>
          <w:tcPr>
            <w:tcW w:type="dxa" w:w="31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bút toán</w:t>
            </w:r>
          </w:p>
        </w:tc>
        <w:tc>
          <w:tcPr>
            <w:tcW w:type="dxa" w:w="37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test every journal entry in a financial year</w:t>
            </w:r>
          </w:p>
        </w:tc>
      </w:tr>
      <w:tr>
        <w:tc>
          <w:tcPr>
            <w:tcW w:type="dxa" w:w="25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depreciation schedule</w:t>
            </w:r>
          </w:p>
        </w:tc>
        <w:tc>
          <w:tcPr>
            <w:tcW w:type="dxa" w:w="31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bảng tính khấu hao</w:t>
            </w:r>
          </w:p>
        </w:tc>
        <w:tc>
          <w:tcPr>
            <w:tcW w:type="dxa" w:w="37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recalculate every depreciation schedule</w:t>
            </w:r>
          </w:p>
        </w:tc>
      </w:tr>
      <w:tr>
        <w:tc>
          <w:tcPr>
            <w:tcW w:type="dxa" w:w="25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to reconcile against</w:t>
            </w:r>
          </w:p>
        </w:tc>
        <w:tc>
          <w:tcPr>
            <w:tcW w:type="dxa" w:w="31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đối chiếu với</w:t>
            </w:r>
          </w:p>
        </w:tc>
        <w:tc>
          <w:tcPr>
            <w:tcW w:type="dxa" w:w="37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reconcile every invoice against its purchase order</w:t>
            </w:r>
          </w:p>
        </w:tc>
      </w:tr>
      <w:tr>
        <w:tc>
          <w:tcPr>
            <w:tcW w:type="dxa" w:w="25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material misstatement</w:t>
            </w:r>
          </w:p>
        </w:tc>
        <w:tc>
          <w:tcPr>
            <w:tcW w:type="dxa" w:w="31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sai sót trọng yếu</w:t>
            </w:r>
          </w:p>
        </w:tc>
        <w:tc>
          <w:tcPr>
            <w:tcW w:type="dxa" w:w="37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an undetected material misstatement</w:t>
            </w:r>
          </w:p>
        </w:tc>
      </w:tr>
      <w:tr>
        <w:tc>
          <w:tcPr>
            <w:tcW w:type="dxa" w:w="25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audit evidence</w:t>
            </w:r>
          </w:p>
        </w:tc>
        <w:tc>
          <w:tcPr>
            <w:tcW w:type="dxa" w:w="31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bằng chứng kiểm toán</w:t>
            </w:r>
          </w:p>
        </w:tc>
        <w:tc>
          <w:tcPr>
            <w:tcW w:type="dxa" w:w="37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sufficient and appropriate audit evidence</w:t>
            </w:r>
          </w:p>
        </w:tc>
      </w:tr>
      <w:tr>
        <w:tc>
          <w:tcPr>
            <w:tcW w:type="dxa" w:w="25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audit file</w:t>
            </w:r>
          </w:p>
        </w:tc>
        <w:tc>
          <w:tcPr>
            <w:tcW w:type="dxa" w:w="31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hồ sơ kiểm toán</w:t>
            </w:r>
          </w:p>
        </w:tc>
        <w:tc>
          <w:tcPr>
            <w:tcW w:type="dxa" w:w="37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The audit file must show how a conclusion was reached.</w:t>
            </w:r>
          </w:p>
        </w:tc>
      </w:tr>
      <w:tr>
        <w:tc>
          <w:tcPr>
            <w:tcW w:type="dxa" w:w="25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professional scepticism</w:t>
            </w:r>
          </w:p>
        </w:tc>
        <w:tc>
          <w:tcPr>
            <w:tcW w:type="dxa" w:w="31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thái độ nghề nghiệp thận trọng</w:t>
            </w:r>
          </w:p>
        </w:tc>
        <w:tc>
          <w:tcPr>
            <w:tcW w:type="dxa" w:w="37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Professional scepticism erodes quietly.</w:t>
            </w:r>
          </w:p>
        </w:tc>
      </w:tr>
      <w:tr>
        <w:tc>
          <w:tcPr>
            <w:tcW w:type="dxa" w:w="25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engagement partner</w:t>
            </w:r>
          </w:p>
        </w:tc>
        <w:tc>
          <w:tcPr>
            <w:tcW w:type="dxa" w:w="31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thành viên phụ trách hợp đồng kiểm toán</w:t>
            </w:r>
          </w:p>
        </w:tc>
        <w:tc>
          <w:tcPr>
            <w:tcW w:type="dxa" w:w="37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the engagement partner who signed the report</w:t>
            </w:r>
          </w:p>
        </w:tc>
      </w:tr>
      <w:tr>
        <w:tc>
          <w:tcPr>
            <w:tcW w:type="dxa" w:w="25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going-concern assumption</w:t>
            </w:r>
          </w:p>
        </w:tc>
        <w:tc>
          <w:tcPr>
            <w:tcW w:type="dxa" w:w="31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giả định hoạt động liên tục</w:t>
            </w:r>
          </w:p>
        </w:tc>
        <w:tc>
          <w:tcPr>
            <w:tcW w:type="dxa" w:w="37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challenging management's going-concern assumptions</w:t>
            </w:r>
          </w:p>
        </w:tc>
      </w:tr>
      <w:tr>
        <w:tc>
          <w:tcPr>
            <w:tcW w:type="dxa" w:w="25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expected credit losses</w:t>
            </w:r>
          </w:p>
        </w:tc>
        <w:tc>
          <w:tcPr>
            <w:tcW w:type="dxa" w:w="31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tổn thất tín dụng dự kiến</w:t>
            </w:r>
          </w:p>
        </w:tc>
        <w:tc>
          <w:tcPr>
            <w:tcW w:type="dxa" w:w="37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estimating expected credit losses</w:t>
            </w:r>
          </w:p>
        </w:tc>
      </w:tr>
      <w:tr>
        <w:tc>
          <w:tcPr>
            <w:tcW w:type="dxa" w:w="25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fair value</w:t>
            </w:r>
          </w:p>
        </w:tc>
        <w:tc>
          <w:tcPr>
            <w:tcW w:type="dxa" w:w="31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giá trị hợp lý</w:t>
            </w:r>
          </w:p>
        </w:tc>
        <w:tc>
          <w:tcPr>
            <w:tcW w:type="dxa" w:w="37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assets with no active market</w:t>
            </w:r>
          </w:p>
        </w:tc>
      </w:tr>
      <w:tr>
        <w:tc>
          <w:tcPr>
            <w:tcW w:type="dxa" w:w="25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vouching, footing, tie-outs</w:t>
            </w:r>
          </w:p>
        </w:tc>
        <w:tc>
          <w:tcPr>
            <w:tcW w:type="dxa" w:w="310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kiểm tra chứng từ, cộng dọc, đối chiếu số liệu</w:t>
            </w:r>
          </w:p>
        </w:tc>
        <w:tc>
          <w:tcPr>
            <w:tcW w:type="dxa" w:w="37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Vouching, footing and tie-outs consume junior time.</w:t>
            </w:r>
          </w:p>
        </w:tc>
      </w:tr>
      <w:tr>
        <w:tc>
          <w:tcPr>
            <w:tcW w:type="dxa" w:w="25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duty of confidentiality</w:t>
            </w:r>
          </w:p>
        </w:tc>
        <w:tc>
          <w:tcPr>
            <w:tcW w:type="dxa" w:w="310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nghĩa vụ bảo mật</w:t>
            </w:r>
          </w:p>
        </w:tc>
        <w:tc>
          <w:tcPr>
            <w:tcW w:type="dxa" w:w="37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the duty in the IESBA Code</w:t>
            </w:r>
          </w:p>
        </w:tc>
      </w:tr>
    </w:tbl>
    <w:p>
      <w:pPr>
        <w:spacing w:before="240"/>
      </w:pPr>
      <w:r>
        <w:t xml:space="preserve"/>
      </w:r>
    </w:p>
    <w:p>
      <w:pPr>
        <w:pStyle w:val="Heading2"/>
        <w:spacing w:after="120" w:before="260"/>
      </w:pPr>
      <w:r>
        <w:rPr>
          <w:rFonts w:ascii="Calibri" w:cs="Calibri" w:eastAsia="Calibri" w:hAnsi="Calibri"/>
          <w:b/>
          <w:bCs/>
          <w:color w:val="1F3864"/>
          <w:sz w:val="25"/>
          <w:szCs w:val="25"/>
        </w:rPr>
        <w:t xml:space="preserve">6.2. Cụm dùng để lập luận</w:t>
      </w:r>
    </w:p>
    <w:tbl>
      <w:tblPr>
        <w:tblW w:type="dxa" w:w="9360"/>
        <w:tblBorders>
          <w:top w:val="single" w:color="B9C5DA" w:sz="4"/>
          <w:left w:val="single" w:color="B9C5DA" w:sz="4"/>
          <w:bottom w:val="single" w:color="B9C5DA" w:sz="4"/>
          <w:right w:val="single" w:color="B9C5DA" w:sz="4"/>
          <w:insideH w:val="single" w:color="D5DEEC" w:sz="2"/>
          <w:insideV w:val="single" w:color="D5DEEC" w:sz="2"/>
        </w:tblBorders>
      </w:tblPr>
      <w:tblGrid>
        <w:gridCol w:w="3600"/>
        <w:gridCol w:w="5760"/>
      </w:tblGrid>
      <w:tr>
        <w:trPr>
          <w:tblHeader/>
        </w:trPr>
        <w:tc>
          <w:tcPr>
            <w:tcW w:type="dxa" w:w="3600"/>
            <w:shd w:fill="1F3864" w:color="auto" w:val="clear"/>
            <w:tcMar>
              <w:top w:type="dxa" w:w="80"/>
              <w:left w:type="dxa" w:w="120"/>
              <w:bottom w:type="dxa" w:w="80"/>
              <w:right w:type="dxa" w:w="120"/>
            </w:tcMar>
          </w:tcPr>
          <w:p>
            <w:pPr>
              <w:spacing w:after="0" w:line="280"/>
              <w:jc w:val="left"/>
            </w:pPr>
            <w:r>
              <w:rPr>
                <w:rFonts w:ascii="Calibri" w:cs="Calibri" w:eastAsia="Calibri" w:hAnsi="Calibri"/>
                <w:b/>
                <w:bCs/>
                <w:color w:val="FFFFFF"/>
                <w:sz w:val="21"/>
                <w:szCs w:val="21"/>
              </w:rPr>
              <w:t xml:space="preserve">Cụm</w:t>
            </w:r>
          </w:p>
        </w:tc>
        <w:tc>
          <w:tcPr>
            <w:tcW w:type="dxa" w:w="5760"/>
            <w:shd w:fill="1F3864" w:color="auto" w:val="clear"/>
            <w:tcMar>
              <w:top w:type="dxa" w:w="80"/>
              <w:left w:type="dxa" w:w="120"/>
              <w:bottom w:type="dxa" w:w="80"/>
              <w:right w:type="dxa" w:w="120"/>
            </w:tcMar>
          </w:tcPr>
          <w:p>
            <w:pPr>
              <w:spacing w:after="0" w:line="280"/>
              <w:jc w:val="left"/>
            </w:pPr>
            <w:r>
              <w:rPr>
                <w:rFonts w:ascii="Calibri" w:cs="Calibri" w:eastAsia="Calibri" w:hAnsi="Calibri"/>
                <w:b/>
                <w:bCs/>
                <w:color w:val="FFFFFF"/>
                <w:sz w:val="21"/>
                <w:szCs w:val="21"/>
              </w:rPr>
              <w:t xml:space="preserve">Vai trò trong bài</w:t>
            </w:r>
          </w:p>
        </w:tc>
      </w:tr>
      <w:tr>
        <w:tc>
          <w:tcPr>
            <w:tcW w:type="dxa" w:w="3600"/>
            <w:tcMar>
              <w:top w:type="dxa" w:w="80"/>
              <w:left w:type="dxa" w:w="120"/>
              <w:bottom w:type="dxa" w:w="80"/>
              <w:right w:type="dxa" w:w="120"/>
            </w:tcMar>
          </w:tcPr>
          <w:p>
            <w:pPr>
              <w:spacing w:after="0" w:line="280"/>
              <w:jc w:val="left"/>
            </w:pPr>
            <w:r>
              <w:rPr>
                <w:rFonts w:ascii="Calibri" w:cs="Calibri" w:eastAsia="Calibri" w:hAnsi="Calibri"/>
                <w:b/>
                <w:bCs/>
                <w:color w:val="1A1A1A"/>
                <w:sz w:val="21"/>
                <w:szCs w:val="21"/>
              </w:rPr>
              <w:t xml:space="preserve">The clearest advantage is...</w:t>
            </w:r>
          </w:p>
        </w:tc>
        <w:tc>
          <w:tcPr>
            <w:tcW w:type="dxa" w:w="57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Mở một luận điểm, báo ngay cho người đọc biết đoạn này nói gì</w:t>
            </w:r>
          </w:p>
        </w:tc>
      </w:tr>
      <w:tr>
        <w:tc>
          <w:tcPr>
            <w:tcW w:type="dxa" w:w="3600"/>
            <w:shd w:fill="F2F5FA" w:color="auto" w:val="clear"/>
            <w:tcMar>
              <w:top w:type="dxa" w:w="80"/>
              <w:left w:type="dxa" w:w="120"/>
              <w:bottom w:type="dxa" w:w="80"/>
              <w:right w:type="dxa" w:w="120"/>
            </w:tcMar>
          </w:tcPr>
          <w:p>
            <w:pPr>
              <w:spacing w:after="0" w:line="280"/>
              <w:jc w:val="left"/>
            </w:pPr>
            <w:r>
              <w:rPr>
                <w:rFonts w:ascii="Calibri" w:cs="Calibri" w:eastAsia="Calibri" w:hAnsi="Calibri"/>
                <w:b/>
                <w:bCs/>
                <w:color w:val="1A1A1A"/>
                <w:sz w:val="21"/>
                <w:szCs w:val="21"/>
              </w:rPr>
              <w:t xml:space="preserve">A second advantage concerns...</w:t>
            </w:r>
          </w:p>
        </w:tc>
        <w:tc>
          <w:tcPr>
            <w:tcW w:type="dxa" w:w="57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Chuyển đoạn gọn, không cần Secondly khô cứng</w:t>
            </w:r>
          </w:p>
        </w:tc>
      </w:tr>
      <w:tr>
        <w:tc>
          <w:tcPr>
            <w:tcW w:type="dxa" w:w="3600"/>
            <w:tcMar>
              <w:top w:type="dxa" w:w="80"/>
              <w:left w:type="dxa" w:w="120"/>
              <w:bottom w:type="dxa" w:w="80"/>
              <w:right w:type="dxa" w:w="120"/>
            </w:tcMar>
          </w:tcPr>
          <w:p>
            <w:pPr>
              <w:spacing w:after="0" w:line="280"/>
              <w:jc w:val="left"/>
            </w:pPr>
            <w:r>
              <w:rPr>
                <w:rFonts w:ascii="Calibri" w:cs="Calibri" w:eastAsia="Calibri" w:hAnsi="Calibri"/>
                <w:b/>
                <w:bCs/>
                <w:color w:val="1A1A1A"/>
                <w:sz w:val="21"/>
                <w:szCs w:val="21"/>
              </w:rPr>
              <w:t xml:space="preserve">The practical effect is to...</w:t>
            </w:r>
          </w:p>
        </w:tc>
        <w:tc>
          <w:tcPr>
            <w:tcW w:type="dxa" w:w="57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Rút hệ quả thực tế từ một nhận định</w:t>
            </w:r>
          </w:p>
        </w:tc>
      </w:tr>
      <w:tr>
        <w:tc>
          <w:tcPr>
            <w:tcW w:type="dxa" w:w="3600"/>
            <w:shd w:fill="F2F5FA" w:color="auto" w:val="clear"/>
            <w:tcMar>
              <w:top w:type="dxa" w:w="80"/>
              <w:left w:type="dxa" w:w="120"/>
              <w:bottom w:type="dxa" w:w="80"/>
              <w:right w:type="dxa" w:w="120"/>
            </w:tcMar>
          </w:tcPr>
          <w:p>
            <w:pPr>
              <w:spacing w:after="0" w:line="280"/>
              <w:jc w:val="left"/>
            </w:pPr>
            <w:r>
              <w:rPr>
                <w:rFonts w:ascii="Calibri" w:cs="Calibri" w:eastAsia="Calibri" w:hAnsi="Calibri"/>
                <w:b/>
                <w:bCs/>
                <w:color w:val="1A1A1A"/>
                <w:sz w:val="21"/>
                <w:szCs w:val="21"/>
              </w:rPr>
              <w:t xml:space="preserve">The most serious disadvantage concerns...</w:t>
            </w:r>
          </w:p>
        </w:tc>
        <w:tc>
          <w:tcPr>
            <w:tcW w:type="dxa" w:w="57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Xếp hạng mức độ nghiêm trọng, cho thấy bạn có đánh giá chứ không chỉ liệt kê</w:t>
            </w:r>
          </w:p>
        </w:tc>
      </w:tr>
      <w:tr>
        <w:tc>
          <w:tcPr>
            <w:tcW w:type="dxa" w:w="3600"/>
            <w:tcMar>
              <w:top w:type="dxa" w:w="80"/>
              <w:left w:type="dxa" w:w="120"/>
              <w:bottom w:type="dxa" w:w="80"/>
              <w:right w:type="dxa" w:w="120"/>
            </w:tcMar>
          </w:tcPr>
          <w:p>
            <w:pPr>
              <w:spacing w:after="0" w:line="280"/>
              <w:jc w:val="left"/>
            </w:pPr>
            <w:r>
              <w:rPr>
                <w:rFonts w:ascii="Calibri" w:cs="Calibri" w:eastAsia="Calibri" w:hAnsi="Calibri"/>
                <w:b/>
                <w:bCs/>
                <w:color w:val="1A1A1A"/>
                <w:sz w:val="21"/>
                <w:szCs w:val="21"/>
              </w:rPr>
              <w:t xml:space="preserve">X inherits the weaknesses of...</w:t>
            </w:r>
          </w:p>
        </w:tc>
        <w:tc>
          <w:tcPr>
            <w:tcW w:type="dxa" w:w="57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Diễn đạt quan hệ nguyên nhân mà không cần vì vậy, do đó</w:t>
            </w:r>
          </w:p>
        </w:tc>
      </w:tr>
      <w:tr>
        <w:tc>
          <w:tcPr>
            <w:tcW w:type="dxa" w:w="3600"/>
            <w:shd w:fill="F2F5FA" w:color="auto" w:val="clear"/>
            <w:tcMar>
              <w:top w:type="dxa" w:w="80"/>
              <w:left w:type="dxa" w:w="120"/>
              <w:bottom w:type="dxa" w:w="80"/>
              <w:right w:type="dxa" w:w="120"/>
            </w:tcMar>
          </w:tcPr>
          <w:p>
            <w:pPr>
              <w:spacing w:after="0" w:line="280"/>
              <w:jc w:val="left"/>
            </w:pPr>
            <w:r>
              <w:rPr>
                <w:rFonts w:ascii="Calibri" w:cs="Calibri" w:eastAsia="Calibri" w:hAnsi="Calibri"/>
                <w:b/>
                <w:bCs/>
                <w:color w:val="1A1A1A"/>
                <w:sz w:val="21"/>
                <w:szCs w:val="21"/>
              </w:rPr>
              <w:t xml:space="preserve">Over-reliance makes this worse.</w:t>
            </w:r>
          </w:p>
        </w:tc>
        <w:tc>
          <w:tcPr>
            <w:tcW w:type="dxa" w:w="57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Câu ngắn nối hai ý, tạo nhịp</w:t>
            </w:r>
          </w:p>
        </w:tc>
      </w:tr>
      <w:tr>
        <w:tc>
          <w:tcPr>
            <w:tcW w:type="dxa" w:w="3600"/>
            <w:tcMar>
              <w:top w:type="dxa" w:w="80"/>
              <w:left w:type="dxa" w:w="120"/>
              <w:bottom w:type="dxa" w:w="80"/>
              <w:right w:type="dxa" w:w="120"/>
            </w:tcMar>
          </w:tcPr>
          <w:p>
            <w:pPr>
              <w:spacing w:after="0" w:line="280"/>
              <w:jc w:val="left"/>
            </w:pPr>
            <w:r>
              <w:rPr>
                <w:rFonts w:ascii="Calibri" w:cs="Calibri" w:eastAsia="Calibri" w:hAnsi="Calibri"/>
                <w:b/>
                <w:bCs/>
                <w:color w:val="1A1A1A"/>
                <w:sz w:val="21"/>
                <w:szCs w:val="21"/>
              </w:rPr>
              <w:t xml:space="preserve">This is a problem of X rather than of Y.</w:t>
            </w:r>
          </w:p>
        </w:tc>
        <w:tc>
          <w:tcPr>
            <w:tcW w:type="dxa" w:w="57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Định vị lại bản chất vấn đề, rất mạnh ở phần hạn chế</w:t>
            </w:r>
          </w:p>
        </w:tc>
      </w:tr>
      <w:tr>
        <w:tc>
          <w:tcPr>
            <w:tcW w:type="dxa" w:w="3600"/>
            <w:shd w:fill="F2F5FA" w:color="auto" w:val="clear"/>
            <w:tcMar>
              <w:top w:type="dxa" w:w="80"/>
              <w:left w:type="dxa" w:w="120"/>
              <w:bottom w:type="dxa" w:w="80"/>
              <w:right w:type="dxa" w:w="120"/>
            </w:tcMar>
          </w:tcPr>
          <w:p>
            <w:pPr>
              <w:spacing w:after="0" w:line="280"/>
              <w:jc w:val="left"/>
            </w:pPr>
            <w:r>
              <w:rPr>
                <w:rFonts w:ascii="Calibri" w:cs="Calibri" w:eastAsia="Calibri" w:hAnsi="Calibri"/>
                <w:b/>
                <w:bCs/>
                <w:color w:val="1A1A1A"/>
                <w:sz w:val="21"/>
                <w:szCs w:val="21"/>
              </w:rPr>
              <w:t xml:space="preserve">In my own view... but only on conditions</w:t>
            </w:r>
          </w:p>
        </w:tc>
        <w:tc>
          <w:tcPr>
            <w:tcW w:type="dxa" w:w="57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Mở quan điểm cá nhân có điều kiện thay vì trung dung</w:t>
            </w:r>
          </w:p>
        </w:tc>
      </w:tr>
      <w:tr>
        <w:tc>
          <w:tcPr>
            <w:tcW w:type="dxa" w:w="3600"/>
            <w:tcMar>
              <w:top w:type="dxa" w:w="80"/>
              <w:left w:type="dxa" w:w="120"/>
              <w:bottom w:type="dxa" w:w="80"/>
              <w:right w:type="dxa" w:w="120"/>
            </w:tcMar>
          </w:tcPr>
          <w:p>
            <w:pPr>
              <w:spacing w:after="0" w:line="280"/>
              <w:jc w:val="left"/>
            </w:pPr>
            <w:r>
              <w:rPr>
                <w:rFonts w:ascii="Calibri" w:cs="Calibri" w:eastAsia="Calibri" w:hAnsi="Calibri"/>
                <w:b/>
                <w:bCs/>
                <w:color w:val="1A1A1A"/>
                <w:sz w:val="21"/>
                <w:szCs w:val="21"/>
              </w:rPr>
              <w:t xml:space="preserve">Where those conditions hold... Where they do not...</w:t>
            </w:r>
          </w:p>
        </w:tc>
        <w:tc>
          <w:tcPr>
            <w:tcW w:type="dxa" w:w="5760"/>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Cặp câu đối lập, làm quan điểm trở nên dứt khoát</w:t>
            </w:r>
          </w:p>
        </w:tc>
      </w:tr>
      <w:tr>
        <w:tc>
          <w:tcPr>
            <w:tcW w:type="dxa" w:w="3600"/>
            <w:shd w:fill="F2F5FA" w:color="auto" w:val="clear"/>
            <w:tcMar>
              <w:top w:type="dxa" w:w="80"/>
              <w:left w:type="dxa" w:w="120"/>
              <w:bottom w:type="dxa" w:w="80"/>
              <w:right w:type="dxa" w:w="120"/>
            </w:tcMar>
          </w:tcPr>
          <w:p>
            <w:pPr>
              <w:spacing w:after="0" w:line="280"/>
              <w:jc w:val="left"/>
            </w:pPr>
            <w:r>
              <w:rPr>
                <w:rFonts w:ascii="Calibri" w:cs="Calibri" w:eastAsia="Calibri" w:hAnsi="Calibri"/>
                <w:b/>
                <w:bCs/>
                <w:color w:val="1A1A1A"/>
                <w:sz w:val="21"/>
                <w:szCs w:val="21"/>
              </w:rPr>
              <w:t xml:space="preserve">Neither set of effects is automatic.</w:t>
            </w:r>
          </w:p>
        </w:tc>
        <w:tc>
          <w:tcPr>
            <w:tcW w:type="dxa" w:w="5760"/>
            <w:shd w:fill="F2F5FA" w:color="auto" w:val="clear"/>
            <w:tcMar>
              <w:top w:type="dxa" w:w="80"/>
              <w:left w:type="dxa" w:w="120"/>
              <w:bottom w:type="dxa" w:w="80"/>
              <w:right w:type="dxa" w:w="120"/>
            </w:tcMar>
          </w:tcPr>
          <w:p>
            <w:pPr>
              <w:spacing w:after="0" w:line="280"/>
              <w:jc w:val="left"/>
            </w:pPr>
            <w:r>
              <w:rPr>
                <w:rFonts w:ascii="Calibri" w:cs="Calibri" w:eastAsia="Calibri" w:hAnsi="Calibri"/>
                <w:b w:val="false"/>
                <w:bCs w:val="false"/>
                <w:color w:val="1A1A1A"/>
                <w:sz w:val="21"/>
                <w:szCs w:val="21"/>
              </w:rPr>
              <w:t xml:space="preserve">Câu kết bài phủ định cả hai thái cực, tránh kết luận sáo</w:t>
            </w:r>
          </w:p>
        </w:tc>
      </w:tr>
    </w:tbl>
    <w:p>
      <w:r>
        <w:br w:type="page"/>
      </w:r>
    </w:p>
    <w:p>
      <w:pPr>
        <w:pStyle w:val="Heading1"/>
        <w:spacing w:after="180" w:before="360"/>
      </w:pPr>
      <w:r>
        <w:rPr>
          <w:rFonts w:ascii="Calibri" w:cs="Calibri" w:eastAsia="Calibri" w:hAnsi="Calibri"/>
          <w:b/>
          <w:bCs/>
          <w:color w:val="1F3864"/>
          <w:sz w:val="30"/>
          <w:szCs w:val="30"/>
        </w:rPr>
        <w:t xml:space="preserve">7. Bài tập mở rộng</w:t>
      </w:r>
    </w:p>
    <w:p>
      <w:pPr>
        <w:spacing w:after="140" w:line="300"/>
        <w:jc w:val="both"/>
      </w:pPr>
      <w:r>
        <w:rPr>
          <w:rFonts w:ascii="Calibri" w:cs="Calibri" w:eastAsia="Calibri" w:hAnsi="Calibri"/>
          <w:b w:val="false"/>
          <w:bCs w:val="false"/>
          <w:i w:val="false"/>
          <w:iCs w:val="false"/>
          <w:color w:val="1A1A1A"/>
          <w:sz w:val="22"/>
          <w:szCs w:val="22"/>
        </w:rPr>
        <w:t xml:space="preserve">Làm theo thứ tự. Bài 1 và 2 rèn khả năng lập luận, bài 3 và 4 rèn khả năng viết, bài 5 là bài viết hoàn chỉnh.</w:t>
      </w:r>
    </w:p>
    <w:p>
      <w:pPr>
        <w:pStyle w:val="Heading3"/>
        <w:spacing w:after="100" w:before="200"/>
      </w:pPr>
      <w:r>
        <w:rPr>
          <w:rFonts w:ascii="Calibri" w:cs="Calibri" w:eastAsia="Calibri" w:hAnsi="Calibri"/>
          <w:b/>
          <w:bCs/>
          <w:color w:val="2E5A9C"/>
          <w:sz w:val="23"/>
          <w:szCs w:val="23"/>
        </w:rPr>
        <w:t xml:space="preserve">Bài 1. Tìm chỗ yếu nhất</w:t>
      </w:r>
    </w:p>
    <w:p>
      <w:pPr>
        <w:spacing w:after="140" w:line="300"/>
        <w:jc w:val="both"/>
      </w:pPr>
      <w:r>
        <w:rPr>
          <w:rFonts w:ascii="Calibri" w:cs="Calibri" w:eastAsia="Calibri" w:hAnsi="Calibri"/>
          <w:b w:val="false"/>
          <w:bCs w:val="false"/>
          <w:i w:val="false"/>
          <w:iCs w:val="false"/>
          <w:color w:val="1A1A1A"/>
          <w:sz w:val="22"/>
          <w:szCs w:val="22"/>
        </w:rPr>
        <w:t xml:space="preserve">Trong ba lợi ích của bài mẫu, theo bạn lợi ích nào dễ bị phản bác nhất. Viết một đoạn khoảng 80 từ phản bác nó, rồi viết một đoạn bảo vệ lại. Mục đích là thấy được một lập luận đứng được nhờ gì.</w:t>
      </w:r>
    </w:p>
    <w:p>
      <w:pPr>
        <w:pStyle w:val="Heading3"/>
        <w:spacing w:after="100" w:before="200"/>
      </w:pPr>
      <w:r>
        <w:rPr>
          <w:rFonts w:ascii="Calibri" w:cs="Calibri" w:eastAsia="Calibri" w:hAnsi="Calibri"/>
          <w:b/>
          <w:bCs/>
          <w:color w:val="2E5A9C"/>
          <w:sz w:val="23"/>
          <w:szCs w:val="23"/>
        </w:rPr>
        <w:t xml:space="preserve">Bài 2. Đổi quan điểm</w:t>
      </w:r>
    </w:p>
    <w:p>
      <w:pPr>
        <w:spacing w:after="140" w:line="300"/>
        <w:jc w:val="both"/>
      </w:pPr>
      <w:r>
        <w:rPr>
          <w:rFonts w:ascii="Calibri" w:cs="Calibri" w:eastAsia="Calibri" w:hAnsi="Calibri"/>
          <w:b w:val="false"/>
          <w:bCs w:val="false"/>
          <w:i w:val="false"/>
          <w:iCs w:val="false"/>
          <w:color w:val="1A1A1A"/>
          <w:sz w:val="22"/>
          <w:szCs w:val="22"/>
        </w:rPr>
        <w:t xml:space="preserve">Giữ nguyên toàn bộ phần lợi ích và hạn chế, nhưng viết lại đoạn quan điểm theo hướng ngược lại: hạn chế lớn hơn lợi ích. Yêu cầu bắt buộc là phải nêu được điều kiện cụ thể như bài mẫu, không được viết chung chung.</w:t>
      </w:r>
    </w:p>
    <w:p>
      <w:pPr>
        <w:pStyle w:val="Heading3"/>
        <w:spacing w:after="100" w:before="200"/>
      </w:pPr>
      <w:r>
        <w:rPr>
          <w:rFonts w:ascii="Calibri" w:cs="Calibri" w:eastAsia="Calibri" w:hAnsi="Calibri"/>
          <w:b/>
          <w:bCs/>
          <w:color w:val="2E5A9C"/>
          <w:sz w:val="23"/>
          <w:szCs w:val="23"/>
        </w:rPr>
        <w:t xml:space="preserve">Bài 3. Rút ngắn</w:t>
      </w:r>
    </w:p>
    <w:p>
      <w:pPr>
        <w:spacing w:after="140" w:line="300"/>
        <w:jc w:val="both"/>
      </w:pPr>
      <w:r>
        <w:rPr>
          <w:rFonts w:ascii="Calibri" w:cs="Calibri" w:eastAsia="Calibri" w:hAnsi="Calibri"/>
          <w:b w:val="false"/>
          <w:bCs w:val="false"/>
          <w:i w:val="false"/>
          <w:iCs w:val="false"/>
          <w:color w:val="1A1A1A"/>
          <w:sz w:val="22"/>
          <w:szCs w:val="22"/>
        </w:rPr>
        <w:t xml:space="preserve">Viết lại đoạn 6 của bài mẫu trong 70 từ, giữ đủ ba ý là dữ liệu huấn luyện, thiên lệch tự động hoá và mai một năng lực. Bài tập này dạy bạn nhận ra chữ nào thực sự mang nghĩa.</w:t>
      </w:r>
    </w:p>
    <w:p>
      <w:pPr>
        <w:pStyle w:val="Heading3"/>
        <w:spacing w:after="100" w:before="200"/>
      </w:pPr>
      <w:r>
        <w:rPr>
          <w:rFonts w:ascii="Calibri" w:cs="Calibri" w:eastAsia="Calibri" w:hAnsi="Calibri"/>
          <w:b/>
          <w:bCs/>
          <w:color w:val="2E5A9C"/>
          <w:sz w:val="23"/>
          <w:szCs w:val="23"/>
        </w:rPr>
        <w:t xml:space="preserve">Bài 4. Thay từ to bằng từ đúng</w:t>
      </w:r>
    </w:p>
    <w:p>
      <w:pPr>
        <w:spacing w:after="140" w:line="300"/>
        <w:jc w:val="both"/>
      </w:pPr>
      <w:r>
        <w:rPr>
          <w:rFonts w:ascii="Calibri" w:cs="Calibri" w:eastAsia="Calibri" w:hAnsi="Calibri"/>
          <w:b w:val="false"/>
          <w:bCs w:val="false"/>
          <w:i w:val="false"/>
          <w:iCs w:val="false"/>
          <w:color w:val="1A1A1A"/>
          <w:sz w:val="22"/>
          <w:szCs w:val="22"/>
        </w:rPr>
        <w:t xml:space="preserve">Tìm trong bài mẫu ba chỗ bạn nghĩ có thể thay bằng từ đơn giản hơn mà không mất nghĩa. Nếu tìm được, bài mẫu còn sửa được. Đây là cách đọc mà tôi muốn học viên giữ: không có bài nào hoàn hảo, kể cả bài mẫu.</w:t>
      </w:r>
    </w:p>
    <w:p>
      <w:pPr>
        <w:pStyle w:val="Heading3"/>
        <w:spacing w:after="100" w:before="200"/>
      </w:pPr>
      <w:r>
        <w:rPr>
          <w:rFonts w:ascii="Calibri" w:cs="Calibri" w:eastAsia="Calibri" w:hAnsi="Calibri"/>
          <w:b/>
          <w:bCs/>
          <w:color w:val="2E5A9C"/>
          <w:sz w:val="23"/>
          <w:szCs w:val="23"/>
        </w:rPr>
        <w:t xml:space="preserve">Bài 5. Viết bài của bạn</w:t>
      </w:r>
    </w:p>
    <w:p>
      <w:pPr>
        <w:spacing w:after="140" w:line="300"/>
        <w:jc w:val="both"/>
      </w:pPr>
      <w:r>
        <w:rPr>
          <w:rFonts w:ascii="Calibri" w:cs="Calibri" w:eastAsia="Calibri" w:hAnsi="Calibri"/>
          <w:b w:val="false"/>
          <w:bCs w:val="false"/>
          <w:i w:val="false"/>
          <w:iCs w:val="false"/>
          <w:color w:val="1A1A1A"/>
          <w:sz w:val="22"/>
          <w:szCs w:val="22"/>
        </w:rPr>
        <w:t xml:space="preserve">Đề mới cùng dạng: "Some audit firms now use artificial intelligence to assess client risk before an engagement begins. What are the advantages and disadvantages of this practice? Give your own opinion." Viết khoảng 900 đến 1.000 từ, theo đúng cấu trúc chín đoạn ở mục 2.</w:t>
      </w:r>
    </w:p>
    <w:p>
      <w:pPr>
        <w:pBdr>
          <w:bottom w:val="single" w:color="C9D3E4" w:sz="6" w:space="1"/>
        </w:pBdr>
        <w:spacing w:after="200" w:before="120"/>
      </w:pPr>
      <w:r>
        <w:rPr>
          <w:sz w:val="2"/>
          <w:szCs w:val="2"/>
        </w:rPr>
        <w:t xml:space="preserve"/>
      </w:r>
    </w:p>
    <w:p>
      <w:pPr>
        <w:spacing w:after="140" w:line="300"/>
        <w:jc w:val="both"/>
      </w:pPr>
      <w:r>
        <w:rPr>
          <w:rFonts w:ascii="Calibri" w:cs="Calibri" w:eastAsia="Calibri" w:hAnsi="Calibri"/>
          <w:b w:val="false"/>
          <w:bCs w:val="false"/>
          <w:i/>
          <w:iCs/>
          <w:color w:val="33415C"/>
          <w:sz w:val="22"/>
          <w:szCs w:val="22"/>
        </w:rPr>
        <w:t xml:space="preserve">Một lời cuối cho học viên: đề bài này không khó vì chủ đề kỹ thuật. Nó khó khi người viết cố tỏ ra uyên bác. Hãy viết như đang giải thích cho một người đồng nghiệp thông minh nhưng chưa đọc gì về chủ đề này. Rõ ràng, mạch lạc, và thật. Thế là đủ.</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luận mẫu: AI trong kiểm toán</dc:title>
  <dc:creator>IELTS tutor</dc:creator>
  <dc:description>Bài luận học thuật song ngữ về lợi ích và hạn chế của trí tuệ nhân tạo trong kiểm toán</dc:description>
  <cp:lastModifiedBy>Un-named</cp:lastModifiedBy>
  <cp:revision>1</cp:revision>
  <dcterms:created xsi:type="dcterms:W3CDTF">2026-10-02T12:43:16.523Z</dcterms:created>
  <dcterms:modified xsi:type="dcterms:W3CDTF">2026-10-02T12:43:16.523Z</dcterms:modified>
</cp:coreProperties>
</file>

<file path=docProps/custom.xml><?xml version="1.0" encoding="utf-8"?>
<Properties xmlns="http://schemas.openxmlformats.org/officeDocument/2006/custom-properties" xmlns:vt="http://schemas.openxmlformats.org/officeDocument/2006/docPropsVTypes"/>
</file>