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F4279">
      <w:pPr>
        <w:jc w:val="center"/>
        <w:rPr>
          <w:rFonts w:hint="eastAsia" w:ascii="黑体" w:hAnsi="黑体" w:eastAsia="黑体" w:cs="黑体"/>
          <w:b/>
          <w:bCs/>
          <w:sz w:val="28"/>
          <w:szCs w:val="36"/>
        </w:rPr>
      </w:pPr>
      <w:r>
        <w:rPr>
          <w:rFonts w:hint="eastAsia" w:ascii="黑体" w:hAnsi="黑体" w:eastAsia="黑体" w:cs="黑体"/>
          <w:b/>
          <w:bCs/>
          <w:sz w:val="28"/>
          <w:szCs w:val="36"/>
        </w:rPr>
        <w:t>行为艺术的社会心理</w:t>
      </w:r>
      <w:bookmarkStart w:id="0" w:name="_GoBack"/>
      <w:bookmarkEnd w:id="0"/>
      <w:r>
        <w:rPr>
          <w:rFonts w:hint="eastAsia" w:ascii="黑体" w:hAnsi="黑体" w:eastAsia="黑体" w:cs="黑体"/>
          <w:b/>
          <w:bCs/>
          <w:sz w:val="28"/>
          <w:szCs w:val="36"/>
        </w:rPr>
        <w:t>研究与影响力深探项目总述报告</w:t>
      </w:r>
    </w:p>
    <w:p w14:paraId="400D7C3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b/>
          <w:bCs/>
          <w:sz w:val="24"/>
        </w:rPr>
      </w:pPr>
      <w:r>
        <w:rPr>
          <w:rFonts w:hint="eastAsia" w:ascii="Times New Roman" w:hAnsi="Times New Roman"/>
          <w:b/>
          <w:bCs/>
          <w:sz w:val="24"/>
        </w:rPr>
        <w:t>一、项目背景</w:t>
      </w:r>
    </w:p>
    <w:p w14:paraId="7B8DAF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行为艺术作为一种突破传统架上艺术边界、强调观念、过程与现场体验的先锋艺术形式，长期以来因其表现的极端性、观念的抽象性与价值的多元性，在公众认知与学术评价中均存在显著争议。其社会影响力往往被视为直观却难以捉摸，其艺术价值也常因缺乏明确的评判标准而备受讨论。在此背景下，本项目《行为艺术的社会心理研究与影响力深探》应运而生，旨在超越感性的艺术批评，引入数据科学与计算社会科学的实证研究方法，对行为艺术进行系统性、结构化的文本分析。</w:t>
      </w:r>
    </w:p>
    <w:p w14:paraId="5FF2C3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本项目的核心议题在于能否通过数据，揭示行为艺术内在的类型结构、创作规律及其激发公共讨论的社会心理机制？我们将看似随机、个性化的艺术行为，置于可分析的数据框架下，探讨其作为社会引擎的运作原理，从而为理解当代艺术的社会功能提供一个新颖且坚实的分析视角。</w:t>
      </w:r>
    </w:p>
    <w:p w14:paraId="46456FB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b/>
          <w:bCs/>
          <w:sz w:val="24"/>
        </w:rPr>
      </w:pPr>
      <w:r>
        <w:rPr>
          <w:rFonts w:hint="eastAsia" w:ascii="Times New Roman" w:hAnsi="Times New Roman"/>
          <w:b/>
          <w:bCs/>
          <w:sz w:val="24"/>
        </w:rPr>
        <w:t>二、研究设计</w:t>
      </w:r>
    </w:p>
    <w:p w14:paraId="25F89B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1</w:t>
      </w:r>
      <w:r>
        <w:rPr>
          <w:rFonts w:hint="eastAsia" w:ascii="Times New Roman" w:hAnsi="Times New Roman"/>
          <w:sz w:val="24"/>
          <w:lang w:eastAsia="zh-CN"/>
        </w:rPr>
        <w:t>、</w:t>
      </w:r>
      <w:r>
        <w:rPr>
          <w:rFonts w:hint="eastAsia" w:ascii="Times New Roman" w:hAnsi="Times New Roman"/>
          <w:sz w:val="24"/>
        </w:rPr>
        <w:t>数据基础</w:t>
      </w:r>
    </w:p>
    <w:p w14:paraId="4478AE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研究以蔡青《行为艺术现场》为权威文本资料来源，系统采集了2008年至2012年间，包括“泰国亚洲顶峰2008”、“越南IN:ACT 2010”、“泛亚洲2010”、杭州“出入天堂2012”等在内的19次国内外重要行为艺术节的详实记录。数据集涵盖上百件作品，文本维度包括艺术家的创作陈述、作品的实施流程、现场的互动情况以及初步的反馈信息，构成了一个时间集中、样本丰富、描述多元的质性文本数据库。</w:t>
      </w:r>
    </w:p>
    <w:p w14:paraId="135377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2</w:t>
      </w:r>
      <w:r>
        <w:rPr>
          <w:rFonts w:hint="eastAsia" w:ascii="Times New Roman" w:hAnsi="Times New Roman"/>
          <w:sz w:val="24"/>
          <w:lang w:eastAsia="zh-CN"/>
        </w:rPr>
        <w:t>、</w:t>
      </w:r>
      <w:r>
        <w:rPr>
          <w:rFonts w:hint="eastAsia" w:ascii="Times New Roman" w:hAnsi="Times New Roman"/>
          <w:sz w:val="24"/>
        </w:rPr>
        <w:t>方法论路径</w:t>
      </w:r>
    </w:p>
    <w:p w14:paraId="4517A0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本项目最具创新性的特点在于其跨学科的研究方法。我们并未遵循传统艺术史或美学理论的单一分析路径，而是采用了“数据化文本分析”的框架，将计算分析方法引入人文艺术研究。具体技术路径包括：</w:t>
      </w:r>
    </w:p>
    <w:p w14:paraId="59BF17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聚类分析：运用K-means算法，对海量非结构化文本进行自动分类，以客观数据为依据界定行为艺术的亚类型边界。</w:t>
      </w:r>
    </w:p>
    <w:p w14:paraId="5A30E9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关联规则挖掘：通过Apriori等算法，探寻行为艺术中“表现形式”（如场所、媒介）与“社会启发”（如批判、哲学思考）之间的内在关联规律。</w:t>
      </w:r>
    </w:p>
    <w:p w14:paraId="443617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情感计算：对艺术节评论进行情感分析，量化公众对行为艺术的接受度与情感体验的复杂性。</w:t>
      </w:r>
    </w:p>
    <w:p w14:paraId="5986A8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eastAsia="zh-CN"/>
        </w:rPr>
      </w:pPr>
      <w:r>
        <w:rPr>
          <w:rFonts w:hint="eastAsia" w:ascii="Times New Roman" w:hAnsi="Times New Roman"/>
          <w:sz w:val="24"/>
        </w:rPr>
        <w:t>多维可视化：综合运用词云图、热力图、桑基图及三维质量空间模型，将分析结果进行直观、动态的可视化呈现</w:t>
      </w:r>
      <w:r>
        <w:rPr>
          <w:rFonts w:hint="eastAsia" w:ascii="Times New Roman" w:hAnsi="Times New Roman"/>
          <w:sz w:val="24"/>
          <w:lang w:eastAsia="zh-CN"/>
        </w:rPr>
        <w:t>。</w:t>
      </w:r>
    </w:p>
    <w:p w14:paraId="484A420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b/>
          <w:bCs/>
          <w:sz w:val="24"/>
        </w:rPr>
      </w:pPr>
      <w:r>
        <w:rPr>
          <w:rFonts w:hint="eastAsia" w:ascii="Times New Roman" w:hAnsi="Times New Roman"/>
          <w:b/>
          <w:bCs/>
          <w:sz w:val="24"/>
        </w:rPr>
        <w:t>三、主要研究结论</w:t>
      </w:r>
    </w:p>
    <w:p w14:paraId="332831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通过对数据的层层挖掘与分析，本项目得出了一系列具有启发性的发现：</w:t>
      </w:r>
    </w:p>
    <w:p w14:paraId="3922E3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1</w:t>
      </w:r>
      <w:r>
        <w:rPr>
          <w:rFonts w:hint="eastAsia" w:ascii="Times New Roman" w:hAnsi="Times New Roman"/>
          <w:sz w:val="24"/>
          <w:lang w:eastAsia="zh-CN"/>
        </w:rPr>
        <w:t>、</w:t>
      </w:r>
      <w:r>
        <w:rPr>
          <w:rFonts w:hint="eastAsia" w:ascii="Times New Roman" w:hAnsi="Times New Roman"/>
          <w:sz w:val="24"/>
        </w:rPr>
        <w:t>行为艺术的可类型化结构</w:t>
      </w:r>
    </w:p>
    <w:p w14:paraId="0D69E8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研究成功地将样本中的行为艺术实践聚类为六个特征鲜明的核心类型：关系互动型、身体探索型、环境主题型、社会批判型、材料试验型、仪式过程型。每一类型都拥有独特的关键词标签与美学-社会倾向（如关系互动型强调“公众参与”与“社会建构”，社会批判型聚焦“公共议题”与“权力反思”）。这一发现用数据证实，行为艺术并非全然无序的个体表达，其内部存在着可辨识、可归纳的创作范式与意义群落。</w:t>
      </w:r>
    </w:p>
    <w:p w14:paraId="43C5BC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2</w:t>
      </w:r>
      <w:r>
        <w:rPr>
          <w:rFonts w:hint="eastAsia" w:ascii="Times New Roman" w:hAnsi="Times New Roman"/>
          <w:sz w:val="24"/>
          <w:lang w:eastAsia="zh-CN"/>
        </w:rPr>
        <w:t>、</w:t>
      </w:r>
      <w:r>
        <w:rPr>
          <w:rFonts w:hint="eastAsia" w:ascii="Times New Roman" w:hAnsi="Times New Roman"/>
          <w:sz w:val="24"/>
        </w:rPr>
        <w:t>形式与意义之间的关联规则</w:t>
      </w:r>
    </w:p>
    <w:p w14:paraId="5465B5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关联规则分析揭示了行为艺术创作中隐性的</w:t>
      </w:r>
      <w:r>
        <w:rPr>
          <w:rFonts w:hint="eastAsia" w:ascii="Times New Roman" w:hAnsi="Times New Roman"/>
          <w:sz w:val="24"/>
          <w:lang w:val="en-US" w:eastAsia="zh-CN"/>
        </w:rPr>
        <w:t>规则</w:t>
      </w:r>
      <w:r>
        <w:rPr>
          <w:rFonts w:hint="eastAsia" w:ascii="Times New Roman" w:hAnsi="Times New Roman"/>
          <w:sz w:val="24"/>
        </w:rPr>
        <w:t>。例如，“在公共空间进行”与“包含观众参与”这两项形式特征，极大概率会导向“社会批判”的主题内涵；而“以身体为媒介”与“极限体验”相结合，则常常与“哲学性表达”深度绑定。这些规则表明，行为艺术的社会影响力并非偶然产生，而是通过特定的形式策略有意建构的。</w:t>
      </w:r>
    </w:p>
    <w:p w14:paraId="4A66D5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3</w:t>
      </w:r>
      <w:r>
        <w:rPr>
          <w:rFonts w:hint="eastAsia" w:ascii="Times New Roman" w:hAnsi="Times New Roman"/>
          <w:sz w:val="24"/>
          <w:lang w:eastAsia="zh-CN"/>
        </w:rPr>
        <w:t>、</w:t>
      </w:r>
      <w:r>
        <w:rPr>
          <w:rFonts w:hint="eastAsia" w:ascii="Times New Roman" w:hAnsi="Times New Roman"/>
          <w:sz w:val="24"/>
        </w:rPr>
        <w:t>作为公共讨论引擎的运行机制</w:t>
      </w:r>
    </w:p>
    <w:p w14:paraId="277EAB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情感分析显示，公众对行为艺术的评论情感复杂度极高，且整体情感倾向在2008-2012年间呈上升趋势。这印证了行为艺术有效激发了公众多元而深入的情感与思考。综合所有发现，本项目提出核心论点：行为艺术的深层魅力与社会价值，在于其作为一种“公共讨论引擎”。它通过看似荒诞或挑战常规的行为作为“干扰信号”，强行闯入被日常惯例所主导的公共话语空间，迫使观众脱离惯常的思维框架，对既定的社会规范、身体边界、权力关系与存在意义进行重新审视与辩论。其价值不在于提供确定的答案或美的享受，而在于启动对话、激发思考的过程本身。</w:t>
      </w:r>
    </w:p>
    <w:p w14:paraId="2BFC3F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4</w:t>
      </w:r>
      <w:r>
        <w:rPr>
          <w:rFonts w:hint="eastAsia" w:ascii="Times New Roman" w:hAnsi="Times New Roman"/>
          <w:sz w:val="24"/>
          <w:lang w:eastAsia="zh-CN"/>
        </w:rPr>
        <w:t>、</w:t>
      </w:r>
      <w:r>
        <w:rPr>
          <w:rFonts w:hint="eastAsia" w:ascii="Times New Roman" w:hAnsi="Times New Roman"/>
          <w:sz w:val="24"/>
        </w:rPr>
        <w:t>社会影响力的最大化路径</w:t>
      </w:r>
    </w:p>
    <w:p w14:paraId="38DDAF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研究明确指出，“公共空间”与“公众参与”是行为艺术发挥社会效用的两个最关键杠杆。当艺术实践走出制度化的美术馆、画廊，进入真实的城市空间与社会生活，并主动将观众从“旁观者”转化为“参与者”或“共谋者”时，其触发广泛公共讨论、实现社会干预的潜力将达到最大化。</w:t>
      </w:r>
    </w:p>
    <w:p w14:paraId="5563AFB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b/>
          <w:bCs/>
          <w:sz w:val="24"/>
        </w:rPr>
      </w:pPr>
      <w:r>
        <w:rPr>
          <w:rFonts w:hint="eastAsia" w:ascii="Times New Roman" w:hAnsi="Times New Roman"/>
          <w:b/>
          <w:bCs/>
          <w:sz w:val="24"/>
        </w:rPr>
        <w:t>四、项目未来展望</w:t>
      </w:r>
    </w:p>
    <w:p w14:paraId="6B14C5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在理论层面，我们为行为艺术研究乃至更广泛的当代艺术研究，提供了一套可操作的数据分析范式。它将主观、模糊的艺术批评，部分转化为客观、可验证的数据证据，推动了艺术研究的科学化与精细化。</w:t>
      </w:r>
    </w:p>
    <w:p w14:paraId="659627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在实践层面，研究成果对艺术家、策展人、艺术机构及文化政策制定者具有参考意义。类型学框架可为策展与学术梳理提供参考；关联规则揭示了有效的社会介入策略；而对“公共讨论引擎”的定位，则有助于公众和媒体更深刻地理解行为艺术的社会角色，超越“哗众取宠”的简单批判。</w:t>
      </w:r>
    </w:p>
    <w:p w14:paraId="46C341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展望未来，本研究可沿多个方向深化：一是扩展数据的时间跨度与地理范围，进行跨文化、跨时期的比较研究；二是引入多模态数据</w:t>
      </w:r>
      <w:r>
        <w:rPr>
          <w:rFonts w:hint="eastAsia" w:ascii="Times New Roman" w:hAnsi="Times New Roman"/>
          <w:sz w:val="24"/>
          <w:lang w:eastAsia="zh-CN"/>
        </w:rPr>
        <w:t>，</w:t>
      </w:r>
      <w:r>
        <w:rPr>
          <w:rFonts w:hint="eastAsia" w:ascii="Times New Roman" w:hAnsi="Times New Roman"/>
          <w:sz w:val="24"/>
        </w:rPr>
        <w:t>如图像、视频、现场传感器数据，更全面地还原行为艺术的现场性与身体性；三是结合社会网络分析，研究行为艺术观念与实践的传播路径与影响力网络。</w:t>
      </w:r>
    </w:p>
    <w:p w14:paraId="6322ED1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b/>
          <w:bCs/>
          <w:sz w:val="24"/>
        </w:rPr>
      </w:pPr>
      <w:r>
        <w:rPr>
          <w:rFonts w:hint="eastAsia" w:ascii="Times New Roman" w:hAnsi="Times New Roman"/>
          <w:b/>
          <w:bCs/>
          <w:sz w:val="24"/>
        </w:rPr>
        <w:t>五、结语</w:t>
      </w:r>
    </w:p>
    <w:p w14:paraId="69941D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rPr>
      </w:pPr>
      <w:r>
        <w:rPr>
          <w:rFonts w:hint="eastAsia" w:ascii="Times New Roman" w:hAnsi="Times New Roman"/>
          <w:sz w:val="24"/>
        </w:rPr>
        <w:t>总而言之，《行为艺术的社会心理研究与影响力深探》项目是一次</w:t>
      </w:r>
      <w:r>
        <w:rPr>
          <w:rFonts w:hint="eastAsia" w:ascii="Times New Roman" w:hAnsi="Times New Roman"/>
          <w:sz w:val="24"/>
          <w:lang w:val="en-US" w:eastAsia="zh-CN"/>
        </w:rPr>
        <w:t>较为</w:t>
      </w:r>
      <w:r>
        <w:rPr>
          <w:rFonts w:hint="eastAsia" w:ascii="Times New Roman" w:hAnsi="Times New Roman"/>
          <w:sz w:val="24"/>
        </w:rPr>
        <w:t>成功的跨学科探索。它运用数据文本分析的利器，穿透了行为艺术表面的惊世骇俗，揭示了其内在的类型秩序、创作逻辑，并最终论证了其作为现代社会重要公共讨论引擎的核心价值。本研究不仅深化了我们对于行为艺术本身的理解，更示范了如何以实证方法叩问复杂人文社会现象的新可能，为艺术与科学对话搭建了一座富有潜力的桥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4744C2"/>
    <w:rsid w:val="64474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2026-01-04T09:56:00Z</dcterms:created>
  <dc:creator>齐天大圣-美猴橙</dc:creator>
  <cp:lastModifiedBy>齐天大圣-美猴橙</cp:lastModifiedBy>
  <dcterms:modified xsi:type="dcterms:W3CDTF">2026-01-04T10:00:54Z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AB39D35A6B2E4D52B46D59FB77D9B72D_11</vt:lpwstr>
  </property>
  <property fmtid="{D5CDD505-2E9C-101B-9397-08002B2CF9AE}" pid="4" name="KSOTemplateDocerSaveRecord">
    <vt:lpwstr>eyJoZGlkIjoiZDBmZDdkZTEzNmZlNDM4ZmQwNDVkYzA0NDMyMTBhMDEiLCJ1c2VySWQiOiI4NTkwNDE4MTYifQ==</vt:lpwstr>
  </property>
</Properties>
</file>