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中小企业 AI 工作流采纳研究型智能体项目说明</w:t>
      </w:r>
    </w:p>
    <w:p/>
    <w:p>
      <w:r>
        <w:rPr>
          <w:b/>
          <w:sz w:val="26"/>
        </w:rPr>
        <w:t>一、项目目标</w:t>
      </w:r>
    </w:p>
    <w:p/>
    <w:p>
      <w:r>
        <w:t>本项目围绕中小企业 AI 工作流采纳问题，建立一个可以复现实验、可以解释预测、可以提供证据引用的研究型智能体系统。系统不追求随机划分下的虚高分数，而是优先考虑跨国家、跨时间、跨行业的泛化能力。</w:t>
      </w:r>
    </w:p>
    <w:p/>
    <w:p>
      <w:r>
        <w:rPr>
          <w:b/>
          <w:sz w:val="26"/>
        </w:rPr>
        <w:t>二、系统组成</w:t>
      </w:r>
    </w:p>
    <w:p/>
    <w:p>
      <w:r>
        <w:t>项目新增的核心模块位于 10_Agent系统 目录。该目录包含训练模块、工具模块、证据检索模块、接口服务、网页演示和测试脚本。</w:t>
      </w:r>
    </w:p>
    <w:p/>
    <w:p>
      <w:r>
        <w:t>训练模块负责数据哈希审计、特征泄漏检查、模型训练、冠军模型选择和模型注册表输出。工具模块负责指标查询、采纳率预测、预测解释、部署建议、图表生成、引用校验和数据审计。证据检索模块负责把报告和注册表转成可检索证据，保证回答有来源。接口服务使用 FastAPI，网页演示使用 Streamlit。</w:t>
      </w:r>
    </w:p>
    <w:p/>
    <w:p>
      <w:r>
        <w:rPr>
          <w:b/>
          <w:sz w:val="26"/>
        </w:rPr>
        <w:t>三、建模策略</w:t>
      </w:r>
    </w:p>
    <w:p/>
    <w:p>
      <w:r>
        <w:t>模型选择以学术泛化质量为主。主要候选模型包括 Ridge、RandomForest、ExtraTrees 和 HistGradientBoosting，并预留 XGBoost、LightGBM、CatBoost、FT-Transformer 等扩展方向。最终冠军模型由 GroupKFold、时间留出、行业留出、泄漏审计和模型可解释性共同决定。</w:t>
      </w:r>
    </w:p>
    <w:p/>
    <w:p>
      <w:r>
        <w:rPr>
          <w:b/>
          <w:sz w:val="26"/>
        </w:rPr>
        <w:t>四、最终结果</w:t>
      </w:r>
    </w:p>
    <w:p/>
    <w:p>
      <w:r>
        <w:t>当前 A10 服务器验证后的冠军模型为 Stage 2 ExtraTrees。GroupKFold R2 均值为 0.7136600816324493，MAE 均值为 2.052527810982685。时间留出 R2 为 0.7019150547187023，行业留出 R2 为 0.9521096639989431。数据哈希审计和特征泄漏审计均通过。</w:t>
      </w:r>
    </w:p>
    <w:p/>
    <w:p>
      <w:r>
        <w:rPr>
          <w:b/>
          <w:sz w:val="26"/>
        </w:rPr>
        <w:t>五、智能体质量控制</w:t>
      </w:r>
    </w:p>
    <w:p/>
    <w:p>
      <w:r>
        <w:t>智能体不会把大型原始表格直接放入语言模型上下文。所有数值结论均通过工具返回，回答必须包含证据文件。缺少证据时返回“无法确认”。固定评估集上的工具成功率为 1.0，引用准确率代理指标为 1.0， unsupported claim 的幻觉率为 0.0。</w:t>
      </w:r>
    </w:p>
    <w:p/>
    <w:p>
      <w:r>
        <w:rPr>
          <w:b/>
          <w:sz w:val="26"/>
        </w:rPr>
        <w:t>六、适合作为课程案例的原因</w:t>
      </w:r>
    </w:p>
    <w:p/>
    <w:p>
      <w:r>
        <w:t>本项目不仅有模型训练结果，也包含数据审计、模型注册、证据检索、接口服务、网页演示和自动测试。它可以展示从数据处理、模型验证到智能体封装的完整流程，适合作为“AI + 学术研究 + 工程落地”的课程案例。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