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1D4ADD">
      <w:pPr>
        <w:jc w:val="center"/>
      </w:pPr>
      <w:r>
        <w:rPr>
          <w:rFonts w:ascii="黑体" w:hAnsi="黑体" w:eastAsia="黑体"/>
          <w:b/>
          <w:color w:val="000000"/>
          <w:sz w:val="40"/>
        </w:rPr>
        <w:t>中小企业AI流程自动化采纳机制研究案例</w:t>
      </w:r>
    </w:p>
    <w:p w14:paraId="7F94911A">
      <w:pPr>
        <w:jc w:val="center"/>
      </w:pPr>
      <w:r>
        <w:rPr>
          <w:rFonts w:ascii="黑体" w:hAnsi="黑体" w:eastAsia="黑体"/>
          <w:b/>
          <w:color w:val="000000"/>
          <w:sz w:val="32"/>
        </w:rPr>
        <w:t>小组研究工作总结报告</w:t>
      </w:r>
    </w:p>
    <w:p w14:paraId="2B7BFE03"/>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F0CD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shd w:val="clear" w:color="auto" w:fill="D9D9D9"/>
            <w:vAlign w:val="center"/>
          </w:tcPr>
          <w:p w14:paraId="2205DFA7">
            <w:pPr>
              <w:spacing w:after="0" w:line="240" w:lineRule="auto"/>
              <w:jc w:val="center"/>
            </w:pPr>
            <w:r>
              <w:rPr>
                <w:rFonts w:ascii="宋体" w:hAnsi="宋体" w:eastAsia="宋体"/>
                <w:b/>
                <w:color w:val="000000"/>
                <w:sz w:val="18"/>
              </w:rPr>
              <w:t>项目</w:t>
            </w:r>
          </w:p>
        </w:tc>
        <w:tc>
          <w:tcPr>
            <w:tcW w:w="4621" w:type="dxa"/>
            <w:shd w:val="clear" w:color="auto" w:fill="D9D9D9"/>
            <w:vAlign w:val="center"/>
          </w:tcPr>
          <w:p w14:paraId="31BDAC98">
            <w:pPr>
              <w:spacing w:after="0" w:line="240" w:lineRule="auto"/>
              <w:jc w:val="center"/>
            </w:pPr>
            <w:r>
              <w:rPr>
                <w:rFonts w:ascii="宋体" w:hAnsi="宋体" w:eastAsia="宋体"/>
                <w:b/>
                <w:color w:val="000000"/>
                <w:sz w:val="18"/>
              </w:rPr>
              <w:t>内容</w:t>
            </w:r>
          </w:p>
        </w:tc>
      </w:tr>
      <w:tr w14:paraId="1A271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9FDB535">
            <w:pPr>
              <w:spacing w:after="0" w:line="240" w:lineRule="auto"/>
              <w:jc w:val="center"/>
            </w:pPr>
            <w:r>
              <w:rPr>
                <w:rFonts w:ascii="宋体" w:hAnsi="宋体" w:eastAsia="宋体"/>
                <w:b w:val="0"/>
                <w:color w:val="000000"/>
                <w:sz w:val="18"/>
              </w:rPr>
              <w:t>课程</w:t>
            </w:r>
          </w:p>
        </w:tc>
        <w:tc>
          <w:tcPr>
            <w:tcW w:w="4621" w:type="dxa"/>
            <w:vAlign w:val="center"/>
          </w:tcPr>
          <w:p w14:paraId="320FF027">
            <w:pPr>
              <w:spacing w:after="0" w:line="240" w:lineRule="auto"/>
              <w:jc w:val="center"/>
            </w:pPr>
            <w:r>
              <w:rPr>
                <w:rFonts w:ascii="宋体" w:hAnsi="宋体" w:eastAsia="宋体"/>
                <w:b w:val="0"/>
                <w:color w:val="000000"/>
                <w:sz w:val="18"/>
              </w:rPr>
              <w:t>机器学习</w:t>
            </w:r>
          </w:p>
        </w:tc>
      </w:tr>
      <w:tr w14:paraId="7897C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4F2AE19">
            <w:pPr>
              <w:spacing w:after="0" w:line="240" w:lineRule="auto"/>
              <w:jc w:val="center"/>
            </w:pPr>
            <w:r>
              <w:rPr>
                <w:rFonts w:ascii="宋体" w:hAnsi="宋体" w:eastAsia="宋体"/>
                <w:b w:val="0"/>
                <w:color w:val="000000"/>
                <w:sz w:val="18"/>
              </w:rPr>
              <w:t>班级</w:t>
            </w:r>
          </w:p>
        </w:tc>
        <w:tc>
          <w:tcPr>
            <w:tcW w:w="4621" w:type="dxa"/>
            <w:vAlign w:val="center"/>
          </w:tcPr>
          <w:p w14:paraId="6C062C00">
            <w:pPr>
              <w:spacing w:after="0" w:line="240" w:lineRule="auto"/>
              <w:jc w:val="center"/>
            </w:pPr>
            <w:r>
              <w:rPr>
                <w:rFonts w:ascii="宋体" w:hAnsi="宋体" w:eastAsia="宋体"/>
                <w:b w:val="0"/>
                <w:color w:val="000000"/>
                <w:sz w:val="18"/>
              </w:rPr>
              <w:t>信管2301</w:t>
            </w:r>
          </w:p>
        </w:tc>
      </w:tr>
      <w:tr w14:paraId="4F0B1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FC13828">
            <w:pPr>
              <w:spacing w:after="0" w:line="240" w:lineRule="auto"/>
              <w:jc w:val="center"/>
            </w:pPr>
            <w:r>
              <w:rPr>
                <w:rFonts w:ascii="宋体" w:hAnsi="宋体" w:eastAsia="宋体"/>
                <w:b w:val="0"/>
                <w:color w:val="000000"/>
                <w:sz w:val="18"/>
              </w:rPr>
              <w:t>成员</w:t>
            </w:r>
          </w:p>
        </w:tc>
        <w:tc>
          <w:tcPr>
            <w:tcW w:w="4621" w:type="dxa"/>
            <w:vAlign w:val="center"/>
          </w:tcPr>
          <w:p w14:paraId="39EF744E">
            <w:pPr>
              <w:spacing w:after="0" w:line="240" w:lineRule="auto"/>
              <w:jc w:val="center"/>
            </w:pPr>
            <w:r>
              <w:rPr>
                <w:rFonts w:ascii="宋体" w:hAnsi="宋体" w:eastAsia="宋体"/>
                <w:b w:val="0"/>
                <w:color w:val="000000"/>
                <w:sz w:val="18"/>
              </w:rPr>
              <w:t>景浩伟、张新通、黄陈熙、刘子涵</w:t>
            </w:r>
          </w:p>
        </w:tc>
      </w:tr>
      <w:tr w14:paraId="6D04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A758D9C">
            <w:pPr>
              <w:spacing w:after="0" w:line="240" w:lineRule="auto"/>
              <w:jc w:val="center"/>
            </w:pPr>
            <w:r>
              <w:rPr>
                <w:rFonts w:ascii="宋体" w:hAnsi="宋体" w:eastAsia="宋体"/>
                <w:b w:val="0"/>
                <w:color w:val="000000"/>
                <w:sz w:val="18"/>
              </w:rPr>
              <w:t>主题</w:t>
            </w:r>
          </w:p>
        </w:tc>
        <w:tc>
          <w:tcPr>
            <w:tcW w:w="4621" w:type="dxa"/>
            <w:vAlign w:val="center"/>
          </w:tcPr>
          <w:p w14:paraId="12C80C45">
            <w:pPr>
              <w:spacing w:after="0" w:line="240" w:lineRule="auto"/>
              <w:jc w:val="left"/>
            </w:pPr>
            <w:r>
              <w:rPr>
                <w:rFonts w:ascii="宋体" w:hAnsi="宋体" w:eastAsia="宋体"/>
                <w:b w:val="0"/>
                <w:color w:val="000000"/>
                <w:sz w:val="18"/>
              </w:rPr>
              <w:t>围绕中小企业AI流程自动化采纳，解释效率需求、安全顾虑、部署准备度与治理基础的关系</w:t>
            </w:r>
          </w:p>
        </w:tc>
      </w:tr>
    </w:tbl>
    <w:p w14:paraId="31258A34"/>
    <w:p w14:paraId="3BD1084E">
      <w:bookmarkStart w:id="0" w:name="_GoBack"/>
      <w:bookmarkEnd w:id="0"/>
      <w:r>
        <w:br w:type="page"/>
      </w:r>
    </w:p>
    <w:p w14:paraId="3DB6D8DA">
      <w:pPr>
        <w:spacing w:before="160" w:after="120"/>
      </w:pPr>
      <w:r>
        <w:rPr>
          <w:rFonts w:ascii="黑体" w:hAnsi="黑体" w:eastAsia="黑体"/>
          <w:b/>
          <w:color w:val="000000"/>
          <w:sz w:val="30"/>
        </w:rPr>
        <w:t>一、我们为什么选择这个题目</w:t>
      </w:r>
    </w:p>
    <w:p w14:paraId="7BC5AB0F">
      <w:pPr>
        <w:spacing w:after="80" w:line="348" w:lineRule="auto"/>
        <w:ind w:firstLine="420"/>
      </w:pPr>
      <w:r>
        <w:rPr>
          <w:rFonts w:ascii="宋体" w:hAnsi="宋体" w:eastAsia="宋体"/>
          <w:b w:val="0"/>
          <w:color w:val="000000"/>
          <w:sz w:val="21"/>
        </w:rPr>
        <w:t>小组最开始讨论选题时，没有想把AI写成一个很大的概念。课程项目需要能落到数据、模型和结果解释上，所以我们把问题收窄到“中小企业AI流程自动化采纳”。这个问题比较具体：企业不是简单地决定用不用AI，还要决定先用在哪些流程、采用SaaS还是API接入、是否需要本地化或混合部署。</w:t>
      </w:r>
    </w:p>
    <w:p w14:paraId="3A2CEE72">
      <w:pPr>
        <w:spacing w:after="80" w:line="348" w:lineRule="auto"/>
        <w:ind w:firstLine="420"/>
      </w:pPr>
      <w:r>
        <w:rPr>
          <w:rFonts w:ascii="宋体" w:hAnsi="宋体" w:eastAsia="宋体"/>
          <w:b w:val="0"/>
          <w:color w:val="000000"/>
          <w:sz w:val="21"/>
        </w:rPr>
        <w:t>这个题目和机器学习课程也能对应起来。我们可以把AI流程自动化使用率作为目标变量，把企业的AI能力、云服务基础、数据管理、安全顾虑、治理成熟度等因素作为解释变量，再用回归、树模型和聚类去检验哪些因素更稳定。这样，报告不是只讲观点，而是把观点放进一条可复核的数据链里。</w:t>
      </w:r>
    </w:p>
    <w:p w14:paraId="5E412887">
      <w:pPr>
        <w:spacing w:after="80" w:line="348" w:lineRule="auto"/>
        <w:ind w:firstLine="420"/>
      </w:pPr>
      <w:r>
        <w:rPr>
          <w:rFonts w:ascii="宋体" w:hAnsi="宋体" w:eastAsia="宋体"/>
          <w:b w:val="0"/>
          <w:color w:val="000000"/>
          <w:sz w:val="21"/>
        </w:rPr>
        <w:t>前期投稿稿帮助我们确定了TOE框架、TAM思路以及“效率需求、安全顾虑、部署偏好”这几个概念。但课程报告不照搬投稿稿。我们把它改成小组研究工作总结，重点交代我们怎么做、做到了什么、哪些结论能说、哪些结论不能说。</w:t>
      </w:r>
    </w:p>
    <w:p w14:paraId="6D338E09">
      <w:r>
        <w:br w:type="page"/>
      </w:r>
    </w:p>
    <w:p w14:paraId="0BEF2F1B">
      <w:pPr>
        <w:spacing w:before="160" w:after="120"/>
      </w:pPr>
      <w:r>
        <w:rPr>
          <w:rFonts w:ascii="黑体" w:hAnsi="黑体" w:eastAsia="黑体"/>
          <w:b/>
          <w:color w:val="000000"/>
          <w:sz w:val="30"/>
        </w:rPr>
        <w:t>二、研究问题怎样被拆成可建模任务</w:t>
      </w:r>
    </w:p>
    <w:p w14:paraId="457BAD8A">
      <w:pPr>
        <w:spacing w:after="80" w:line="348" w:lineRule="auto"/>
        <w:ind w:firstLine="420"/>
      </w:pPr>
      <w:r>
        <w:rPr>
          <w:rFonts w:ascii="宋体" w:hAnsi="宋体" w:eastAsia="宋体"/>
          <w:b w:val="0"/>
          <w:color w:val="000000"/>
          <w:sz w:val="21"/>
        </w:rPr>
        <w:t>我们把研究问题拆成三层。第一层是效率需求：企业是否因为流程耗时、重复录入、人工复核等问题，希望用AI提高处理效率。第二层是安全顾虑：数据隐私、合规要求和模型可解释性会不会改变企业的选择。第三层是部署偏好：企业最终选择轻量SaaS、API接入、本地化部署，还是混合架构。</w:t>
      </w:r>
    </w:p>
    <w:p w14:paraId="2A6D5A72">
      <w:pPr>
        <w:spacing w:after="80" w:line="348" w:lineRule="auto"/>
        <w:ind w:firstLine="420"/>
      </w:pPr>
      <w:r>
        <w:rPr>
          <w:rFonts w:ascii="宋体" w:hAnsi="宋体" w:eastAsia="宋体"/>
          <w:b w:val="0"/>
          <w:color w:val="000000"/>
          <w:sz w:val="21"/>
        </w:rPr>
        <w:t>这三层不是彼此独立的。效率需求强，并不代表企业一定会马上深度采纳AI；安全要求高，也不代表企业完全拒绝AI。更合理的解释是：效率需求推动企业进入试点，安全和治理基础决定项目能不能继续往关键流程走，部署准备度影响AI最终能落到多深。</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60F1E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shd w:val="clear" w:color="auto" w:fill="D9D9D9"/>
            <w:vAlign w:val="center"/>
          </w:tcPr>
          <w:p w14:paraId="0BCD9939">
            <w:pPr>
              <w:spacing w:after="0" w:line="240" w:lineRule="auto"/>
              <w:jc w:val="center"/>
            </w:pPr>
            <w:r>
              <w:rPr>
                <w:rFonts w:ascii="宋体" w:hAnsi="宋体" w:eastAsia="宋体"/>
                <w:b/>
                <w:color w:val="000000"/>
                <w:sz w:val="18"/>
              </w:rPr>
              <w:t>研究概念</w:t>
            </w:r>
          </w:p>
        </w:tc>
        <w:tc>
          <w:tcPr>
            <w:tcW w:w="3081" w:type="dxa"/>
            <w:shd w:val="clear" w:color="auto" w:fill="D9D9D9"/>
            <w:vAlign w:val="center"/>
          </w:tcPr>
          <w:p w14:paraId="499ECB63">
            <w:pPr>
              <w:spacing w:after="0" w:line="240" w:lineRule="auto"/>
              <w:jc w:val="center"/>
            </w:pPr>
            <w:r>
              <w:rPr>
                <w:rFonts w:ascii="宋体" w:hAnsi="宋体" w:eastAsia="宋体"/>
                <w:b/>
                <w:color w:val="000000"/>
                <w:sz w:val="18"/>
              </w:rPr>
              <w:t>在项目中的处理方式</w:t>
            </w:r>
          </w:p>
        </w:tc>
        <w:tc>
          <w:tcPr>
            <w:tcW w:w="3081" w:type="dxa"/>
            <w:shd w:val="clear" w:color="auto" w:fill="D9D9D9"/>
            <w:vAlign w:val="center"/>
          </w:tcPr>
          <w:p w14:paraId="15611F33">
            <w:pPr>
              <w:spacing w:after="0" w:line="240" w:lineRule="auto"/>
              <w:jc w:val="center"/>
            </w:pPr>
            <w:r>
              <w:rPr>
                <w:rFonts w:ascii="宋体" w:hAnsi="宋体" w:eastAsia="宋体"/>
                <w:b/>
                <w:color w:val="000000"/>
                <w:sz w:val="18"/>
              </w:rPr>
              <w:t>为什么这样处理</w:t>
            </w:r>
          </w:p>
        </w:tc>
      </w:tr>
      <w:tr w14:paraId="1CE11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B92D772">
            <w:pPr>
              <w:spacing w:after="0" w:line="240" w:lineRule="auto"/>
              <w:jc w:val="center"/>
            </w:pPr>
            <w:r>
              <w:rPr>
                <w:rFonts w:ascii="宋体" w:hAnsi="宋体" w:eastAsia="宋体"/>
                <w:b w:val="0"/>
                <w:color w:val="000000"/>
                <w:sz w:val="18"/>
              </w:rPr>
              <w:t>效率需求</w:t>
            </w:r>
          </w:p>
        </w:tc>
        <w:tc>
          <w:tcPr>
            <w:tcW w:w="3081" w:type="dxa"/>
            <w:vAlign w:val="center"/>
          </w:tcPr>
          <w:p w14:paraId="12B16CFA">
            <w:pPr>
              <w:spacing w:after="0" w:line="240" w:lineRule="auto"/>
              <w:jc w:val="left"/>
            </w:pPr>
            <w:r>
              <w:rPr>
                <w:rFonts w:ascii="宋体" w:hAnsi="宋体" w:eastAsia="宋体"/>
                <w:b w:val="0"/>
                <w:color w:val="000000"/>
                <w:sz w:val="18"/>
              </w:rPr>
              <w:t>用AI能力、自然语言生成、认知计算等指标间接反映</w:t>
            </w:r>
          </w:p>
        </w:tc>
        <w:tc>
          <w:tcPr>
            <w:tcW w:w="3081" w:type="dxa"/>
            <w:vAlign w:val="center"/>
          </w:tcPr>
          <w:p w14:paraId="2CBF9262">
            <w:pPr>
              <w:spacing w:after="0" w:line="240" w:lineRule="auto"/>
              <w:jc w:val="left"/>
            </w:pPr>
            <w:r>
              <w:rPr>
                <w:rFonts w:ascii="宋体" w:hAnsi="宋体" w:eastAsia="宋体"/>
                <w:b w:val="0"/>
                <w:color w:val="000000"/>
                <w:sz w:val="18"/>
              </w:rPr>
              <w:t>这些指标能说明企业是否已经具备把AI用于流程处理的基础</w:t>
            </w:r>
          </w:p>
        </w:tc>
      </w:tr>
      <w:tr w14:paraId="09BB6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313A4AF">
            <w:pPr>
              <w:spacing w:after="0" w:line="240" w:lineRule="auto"/>
              <w:jc w:val="center"/>
            </w:pPr>
            <w:r>
              <w:rPr>
                <w:rFonts w:ascii="宋体" w:hAnsi="宋体" w:eastAsia="宋体"/>
                <w:b w:val="0"/>
                <w:color w:val="000000"/>
                <w:sz w:val="18"/>
              </w:rPr>
              <w:t>安全顾虑</w:t>
            </w:r>
          </w:p>
        </w:tc>
        <w:tc>
          <w:tcPr>
            <w:tcW w:w="3081" w:type="dxa"/>
            <w:vAlign w:val="center"/>
          </w:tcPr>
          <w:p w14:paraId="5DC00A7D">
            <w:pPr>
              <w:spacing w:after="0" w:line="240" w:lineRule="auto"/>
              <w:jc w:val="left"/>
            </w:pPr>
            <w:r>
              <w:rPr>
                <w:rFonts w:ascii="宋体" w:hAnsi="宋体" w:eastAsia="宋体"/>
                <w:b w:val="0"/>
                <w:color w:val="000000"/>
                <w:sz w:val="18"/>
              </w:rPr>
              <w:t>用隐私、安全、数据管理和合规相关指标构造解释变量</w:t>
            </w:r>
          </w:p>
        </w:tc>
        <w:tc>
          <w:tcPr>
            <w:tcW w:w="3081" w:type="dxa"/>
            <w:vAlign w:val="center"/>
          </w:tcPr>
          <w:p w14:paraId="771D14FF">
            <w:pPr>
              <w:spacing w:after="0" w:line="240" w:lineRule="auto"/>
              <w:jc w:val="left"/>
            </w:pPr>
            <w:r>
              <w:rPr>
                <w:rFonts w:ascii="宋体" w:hAnsi="宋体" w:eastAsia="宋体"/>
                <w:b w:val="0"/>
                <w:color w:val="000000"/>
                <w:sz w:val="18"/>
              </w:rPr>
              <w:t>安全不是简单阻力，更像部署路径的选择条件</w:t>
            </w:r>
          </w:p>
        </w:tc>
      </w:tr>
      <w:tr w14:paraId="76FD6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7FFFA86">
            <w:pPr>
              <w:spacing w:after="0" w:line="240" w:lineRule="auto"/>
              <w:jc w:val="center"/>
            </w:pPr>
            <w:r>
              <w:rPr>
                <w:rFonts w:ascii="宋体" w:hAnsi="宋体" w:eastAsia="宋体"/>
                <w:b w:val="0"/>
                <w:color w:val="000000"/>
                <w:sz w:val="18"/>
              </w:rPr>
              <w:t>部署准备度</w:t>
            </w:r>
          </w:p>
        </w:tc>
        <w:tc>
          <w:tcPr>
            <w:tcW w:w="3081" w:type="dxa"/>
            <w:vAlign w:val="center"/>
          </w:tcPr>
          <w:p w14:paraId="2D9D2320">
            <w:pPr>
              <w:spacing w:after="0" w:line="240" w:lineRule="auto"/>
              <w:jc w:val="left"/>
            </w:pPr>
            <w:r>
              <w:rPr>
                <w:rFonts w:ascii="宋体" w:hAnsi="宋体" w:eastAsia="宋体"/>
                <w:b w:val="0"/>
                <w:color w:val="000000"/>
                <w:sz w:val="18"/>
              </w:rPr>
              <w:t>用云开发、云数据分析和数字基础指标表示</w:t>
            </w:r>
          </w:p>
        </w:tc>
        <w:tc>
          <w:tcPr>
            <w:tcW w:w="3081" w:type="dxa"/>
            <w:vAlign w:val="center"/>
          </w:tcPr>
          <w:p w14:paraId="096BC99C">
            <w:pPr>
              <w:spacing w:after="0" w:line="240" w:lineRule="auto"/>
              <w:jc w:val="left"/>
            </w:pPr>
            <w:r>
              <w:rPr>
                <w:rFonts w:ascii="宋体" w:hAnsi="宋体" w:eastAsia="宋体"/>
                <w:b w:val="0"/>
                <w:color w:val="000000"/>
                <w:sz w:val="18"/>
              </w:rPr>
              <w:t>企业是否能把AI接入业务系统，取决于已有数字基础</w:t>
            </w:r>
          </w:p>
        </w:tc>
      </w:tr>
      <w:tr w14:paraId="5E17B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24A1908">
            <w:pPr>
              <w:spacing w:after="0" w:line="240" w:lineRule="auto"/>
              <w:jc w:val="center"/>
            </w:pPr>
            <w:r>
              <w:rPr>
                <w:rFonts w:ascii="宋体" w:hAnsi="宋体" w:eastAsia="宋体"/>
                <w:b w:val="0"/>
                <w:color w:val="000000"/>
                <w:sz w:val="18"/>
              </w:rPr>
              <w:t>治理成熟度</w:t>
            </w:r>
          </w:p>
        </w:tc>
        <w:tc>
          <w:tcPr>
            <w:tcW w:w="3081" w:type="dxa"/>
            <w:vAlign w:val="center"/>
          </w:tcPr>
          <w:p w14:paraId="63E21654">
            <w:pPr>
              <w:spacing w:after="0" w:line="240" w:lineRule="auto"/>
              <w:jc w:val="left"/>
            </w:pPr>
            <w:r>
              <w:rPr>
                <w:rFonts w:ascii="宋体" w:hAnsi="宋体" w:eastAsia="宋体"/>
                <w:b w:val="0"/>
                <w:color w:val="000000"/>
                <w:sz w:val="18"/>
              </w:rPr>
              <w:t>用培训、流程开发、数据治理实践等指标代理</w:t>
            </w:r>
          </w:p>
        </w:tc>
        <w:tc>
          <w:tcPr>
            <w:tcW w:w="3081" w:type="dxa"/>
            <w:vAlign w:val="center"/>
          </w:tcPr>
          <w:p w14:paraId="114554DC">
            <w:pPr>
              <w:spacing w:after="0" w:line="240" w:lineRule="auto"/>
              <w:jc w:val="left"/>
            </w:pPr>
            <w:r>
              <w:rPr>
                <w:rFonts w:ascii="宋体" w:hAnsi="宋体" w:eastAsia="宋体"/>
                <w:b w:val="0"/>
                <w:color w:val="000000"/>
                <w:sz w:val="18"/>
              </w:rPr>
              <w:t>AI进入关键流程后，需要组织规则和责任边界支撑</w:t>
            </w:r>
          </w:p>
        </w:tc>
      </w:tr>
    </w:tbl>
    <w:p w14:paraId="7E7E648F"/>
    <w:p w14:paraId="2FE9F5FA">
      <w:r>
        <w:br w:type="page"/>
      </w:r>
    </w:p>
    <w:p w14:paraId="37E95BA6">
      <w:pPr>
        <w:spacing w:before="160" w:after="120"/>
      </w:pPr>
      <w:r>
        <w:rPr>
          <w:rFonts w:ascii="黑体" w:hAnsi="黑体" w:eastAsia="黑体"/>
          <w:b/>
          <w:color w:val="000000"/>
          <w:sz w:val="30"/>
        </w:rPr>
        <w:t>三、数据工作：最费时间的部分不是跑模型</w:t>
      </w:r>
    </w:p>
    <w:p w14:paraId="005D058C">
      <w:pPr>
        <w:spacing w:after="80" w:line="348" w:lineRule="auto"/>
        <w:ind w:firstLine="420"/>
      </w:pPr>
      <w:r>
        <w:rPr>
          <w:rFonts w:ascii="宋体" w:hAnsi="宋体" w:eastAsia="宋体"/>
          <w:b w:val="0"/>
          <w:color w:val="000000"/>
          <w:sz w:val="21"/>
        </w:rPr>
        <w:t>真正花时间的是数据。Eurostat企业ICT数据的好处是来源公开、口径清楚、可以复现；麻烦也很明显，不同数据集的年份、国家、行业、企业规模和指标编码并不完全一致。我们不能把这些数据直接丢进模型，必须先把字段口径对齐。</w:t>
      </w:r>
    </w:p>
    <w:p w14:paraId="38C28E5E">
      <w:pPr>
        <w:spacing w:after="80" w:line="348" w:lineRule="auto"/>
        <w:ind w:firstLine="420"/>
      </w:pPr>
      <w:r>
        <w:rPr>
          <w:rFonts w:ascii="宋体" w:hAnsi="宋体" w:eastAsia="宋体"/>
          <w:b w:val="0"/>
          <w:color w:val="000000"/>
          <w:sz w:val="21"/>
        </w:rPr>
        <w:t>Stage 1使用企业规模组口径，官方多源数据共有134,367行，最后进入模型的是544行。Stage 2用于外部验证，官方源数据链记录12,770,332行，经过指标筛选和面板聚合后形成5,814行建模数据。这里要说清楚：我们不是直接用千万级原始行训练模型，而是先做清洗、筛选和聚合。</w:t>
      </w:r>
    </w:p>
    <w:p w14:paraId="2066DD79">
      <w:pPr>
        <w:spacing w:after="80" w:line="348" w:lineRule="auto"/>
        <w:ind w:firstLine="420"/>
      </w:pPr>
      <w:r>
        <w:rPr>
          <w:rFonts w:ascii="宋体" w:hAnsi="宋体" w:eastAsia="宋体"/>
          <w:b w:val="0"/>
          <w:color w:val="000000"/>
          <w:sz w:val="21"/>
        </w:rPr>
        <w:t>清洗过程主要处理四件事：统一国家、年份、行业和规模字段；把长表转成可建模的宽面板；剔除覆盖率太低或含义不稳定的指标；去掉与目标变量过近的字段，避免信息泄漏。这个过程看起来不如模型结果醒目，但它决定了后面的R²、MAE和特征重要性有没有意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53C2C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shd w:val="clear" w:color="auto" w:fill="D9D9D9"/>
            <w:vAlign w:val="center"/>
          </w:tcPr>
          <w:p w14:paraId="6D7532E1">
            <w:pPr>
              <w:spacing w:after="0" w:line="240" w:lineRule="auto"/>
              <w:jc w:val="center"/>
            </w:pPr>
            <w:r>
              <w:rPr>
                <w:rFonts w:ascii="宋体" w:hAnsi="宋体" w:eastAsia="宋体"/>
                <w:b/>
                <w:color w:val="000000"/>
                <w:sz w:val="18"/>
              </w:rPr>
              <w:t>阶段</w:t>
            </w:r>
          </w:p>
        </w:tc>
        <w:tc>
          <w:tcPr>
            <w:tcW w:w="1848" w:type="dxa"/>
            <w:shd w:val="clear" w:color="auto" w:fill="D9D9D9"/>
            <w:vAlign w:val="center"/>
          </w:tcPr>
          <w:p w14:paraId="175A541F">
            <w:pPr>
              <w:spacing w:after="0" w:line="240" w:lineRule="auto"/>
              <w:jc w:val="center"/>
            </w:pPr>
            <w:r>
              <w:rPr>
                <w:rFonts w:ascii="宋体" w:hAnsi="宋体" w:eastAsia="宋体"/>
                <w:b/>
                <w:color w:val="000000"/>
                <w:sz w:val="18"/>
              </w:rPr>
              <w:t>原始/扫描记录</w:t>
            </w:r>
          </w:p>
        </w:tc>
        <w:tc>
          <w:tcPr>
            <w:tcW w:w="1848" w:type="dxa"/>
            <w:shd w:val="clear" w:color="auto" w:fill="D9D9D9"/>
            <w:vAlign w:val="center"/>
          </w:tcPr>
          <w:p w14:paraId="15A10026">
            <w:pPr>
              <w:spacing w:after="0" w:line="240" w:lineRule="auto"/>
              <w:jc w:val="center"/>
            </w:pPr>
            <w:r>
              <w:rPr>
                <w:rFonts w:ascii="宋体" w:hAnsi="宋体" w:eastAsia="宋体"/>
                <w:b/>
                <w:color w:val="000000"/>
                <w:sz w:val="18"/>
              </w:rPr>
              <w:t>中间面板</w:t>
            </w:r>
          </w:p>
        </w:tc>
        <w:tc>
          <w:tcPr>
            <w:tcW w:w="1848" w:type="dxa"/>
            <w:shd w:val="clear" w:color="auto" w:fill="D9D9D9"/>
            <w:vAlign w:val="center"/>
          </w:tcPr>
          <w:p w14:paraId="5565A30C">
            <w:pPr>
              <w:spacing w:after="0" w:line="240" w:lineRule="auto"/>
              <w:jc w:val="center"/>
            </w:pPr>
            <w:r>
              <w:rPr>
                <w:rFonts w:ascii="宋体" w:hAnsi="宋体" w:eastAsia="宋体"/>
                <w:b/>
                <w:color w:val="000000"/>
                <w:sz w:val="18"/>
              </w:rPr>
              <w:t>建模样本</w:t>
            </w:r>
          </w:p>
        </w:tc>
        <w:tc>
          <w:tcPr>
            <w:tcW w:w="1848" w:type="dxa"/>
            <w:shd w:val="clear" w:color="auto" w:fill="D9D9D9"/>
            <w:vAlign w:val="center"/>
          </w:tcPr>
          <w:p w14:paraId="7AB02169">
            <w:pPr>
              <w:spacing w:after="0" w:line="240" w:lineRule="auto"/>
              <w:jc w:val="center"/>
            </w:pPr>
            <w:r>
              <w:rPr>
                <w:rFonts w:ascii="宋体" w:hAnsi="宋体" w:eastAsia="宋体"/>
                <w:b/>
                <w:color w:val="000000"/>
                <w:sz w:val="18"/>
              </w:rPr>
              <w:t>用途</w:t>
            </w:r>
          </w:p>
        </w:tc>
      </w:tr>
      <w:tr w14:paraId="15FF1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3115E8E">
            <w:pPr>
              <w:spacing w:after="0" w:line="240" w:lineRule="auto"/>
              <w:jc w:val="center"/>
            </w:pPr>
            <w:r>
              <w:rPr>
                <w:rFonts w:ascii="宋体" w:hAnsi="宋体" w:eastAsia="宋体"/>
                <w:b w:val="0"/>
                <w:color w:val="000000"/>
                <w:sz w:val="18"/>
              </w:rPr>
              <w:t>Stage 1</w:t>
            </w:r>
          </w:p>
        </w:tc>
        <w:tc>
          <w:tcPr>
            <w:tcW w:w="1848" w:type="dxa"/>
            <w:vAlign w:val="center"/>
          </w:tcPr>
          <w:p w14:paraId="7AA00CF4">
            <w:pPr>
              <w:spacing w:after="0" w:line="240" w:lineRule="auto"/>
              <w:jc w:val="center"/>
            </w:pPr>
            <w:r>
              <w:rPr>
                <w:rFonts w:ascii="宋体" w:hAnsi="宋体" w:eastAsia="宋体"/>
                <w:b w:val="0"/>
                <w:color w:val="000000"/>
                <w:sz w:val="18"/>
              </w:rPr>
              <w:t>134,367</w:t>
            </w:r>
          </w:p>
        </w:tc>
        <w:tc>
          <w:tcPr>
            <w:tcW w:w="1848" w:type="dxa"/>
            <w:vAlign w:val="center"/>
          </w:tcPr>
          <w:p w14:paraId="1608CC37">
            <w:pPr>
              <w:spacing w:after="0" w:line="240" w:lineRule="auto"/>
              <w:jc w:val="center"/>
            </w:pPr>
            <w:r>
              <w:rPr>
                <w:rFonts w:ascii="宋体" w:hAnsi="宋体" w:eastAsia="宋体"/>
                <w:b w:val="0"/>
                <w:color w:val="000000"/>
                <w:sz w:val="18"/>
              </w:rPr>
              <w:t>2,323</w:t>
            </w:r>
          </w:p>
        </w:tc>
        <w:tc>
          <w:tcPr>
            <w:tcW w:w="1848" w:type="dxa"/>
            <w:vAlign w:val="center"/>
          </w:tcPr>
          <w:p w14:paraId="5D7D4852">
            <w:pPr>
              <w:spacing w:after="0" w:line="240" w:lineRule="auto"/>
              <w:jc w:val="center"/>
            </w:pPr>
            <w:r>
              <w:rPr>
                <w:rFonts w:ascii="宋体" w:hAnsi="宋体" w:eastAsia="宋体"/>
                <w:b w:val="0"/>
                <w:color w:val="000000"/>
                <w:sz w:val="18"/>
              </w:rPr>
              <w:t>544</w:t>
            </w:r>
          </w:p>
        </w:tc>
        <w:tc>
          <w:tcPr>
            <w:tcW w:w="1848" w:type="dxa"/>
            <w:vAlign w:val="center"/>
          </w:tcPr>
          <w:p w14:paraId="6ACBD0FA">
            <w:pPr>
              <w:spacing w:after="0" w:line="240" w:lineRule="auto"/>
              <w:jc w:val="center"/>
            </w:pPr>
            <w:r>
              <w:rPr>
                <w:rFonts w:ascii="宋体" w:hAnsi="宋体" w:eastAsia="宋体"/>
                <w:b w:val="0"/>
                <w:color w:val="000000"/>
                <w:sz w:val="18"/>
              </w:rPr>
              <w:t>SME规模组机制解释</w:t>
            </w:r>
          </w:p>
        </w:tc>
      </w:tr>
      <w:tr w14:paraId="32E39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E686432">
            <w:pPr>
              <w:spacing w:after="0" w:line="240" w:lineRule="auto"/>
              <w:jc w:val="center"/>
            </w:pPr>
            <w:r>
              <w:rPr>
                <w:rFonts w:ascii="宋体" w:hAnsi="宋体" w:eastAsia="宋体"/>
                <w:b w:val="0"/>
                <w:color w:val="000000"/>
                <w:sz w:val="18"/>
              </w:rPr>
              <w:t>Stage 2</w:t>
            </w:r>
          </w:p>
        </w:tc>
        <w:tc>
          <w:tcPr>
            <w:tcW w:w="1848" w:type="dxa"/>
            <w:vAlign w:val="center"/>
          </w:tcPr>
          <w:p w14:paraId="1F25ECCA">
            <w:pPr>
              <w:spacing w:after="0" w:line="240" w:lineRule="auto"/>
              <w:jc w:val="center"/>
            </w:pPr>
            <w:r>
              <w:rPr>
                <w:rFonts w:ascii="宋体" w:hAnsi="宋体" w:eastAsia="宋体"/>
                <w:b w:val="0"/>
                <w:color w:val="000000"/>
                <w:sz w:val="18"/>
              </w:rPr>
              <w:t>12,770,332</w:t>
            </w:r>
          </w:p>
        </w:tc>
        <w:tc>
          <w:tcPr>
            <w:tcW w:w="1848" w:type="dxa"/>
            <w:vAlign w:val="center"/>
          </w:tcPr>
          <w:p w14:paraId="53FFE9FB">
            <w:pPr>
              <w:spacing w:after="0" w:line="240" w:lineRule="auto"/>
              <w:jc w:val="center"/>
            </w:pPr>
            <w:r>
              <w:rPr>
                <w:rFonts w:ascii="宋体" w:hAnsi="宋体" w:eastAsia="宋体"/>
                <w:b w:val="0"/>
                <w:color w:val="000000"/>
                <w:sz w:val="18"/>
              </w:rPr>
              <w:t>5,814</w:t>
            </w:r>
          </w:p>
        </w:tc>
        <w:tc>
          <w:tcPr>
            <w:tcW w:w="1848" w:type="dxa"/>
            <w:vAlign w:val="center"/>
          </w:tcPr>
          <w:p w14:paraId="66C94DDF">
            <w:pPr>
              <w:spacing w:after="0" w:line="240" w:lineRule="auto"/>
              <w:jc w:val="center"/>
            </w:pPr>
            <w:r>
              <w:rPr>
                <w:rFonts w:ascii="宋体" w:hAnsi="宋体" w:eastAsia="宋体"/>
                <w:b w:val="0"/>
                <w:color w:val="000000"/>
                <w:sz w:val="18"/>
              </w:rPr>
              <w:t>5,814</w:t>
            </w:r>
          </w:p>
        </w:tc>
        <w:tc>
          <w:tcPr>
            <w:tcW w:w="1848" w:type="dxa"/>
            <w:vAlign w:val="center"/>
          </w:tcPr>
          <w:p w14:paraId="615C14CB">
            <w:pPr>
              <w:spacing w:after="0" w:line="240" w:lineRule="auto"/>
              <w:jc w:val="center"/>
            </w:pPr>
            <w:r>
              <w:rPr>
                <w:rFonts w:ascii="宋体" w:hAnsi="宋体" w:eastAsia="宋体"/>
                <w:b w:val="0"/>
                <w:color w:val="000000"/>
                <w:sz w:val="18"/>
              </w:rPr>
              <w:t>行业/区域外部验证</w:t>
            </w:r>
          </w:p>
        </w:tc>
      </w:tr>
      <w:tr w14:paraId="42D4A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7E6738D">
            <w:pPr>
              <w:spacing w:after="0" w:line="240" w:lineRule="auto"/>
              <w:jc w:val="center"/>
            </w:pPr>
            <w:r>
              <w:rPr>
                <w:rFonts w:ascii="宋体" w:hAnsi="宋体" w:eastAsia="宋体"/>
                <w:b w:val="0"/>
                <w:color w:val="000000"/>
                <w:sz w:val="18"/>
              </w:rPr>
              <w:t>Stage 2指标过滤</w:t>
            </w:r>
          </w:p>
        </w:tc>
        <w:tc>
          <w:tcPr>
            <w:tcW w:w="1848" w:type="dxa"/>
            <w:vAlign w:val="center"/>
          </w:tcPr>
          <w:p w14:paraId="180CE3FC">
            <w:pPr>
              <w:spacing w:after="0" w:line="240" w:lineRule="auto"/>
              <w:jc w:val="center"/>
            </w:pPr>
            <w:r>
              <w:rPr>
                <w:rFonts w:ascii="宋体" w:hAnsi="宋体" w:eastAsia="宋体"/>
                <w:b w:val="0"/>
                <w:color w:val="000000"/>
                <w:sz w:val="18"/>
              </w:rPr>
              <w:t>12,341,630</w:t>
            </w:r>
          </w:p>
        </w:tc>
        <w:tc>
          <w:tcPr>
            <w:tcW w:w="1848" w:type="dxa"/>
            <w:vAlign w:val="center"/>
          </w:tcPr>
          <w:p w14:paraId="211410C0">
            <w:pPr>
              <w:spacing w:after="0" w:line="240" w:lineRule="auto"/>
              <w:jc w:val="center"/>
            </w:pPr>
            <w:r>
              <w:rPr>
                <w:rFonts w:ascii="宋体" w:hAnsi="宋体" w:eastAsia="宋体"/>
                <w:b w:val="0"/>
                <w:color w:val="000000"/>
                <w:sz w:val="18"/>
              </w:rPr>
              <w:t>856,880</w:t>
            </w:r>
          </w:p>
        </w:tc>
        <w:tc>
          <w:tcPr>
            <w:tcW w:w="1848" w:type="dxa"/>
            <w:vAlign w:val="center"/>
          </w:tcPr>
          <w:p w14:paraId="01908173">
            <w:pPr>
              <w:spacing w:after="0" w:line="240" w:lineRule="auto"/>
              <w:jc w:val="center"/>
            </w:pPr>
            <w:r>
              <w:rPr>
                <w:rFonts w:ascii="宋体" w:hAnsi="宋体" w:eastAsia="宋体"/>
                <w:b w:val="0"/>
                <w:color w:val="000000"/>
                <w:sz w:val="18"/>
              </w:rPr>
              <w:t>5,814</w:t>
            </w:r>
          </w:p>
        </w:tc>
        <w:tc>
          <w:tcPr>
            <w:tcW w:w="1848" w:type="dxa"/>
            <w:vAlign w:val="center"/>
          </w:tcPr>
          <w:p w14:paraId="7F429D60">
            <w:pPr>
              <w:spacing w:after="0" w:line="240" w:lineRule="auto"/>
              <w:jc w:val="center"/>
            </w:pPr>
            <w:r>
              <w:rPr>
                <w:rFonts w:ascii="宋体" w:hAnsi="宋体" w:eastAsia="宋体"/>
                <w:b w:val="0"/>
                <w:color w:val="000000"/>
                <w:sz w:val="18"/>
              </w:rPr>
              <w:t>从候选指标压缩到可解释特征</w:t>
            </w:r>
          </w:p>
        </w:tc>
      </w:tr>
    </w:tbl>
    <w:p w14:paraId="7D91734F"/>
    <w:p w14:paraId="2499669F">
      <w:pPr>
        <w:jc w:val="center"/>
      </w:pPr>
      <w:r>
        <w:drawing>
          <wp:inline distT="0" distB="0" distL="114300" distR="114300">
            <wp:extent cx="4607560" cy="3188335"/>
            <wp:effectExtent l="0" t="0" r="254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608000" cy="3188676"/>
                    </a:xfrm>
                    <a:prstGeom prst="rect">
                      <a:avLst/>
                    </a:prstGeom>
                  </pic:spPr>
                </pic:pic>
              </a:graphicData>
            </a:graphic>
          </wp:inline>
        </w:drawing>
      </w:r>
    </w:p>
    <w:p w14:paraId="0C612E4C">
      <w:pPr>
        <w:jc w:val="center"/>
      </w:pPr>
      <w:r>
        <w:rPr>
          <w:rFonts w:ascii="宋体" w:hAnsi="宋体" w:eastAsia="宋体"/>
          <w:b w:val="0"/>
          <w:color w:val="000000"/>
          <w:sz w:val="18"/>
        </w:rPr>
        <w:t>图1 数据清洗与建模流程</w:t>
      </w:r>
    </w:p>
    <w:p w14:paraId="062E5884">
      <w:r>
        <w:br w:type="page"/>
      </w:r>
    </w:p>
    <w:p w14:paraId="76E532F8">
      <w:pPr>
        <w:spacing w:before="160" w:after="120"/>
      </w:pPr>
      <w:r>
        <w:rPr>
          <w:rFonts w:ascii="黑体" w:hAnsi="黑体" w:eastAsia="黑体"/>
          <w:b/>
          <w:color w:val="000000"/>
          <w:sz w:val="30"/>
        </w:rPr>
        <w:t>四、变量体系：把管理问题变成模型特征</w:t>
      </w:r>
    </w:p>
    <w:p w14:paraId="441C4908">
      <w:pPr>
        <w:spacing w:after="80" w:line="348" w:lineRule="auto"/>
        <w:ind w:firstLine="420"/>
      </w:pPr>
      <w:r>
        <w:rPr>
          <w:rFonts w:ascii="宋体" w:hAnsi="宋体" w:eastAsia="宋体"/>
          <w:b w:val="0"/>
          <w:color w:val="000000"/>
          <w:sz w:val="21"/>
        </w:rPr>
        <w:t>变量设计时，我们没有只追求数量。企业ICT数据里有很多看起来相关的指标，如果全部放进模型，结果反而不好解释。小组最后保留的是能对应研究问题的变量组：AI能力、云服务能力、数据成熟度、安全顾虑、部署准备度、治理成熟度，以及国家、年份、行业和规模控制变量。</w:t>
      </w:r>
    </w:p>
    <w:p w14:paraId="2570D250">
      <w:pPr>
        <w:spacing w:after="80" w:line="348" w:lineRule="auto"/>
        <w:ind w:firstLine="420"/>
      </w:pPr>
      <w:r>
        <w:rPr>
          <w:rFonts w:ascii="宋体" w:hAnsi="宋体" w:eastAsia="宋体"/>
          <w:b w:val="0"/>
          <w:color w:val="000000"/>
          <w:sz w:val="21"/>
        </w:rPr>
        <w:t>因变量是AI流程自动化使用率。这个变量能直接对应课程汇报的主题，也能把“AI采纳”从泛泛而谈变成一个可度量目标。为了不让模型偷看答案，我们在训练前剔除了目标变量及其直接派生字段。这个处理让分数更可信，也更容易向老师解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4BDE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shd w:val="clear" w:color="auto" w:fill="D9D9D9"/>
            <w:vAlign w:val="center"/>
          </w:tcPr>
          <w:p w14:paraId="0A287A56">
            <w:pPr>
              <w:spacing w:after="0" w:line="240" w:lineRule="auto"/>
              <w:jc w:val="center"/>
            </w:pPr>
            <w:r>
              <w:rPr>
                <w:rFonts w:ascii="宋体" w:hAnsi="宋体" w:eastAsia="宋体"/>
                <w:b/>
                <w:color w:val="000000"/>
                <w:sz w:val="18"/>
              </w:rPr>
              <w:t>变量组</w:t>
            </w:r>
          </w:p>
        </w:tc>
        <w:tc>
          <w:tcPr>
            <w:tcW w:w="3081" w:type="dxa"/>
            <w:shd w:val="clear" w:color="auto" w:fill="D9D9D9"/>
            <w:vAlign w:val="center"/>
          </w:tcPr>
          <w:p w14:paraId="367BE540">
            <w:pPr>
              <w:spacing w:after="0" w:line="240" w:lineRule="auto"/>
              <w:jc w:val="center"/>
            </w:pPr>
            <w:r>
              <w:rPr>
                <w:rFonts w:ascii="宋体" w:hAnsi="宋体" w:eastAsia="宋体"/>
                <w:b/>
                <w:color w:val="000000"/>
                <w:sz w:val="18"/>
              </w:rPr>
              <w:t>代表指标</w:t>
            </w:r>
          </w:p>
        </w:tc>
        <w:tc>
          <w:tcPr>
            <w:tcW w:w="3081" w:type="dxa"/>
            <w:shd w:val="clear" w:color="auto" w:fill="D9D9D9"/>
            <w:vAlign w:val="center"/>
          </w:tcPr>
          <w:p w14:paraId="6A52DD78">
            <w:pPr>
              <w:spacing w:after="0" w:line="240" w:lineRule="auto"/>
              <w:jc w:val="center"/>
            </w:pPr>
            <w:r>
              <w:rPr>
                <w:rFonts w:ascii="宋体" w:hAnsi="宋体" w:eastAsia="宋体"/>
                <w:b/>
                <w:color w:val="000000"/>
                <w:sz w:val="18"/>
              </w:rPr>
              <w:t>解释</w:t>
            </w:r>
          </w:p>
        </w:tc>
      </w:tr>
      <w:tr w14:paraId="6936D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75EA0BD">
            <w:pPr>
              <w:spacing w:after="0" w:line="240" w:lineRule="auto"/>
              <w:jc w:val="center"/>
            </w:pPr>
            <w:r>
              <w:rPr>
                <w:rFonts w:ascii="宋体" w:hAnsi="宋体" w:eastAsia="宋体"/>
                <w:b w:val="0"/>
                <w:color w:val="000000"/>
                <w:sz w:val="18"/>
              </w:rPr>
              <w:t>因变量</w:t>
            </w:r>
          </w:p>
        </w:tc>
        <w:tc>
          <w:tcPr>
            <w:tcW w:w="3081" w:type="dxa"/>
            <w:vAlign w:val="center"/>
          </w:tcPr>
          <w:p w14:paraId="4347BF25">
            <w:pPr>
              <w:spacing w:after="0" w:line="240" w:lineRule="auto"/>
              <w:jc w:val="center"/>
            </w:pPr>
            <w:r>
              <w:rPr>
                <w:rFonts w:ascii="宋体" w:hAnsi="宋体" w:eastAsia="宋体"/>
                <w:b w:val="0"/>
                <w:color w:val="000000"/>
                <w:sz w:val="18"/>
              </w:rPr>
              <w:t>E_AI_TPA</w:t>
            </w:r>
          </w:p>
        </w:tc>
        <w:tc>
          <w:tcPr>
            <w:tcW w:w="3081" w:type="dxa"/>
            <w:vAlign w:val="center"/>
          </w:tcPr>
          <w:p w14:paraId="14475DC6">
            <w:pPr>
              <w:spacing w:after="0" w:line="240" w:lineRule="auto"/>
              <w:jc w:val="left"/>
            </w:pPr>
            <w:r>
              <w:rPr>
                <w:rFonts w:ascii="宋体" w:hAnsi="宋体" w:eastAsia="宋体"/>
                <w:b w:val="0"/>
                <w:color w:val="000000"/>
                <w:sz w:val="18"/>
              </w:rPr>
              <w:t>企业使用AI进行工作流自动化处理的比例</w:t>
            </w:r>
          </w:p>
        </w:tc>
      </w:tr>
      <w:tr w14:paraId="457EF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DE40F38">
            <w:pPr>
              <w:spacing w:after="0" w:line="240" w:lineRule="auto"/>
              <w:jc w:val="center"/>
            </w:pPr>
            <w:r>
              <w:rPr>
                <w:rFonts w:ascii="宋体" w:hAnsi="宋体" w:eastAsia="宋体"/>
                <w:b w:val="0"/>
                <w:color w:val="000000"/>
                <w:sz w:val="18"/>
              </w:rPr>
              <w:t>AI能力</w:t>
            </w:r>
          </w:p>
        </w:tc>
        <w:tc>
          <w:tcPr>
            <w:tcW w:w="3081" w:type="dxa"/>
            <w:vAlign w:val="center"/>
          </w:tcPr>
          <w:p w14:paraId="1E9C081F">
            <w:pPr>
              <w:spacing w:after="0" w:line="240" w:lineRule="auto"/>
              <w:jc w:val="left"/>
            </w:pPr>
            <w:r>
              <w:rPr>
                <w:rFonts w:ascii="宋体" w:hAnsi="宋体" w:eastAsia="宋体"/>
                <w:b w:val="0"/>
                <w:color w:val="000000"/>
                <w:sz w:val="18"/>
              </w:rPr>
              <w:t>E_AI_TML、E_AI_TNLG、E_AI_CC</w:t>
            </w:r>
          </w:p>
        </w:tc>
        <w:tc>
          <w:tcPr>
            <w:tcW w:w="3081" w:type="dxa"/>
            <w:vAlign w:val="center"/>
          </w:tcPr>
          <w:p w14:paraId="6857D516">
            <w:pPr>
              <w:spacing w:after="0" w:line="240" w:lineRule="auto"/>
              <w:jc w:val="left"/>
            </w:pPr>
            <w:r>
              <w:rPr>
                <w:rFonts w:ascii="宋体" w:hAnsi="宋体" w:eastAsia="宋体"/>
                <w:b w:val="0"/>
                <w:color w:val="000000"/>
                <w:sz w:val="18"/>
              </w:rPr>
              <w:t>企业是否已经使用机器学习、自然语言生成、认知计算等AI能力</w:t>
            </w:r>
          </w:p>
        </w:tc>
      </w:tr>
      <w:tr w14:paraId="67AC1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10ABC74">
            <w:pPr>
              <w:spacing w:after="0" w:line="240" w:lineRule="auto"/>
              <w:jc w:val="center"/>
            </w:pPr>
            <w:r>
              <w:rPr>
                <w:rFonts w:ascii="宋体" w:hAnsi="宋体" w:eastAsia="宋体"/>
                <w:b w:val="0"/>
                <w:color w:val="000000"/>
                <w:sz w:val="18"/>
              </w:rPr>
              <w:t>部署准备度</w:t>
            </w:r>
          </w:p>
        </w:tc>
        <w:tc>
          <w:tcPr>
            <w:tcW w:w="3081" w:type="dxa"/>
            <w:vAlign w:val="center"/>
          </w:tcPr>
          <w:p w14:paraId="72414A5C">
            <w:pPr>
              <w:spacing w:after="0" w:line="240" w:lineRule="auto"/>
              <w:jc w:val="center"/>
            </w:pPr>
            <w:r>
              <w:rPr>
                <w:rFonts w:ascii="宋体" w:hAnsi="宋体" w:eastAsia="宋体"/>
                <w:b w:val="0"/>
                <w:color w:val="000000"/>
                <w:sz w:val="18"/>
              </w:rPr>
              <w:t>E_CC_PDEV、E_CC_DA</w:t>
            </w:r>
          </w:p>
        </w:tc>
        <w:tc>
          <w:tcPr>
            <w:tcW w:w="3081" w:type="dxa"/>
            <w:vAlign w:val="center"/>
          </w:tcPr>
          <w:p w14:paraId="13FD6150">
            <w:pPr>
              <w:spacing w:after="0" w:line="240" w:lineRule="auto"/>
              <w:jc w:val="left"/>
            </w:pPr>
            <w:r>
              <w:rPr>
                <w:rFonts w:ascii="宋体" w:hAnsi="宋体" w:eastAsia="宋体"/>
                <w:b w:val="0"/>
                <w:color w:val="000000"/>
                <w:sz w:val="18"/>
              </w:rPr>
              <w:t>企业是否具备云开发、云数据分析和系统接入基础</w:t>
            </w:r>
          </w:p>
        </w:tc>
      </w:tr>
      <w:tr w14:paraId="0DF61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4EEB89A">
            <w:pPr>
              <w:spacing w:after="0" w:line="240" w:lineRule="auto"/>
              <w:jc w:val="center"/>
            </w:pPr>
            <w:r>
              <w:rPr>
                <w:rFonts w:ascii="宋体" w:hAnsi="宋体" w:eastAsia="宋体"/>
                <w:b w:val="0"/>
                <w:color w:val="000000"/>
                <w:sz w:val="18"/>
              </w:rPr>
              <w:t>治理成熟度</w:t>
            </w:r>
          </w:p>
        </w:tc>
        <w:tc>
          <w:tcPr>
            <w:tcW w:w="3081" w:type="dxa"/>
            <w:vAlign w:val="center"/>
          </w:tcPr>
          <w:p w14:paraId="0C193B0C">
            <w:pPr>
              <w:spacing w:after="0" w:line="240" w:lineRule="auto"/>
              <w:jc w:val="left"/>
            </w:pPr>
            <w:r>
              <w:rPr>
                <w:rFonts w:ascii="宋体" w:hAnsi="宋体" w:eastAsia="宋体"/>
                <w:b w:val="0"/>
                <w:color w:val="000000"/>
                <w:sz w:val="18"/>
              </w:rPr>
              <w:t>governance_maturity_proxy</w:t>
            </w:r>
          </w:p>
        </w:tc>
        <w:tc>
          <w:tcPr>
            <w:tcW w:w="3081" w:type="dxa"/>
            <w:vAlign w:val="center"/>
          </w:tcPr>
          <w:p w14:paraId="55F3865D">
            <w:pPr>
              <w:spacing w:after="0" w:line="240" w:lineRule="auto"/>
              <w:jc w:val="center"/>
            </w:pPr>
            <w:r>
              <w:rPr>
                <w:rFonts w:ascii="宋体" w:hAnsi="宋体" w:eastAsia="宋体"/>
                <w:b w:val="0"/>
                <w:color w:val="000000"/>
                <w:sz w:val="18"/>
              </w:rPr>
              <w:t>培训、流程开发、数据管理等组织基础</w:t>
            </w:r>
          </w:p>
        </w:tc>
      </w:tr>
      <w:tr w14:paraId="7F2B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7AD15EC">
            <w:pPr>
              <w:spacing w:after="0" w:line="240" w:lineRule="auto"/>
              <w:jc w:val="center"/>
            </w:pPr>
            <w:r>
              <w:rPr>
                <w:rFonts w:ascii="宋体" w:hAnsi="宋体" w:eastAsia="宋体"/>
                <w:b w:val="0"/>
                <w:color w:val="000000"/>
                <w:sz w:val="18"/>
              </w:rPr>
              <w:t>安全顾虑</w:t>
            </w:r>
          </w:p>
        </w:tc>
        <w:tc>
          <w:tcPr>
            <w:tcW w:w="3081" w:type="dxa"/>
            <w:vAlign w:val="center"/>
          </w:tcPr>
          <w:p w14:paraId="071EE224">
            <w:pPr>
              <w:spacing w:after="0" w:line="240" w:lineRule="auto"/>
              <w:jc w:val="left"/>
            </w:pPr>
            <w:r>
              <w:rPr>
                <w:rFonts w:ascii="宋体" w:hAnsi="宋体" w:eastAsia="宋体"/>
                <w:b w:val="0"/>
                <w:color w:val="000000"/>
                <w:sz w:val="18"/>
              </w:rPr>
              <w:t>security_concern_index</w:t>
            </w:r>
          </w:p>
        </w:tc>
        <w:tc>
          <w:tcPr>
            <w:tcW w:w="3081" w:type="dxa"/>
            <w:vAlign w:val="center"/>
          </w:tcPr>
          <w:p w14:paraId="4DA6730E">
            <w:pPr>
              <w:spacing w:after="0" w:line="240" w:lineRule="auto"/>
              <w:jc w:val="center"/>
            </w:pPr>
            <w:r>
              <w:rPr>
                <w:rFonts w:ascii="宋体" w:hAnsi="宋体" w:eastAsia="宋体"/>
                <w:b w:val="0"/>
                <w:color w:val="000000"/>
                <w:sz w:val="18"/>
              </w:rPr>
              <w:t>隐私、安全、合规和数据管理约束</w:t>
            </w:r>
          </w:p>
        </w:tc>
      </w:tr>
      <w:tr w14:paraId="10A92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9B042BA">
            <w:pPr>
              <w:spacing w:after="0" w:line="240" w:lineRule="auto"/>
              <w:jc w:val="center"/>
            </w:pPr>
            <w:r>
              <w:rPr>
                <w:rFonts w:ascii="宋体" w:hAnsi="宋体" w:eastAsia="宋体"/>
                <w:b w:val="0"/>
                <w:color w:val="000000"/>
                <w:sz w:val="18"/>
              </w:rPr>
              <w:t>控制变量</w:t>
            </w:r>
          </w:p>
        </w:tc>
        <w:tc>
          <w:tcPr>
            <w:tcW w:w="3081" w:type="dxa"/>
            <w:vAlign w:val="center"/>
          </w:tcPr>
          <w:p w14:paraId="28D3D455">
            <w:pPr>
              <w:spacing w:after="0" w:line="240" w:lineRule="auto"/>
              <w:jc w:val="left"/>
            </w:pPr>
            <w:r>
              <w:rPr>
                <w:rFonts w:ascii="宋体" w:hAnsi="宋体" w:eastAsia="宋体"/>
                <w:b w:val="0"/>
                <w:color w:val="000000"/>
                <w:sz w:val="18"/>
              </w:rPr>
              <w:t>geo、year、nace_r2、size_emp</w:t>
            </w:r>
          </w:p>
        </w:tc>
        <w:tc>
          <w:tcPr>
            <w:tcW w:w="3081" w:type="dxa"/>
            <w:vAlign w:val="center"/>
          </w:tcPr>
          <w:p w14:paraId="64077BA4">
            <w:pPr>
              <w:spacing w:after="0" w:line="240" w:lineRule="auto"/>
              <w:jc w:val="center"/>
            </w:pPr>
            <w:r>
              <w:rPr>
                <w:rFonts w:ascii="宋体" w:hAnsi="宋体" w:eastAsia="宋体"/>
                <w:b w:val="0"/>
                <w:color w:val="000000"/>
                <w:sz w:val="18"/>
              </w:rPr>
              <w:t>国家、年份、行业和规模差异</w:t>
            </w:r>
          </w:p>
        </w:tc>
      </w:tr>
    </w:tbl>
    <w:p w14:paraId="3A082CA8"/>
    <w:p w14:paraId="772EF951">
      <w:r>
        <w:br w:type="page"/>
      </w:r>
    </w:p>
    <w:p w14:paraId="23565443">
      <w:pPr>
        <w:spacing w:before="160" w:after="120"/>
      </w:pPr>
      <w:r>
        <w:rPr>
          <w:rFonts w:ascii="黑体" w:hAnsi="黑体" w:eastAsia="黑体"/>
          <w:b/>
          <w:color w:val="000000"/>
          <w:sz w:val="30"/>
        </w:rPr>
        <w:t>五、模型设计：为什么不用一个模型讲到底</w:t>
      </w:r>
    </w:p>
    <w:p w14:paraId="4FB226D8">
      <w:pPr>
        <w:spacing w:after="80" w:line="348" w:lineRule="auto"/>
        <w:ind w:firstLine="420"/>
      </w:pPr>
      <w:r>
        <w:rPr>
          <w:rFonts w:ascii="宋体" w:hAnsi="宋体" w:eastAsia="宋体"/>
          <w:b w:val="0"/>
          <w:color w:val="000000"/>
          <w:sz w:val="21"/>
        </w:rPr>
        <w:t>我们没有只选一个模型。OLS便于看变量方向和显著性，Ridge能处理共线性，Random Forest和ExtraTrees能捕捉非线性关系，KMeans能把结果转成企业画像。每个模型的任务不一样，放在一起才能支撑一个比较完整的课程案例。</w:t>
      </w:r>
    </w:p>
    <w:p w14:paraId="2F259F1B">
      <w:pPr>
        <w:spacing w:after="80" w:line="348" w:lineRule="auto"/>
        <w:ind w:firstLine="420"/>
      </w:pPr>
      <w:r>
        <w:rPr>
          <w:rFonts w:ascii="宋体" w:hAnsi="宋体" w:eastAsia="宋体"/>
          <w:b w:val="0"/>
          <w:color w:val="000000"/>
          <w:sz w:val="21"/>
        </w:rPr>
        <w:t>验证方法上，我们使用GroupKFold by country。这样做是因为企业ICT数据天然带有国家结构，同一国家的观测很可能共享制度环境、数字基础和产业特点。如果随机划分训练集和验证集，模型可能只是记住国家差异，分数会偏高。按国家分组验证更严格，也更能说明模型是否有外部解释力。</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6B00D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shd w:val="clear" w:color="auto" w:fill="D9D9D9"/>
            <w:vAlign w:val="center"/>
          </w:tcPr>
          <w:p w14:paraId="1318EE59">
            <w:pPr>
              <w:spacing w:after="0" w:line="240" w:lineRule="auto"/>
              <w:jc w:val="center"/>
            </w:pPr>
            <w:r>
              <w:rPr>
                <w:rFonts w:ascii="宋体" w:hAnsi="宋体" w:eastAsia="宋体"/>
                <w:b/>
                <w:color w:val="000000"/>
                <w:sz w:val="18"/>
              </w:rPr>
              <w:t>方法</w:t>
            </w:r>
          </w:p>
        </w:tc>
        <w:tc>
          <w:tcPr>
            <w:tcW w:w="3081" w:type="dxa"/>
            <w:shd w:val="clear" w:color="auto" w:fill="D9D9D9"/>
            <w:vAlign w:val="center"/>
          </w:tcPr>
          <w:p w14:paraId="6C77DE92">
            <w:pPr>
              <w:spacing w:after="0" w:line="240" w:lineRule="auto"/>
              <w:jc w:val="center"/>
            </w:pPr>
            <w:r>
              <w:rPr>
                <w:rFonts w:ascii="宋体" w:hAnsi="宋体" w:eastAsia="宋体"/>
                <w:b/>
                <w:color w:val="000000"/>
                <w:sz w:val="18"/>
              </w:rPr>
              <w:t>我们用它回答的问题</w:t>
            </w:r>
          </w:p>
        </w:tc>
        <w:tc>
          <w:tcPr>
            <w:tcW w:w="3081" w:type="dxa"/>
            <w:shd w:val="clear" w:color="auto" w:fill="D9D9D9"/>
            <w:vAlign w:val="center"/>
          </w:tcPr>
          <w:p w14:paraId="4FB8D427">
            <w:pPr>
              <w:spacing w:after="0" w:line="240" w:lineRule="auto"/>
              <w:jc w:val="center"/>
            </w:pPr>
            <w:r>
              <w:rPr>
                <w:rFonts w:ascii="宋体" w:hAnsi="宋体" w:eastAsia="宋体"/>
                <w:b/>
                <w:color w:val="000000"/>
                <w:sz w:val="18"/>
              </w:rPr>
              <w:t>课程知识点</w:t>
            </w:r>
          </w:p>
        </w:tc>
      </w:tr>
      <w:tr w14:paraId="0F7C6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1DADEB1">
            <w:pPr>
              <w:spacing w:after="0" w:line="240" w:lineRule="auto"/>
              <w:jc w:val="center"/>
            </w:pPr>
            <w:r>
              <w:rPr>
                <w:rFonts w:ascii="宋体" w:hAnsi="宋体" w:eastAsia="宋体"/>
                <w:b w:val="0"/>
                <w:color w:val="000000"/>
                <w:sz w:val="18"/>
              </w:rPr>
              <w:t>OLS</w:t>
            </w:r>
          </w:p>
        </w:tc>
        <w:tc>
          <w:tcPr>
            <w:tcW w:w="3081" w:type="dxa"/>
            <w:vAlign w:val="center"/>
          </w:tcPr>
          <w:p w14:paraId="1DBF3B4D">
            <w:pPr>
              <w:spacing w:after="0" w:line="240" w:lineRule="auto"/>
              <w:jc w:val="center"/>
            </w:pPr>
            <w:r>
              <w:rPr>
                <w:rFonts w:ascii="宋体" w:hAnsi="宋体" w:eastAsia="宋体"/>
                <w:b w:val="0"/>
                <w:color w:val="000000"/>
                <w:sz w:val="18"/>
              </w:rPr>
              <w:t>变量方向是否符合研究预期</w:t>
            </w:r>
          </w:p>
        </w:tc>
        <w:tc>
          <w:tcPr>
            <w:tcW w:w="3081" w:type="dxa"/>
            <w:vAlign w:val="center"/>
          </w:tcPr>
          <w:p w14:paraId="3D812247">
            <w:pPr>
              <w:spacing w:after="0" w:line="240" w:lineRule="auto"/>
              <w:jc w:val="center"/>
            </w:pPr>
            <w:r>
              <w:rPr>
                <w:rFonts w:ascii="宋体" w:hAnsi="宋体" w:eastAsia="宋体"/>
                <w:b w:val="0"/>
                <w:color w:val="000000"/>
                <w:sz w:val="18"/>
              </w:rPr>
              <w:t>多元线性回归、显著性解释</w:t>
            </w:r>
          </w:p>
        </w:tc>
      </w:tr>
      <w:tr w14:paraId="4531F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3BCAEA1">
            <w:pPr>
              <w:spacing w:after="0" w:line="240" w:lineRule="auto"/>
              <w:jc w:val="center"/>
            </w:pPr>
            <w:r>
              <w:rPr>
                <w:rFonts w:ascii="宋体" w:hAnsi="宋体" w:eastAsia="宋体"/>
                <w:b w:val="0"/>
                <w:color w:val="000000"/>
                <w:sz w:val="18"/>
              </w:rPr>
              <w:t>Ridge</w:t>
            </w:r>
          </w:p>
        </w:tc>
        <w:tc>
          <w:tcPr>
            <w:tcW w:w="3081" w:type="dxa"/>
            <w:vAlign w:val="center"/>
          </w:tcPr>
          <w:p w14:paraId="1DFD82F7">
            <w:pPr>
              <w:spacing w:after="0" w:line="240" w:lineRule="auto"/>
              <w:jc w:val="center"/>
            </w:pPr>
            <w:r>
              <w:rPr>
                <w:rFonts w:ascii="宋体" w:hAnsi="宋体" w:eastAsia="宋体"/>
                <w:b w:val="0"/>
                <w:color w:val="000000"/>
                <w:sz w:val="18"/>
              </w:rPr>
              <w:t>在共线性存在时结果是否更稳</w:t>
            </w:r>
          </w:p>
        </w:tc>
        <w:tc>
          <w:tcPr>
            <w:tcW w:w="3081" w:type="dxa"/>
            <w:vAlign w:val="center"/>
          </w:tcPr>
          <w:p w14:paraId="2C60CEA9">
            <w:pPr>
              <w:spacing w:after="0" w:line="240" w:lineRule="auto"/>
              <w:jc w:val="center"/>
            </w:pPr>
            <w:r>
              <w:rPr>
                <w:rFonts w:ascii="宋体" w:hAnsi="宋体" w:eastAsia="宋体"/>
                <w:b w:val="0"/>
                <w:color w:val="000000"/>
                <w:sz w:val="18"/>
              </w:rPr>
              <w:t>正则化回归</w:t>
            </w:r>
          </w:p>
        </w:tc>
      </w:tr>
      <w:tr w14:paraId="7F91A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5052532">
            <w:pPr>
              <w:spacing w:after="0" w:line="240" w:lineRule="auto"/>
              <w:jc w:val="left"/>
            </w:pPr>
            <w:r>
              <w:rPr>
                <w:rFonts w:ascii="宋体" w:hAnsi="宋体" w:eastAsia="宋体"/>
                <w:b w:val="0"/>
                <w:color w:val="000000"/>
                <w:sz w:val="18"/>
              </w:rPr>
              <w:t>Random Forest / ExtraTrees</w:t>
            </w:r>
          </w:p>
        </w:tc>
        <w:tc>
          <w:tcPr>
            <w:tcW w:w="3081" w:type="dxa"/>
            <w:vAlign w:val="center"/>
          </w:tcPr>
          <w:p w14:paraId="4A9071D7">
            <w:pPr>
              <w:spacing w:after="0" w:line="240" w:lineRule="auto"/>
              <w:jc w:val="center"/>
            </w:pPr>
            <w:r>
              <w:rPr>
                <w:rFonts w:ascii="宋体" w:hAnsi="宋体" w:eastAsia="宋体"/>
                <w:b w:val="0"/>
                <w:color w:val="000000"/>
                <w:sz w:val="18"/>
              </w:rPr>
              <w:t>变量之间是否存在非线性关系</w:t>
            </w:r>
          </w:p>
        </w:tc>
        <w:tc>
          <w:tcPr>
            <w:tcW w:w="3081" w:type="dxa"/>
            <w:vAlign w:val="center"/>
          </w:tcPr>
          <w:p w14:paraId="119A97AA">
            <w:pPr>
              <w:spacing w:after="0" w:line="240" w:lineRule="auto"/>
              <w:jc w:val="center"/>
            </w:pPr>
            <w:r>
              <w:rPr>
                <w:rFonts w:ascii="宋体" w:hAnsi="宋体" w:eastAsia="宋体"/>
                <w:b w:val="0"/>
                <w:color w:val="000000"/>
                <w:sz w:val="18"/>
              </w:rPr>
              <w:t>集成学习、特征重要性</w:t>
            </w:r>
          </w:p>
        </w:tc>
      </w:tr>
      <w:tr w14:paraId="5AD26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F542DC5">
            <w:pPr>
              <w:spacing w:after="0" w:line="240" w:lineRule="auto"/>
              <w:jc w:val="center"/>
            </w:pPr>
            <w:r>
              <w:rPr>
                <w:rFonts w:ascii="宋体" w:hAnsi="宋体" w:eastAsia="宋体"/>
                <w:b w:val="0"/>
                <w:color w:val="000000"/>
                <w:sz w:val="18"/>
              </w:rPr>
              <w:t>GroupKFold</w:t>
            </w:r>
          </w:p>
        </w:tc>
        <w:tc>
          <w:tcPr>
            <w:tcW w:w="3081" w:type="dxa"/>
            <w:vAlign w:val="center"/>
          </w:tcPr>
          <w:p w14:paraId="3C388C02">
            <w:pPr>
              <w:spacing w:after="0" w:line="240" w:lineRule="auto"/>
              <w:jc w:val="center"/>
            </w:pPr>
            <w:r>
              <w:rPr>
                <w:rFonts w:ascii="宋体" w:hAnsi="宋体" w:eastAsia="宋体"/>
                <w:b w:val="0"/>
                <w:color w:val="000000"/>
                <w:sz w:val="18"/>
              </w:rPr>
              <w:t>模型是否只是记住国家差异</w:t>
            </w:r>
          </w:p>
        </w:tc>
        <w:tc>
          <w:tcPr>
            <w:tcW w:w="3081" w:type="dxa"/>
            <w:vAlign w:val="center"/>
          </w:tcPr>
          <w:p w14:paraId="176EA7B3">
            <w:pPr>
              <w:spacing w:after="0" w:line="240" w:lineRule="auto"/>
              <w:jc w:val="center"/>
            </w:pPr>
            <w:r>
              <w:rPr>
                <w:rFonts w:ascii="宋体" w:hAnsi="宋体" w:eastAsia="宋体"/>
                <w:b w:val="0"/>
                <w:color w:val="000000"/>
                <w:sz w:val="18"/>
              </w:rPr>
              <w:t>交叉验证、数据泄漏控制</w:t>
            </w:r>
          </w:p>
        </w:tc>
      </w:tr>
      <w:tr w14:paraId="0DBA4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3B8F984">
            <w:pPr>
              <w:spacing w:after="0" w:line="240" w:lineRule="auto"/>
              <w:jc w:val="center"/>
            </w:pPr>
            <w:r>
              <w:rPr>
                <w:rFonts w:ascii="宋体" w:hAnsi="宋体" w:eastAsia="宋体"/>
                <w:b w:val="0"/>
                <w:color w:val="000000"/>
                <w:sz w:val="18"/>
              </w:rPr>
              <w:t>KMeans</w:t>
            </w:r>
          </w:p>
        </w:tc>
        <w:tc>
          <w:tcPr>
            <w:tcW w:w="3081" w:type="dxa"/>
            <w:vAlign w:val="center"/>
          </w:tcPr>
          <w:p w14:paraId="7E9384D0">
            <w:pPr>
              <w:spacing w:after="0" w:line="240" w:lineRule="auto"/>
              <w:jc w:val="center"/>
            </w:pPr>
            <w:r>
              <w:rPr>
                <w:rFonts w:ascii="宋体" w:hAnsi="宋体" w:eastAsia="宋体"/>
                <w:b w:val="0"/>
                <w:color w:val="000000"/>
                <w:sz w:val="18"/>
              </w:rPr>
              <w:t>不同企业画像怎样对应部署路径</w:t>
            </w:r>
          </w:p>
        </w:tc>
        <w:tc>
          <w:tcPr>
            <w:tcW w:w="3081" w:type="dxa"/>
            <w:vAlign w:val="center"/>
          </w:tcPr>
          <w:p w14:paraId="0F9B15B6">
            <w:pPr>
              <w:spacing w:after="0" w:line="240" w:lineRule="auto"/>
              <w:jc w:val="center"/>
            </w:pPr>
            <w:r>
              <w:rPr>
                <w:rFonts w:ascii="宋体" w:hAnsi="宋体" w:eastAsia="宋体"/>
                <w:b w:val="0"/>
                <w:color w:val="000000"/>
                <w:sz w:val="18"/>
              </w:rPr>
              <w:t>无监督学习、聚类解释</w:t>
            </w:r>
          </w:p>
        </w:tc>
      </w:tr>
    </w:tbl>
    <w:p w14:paraId="45E4D2E4"/>
    <w:p w14:paraId="6FA0EE89">
      <w:pPr>
        <w:jc w:val="center"/>
      </w:pPr>
      <w:r>
        <w:drawing>
          <wp:inline distT="0" distB="0" distL="114300" distR="114300">
            <wp:extent cx="4607560" cy="256476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608000" cy="2565044"/>
                    </a:xfrm>
                    <a:prstGeom prst="rect">
                      <a:avLst/>
                    </a:prstGeom>
                  </pic:spPr>
                </pic:pic>
              </a:graphicData>
            </a:graphic>
          </wp:inline>
        </w:drawing>
      </w:r>
    </w:p>
    <w:p w14:paraId="235685CC">
      <w:pPr>
        <w:jc w:val="center"/>
      </w:pPr>
      <w:r>
        <w:rPr>
          <w:rFonts w:ascii="宋体" w:hAnsi="宋体" w:eastAsia="宋体"/>
          <w:b w:val="0"/>
          <w:color w:val="000000"/>
          <w:sz w:val="18"/>
        </w:rPr>
        <w:t>图2 模型交叉验证结果</w:t>
      </w:r>
    </w:p>
    <w:p w14:paraId="0EAE6B1A">
      <w:r>
        <w:br w:type="page"/>
      </w:r>
    </w:p>
    <w:p w14:paraId="6F232F2E">
      <w:pPr>
        <w:spacing w:before="160" w:after="120"/>
      </w:pPr>
      <w:r>
        <w:rPr>
          <w:rFonts w:ascii="黑体" w:hAnsi="黑体" w:eastAsia="黑体"/>
          <w:b/>
          <w:color w:val="000000"/>
          <w:sz w:val="30"/>
        </w:rPr>
        <w:t>六、主要结果：哪些结论能站得住</w:t>
      </w:r>
    </w:p>
    <w:p w14:paraId="15C38DE0">
      <w:pPr>
        <w:spacing w:after="80" w:line="348" w:lineRule="auto"/>
        <w:ind w:firstLine="420"/>
      </w:pPr>
      <w:r>
        <w:rPr>
          <w:rFonts w:ascii="宋体" w:hAnsi="宋体" w:eastAsia="宋体"/>
          <w:b w:val="0"/>
          <w:color w:val="000000"/>
          <w:sz w:val="21"/>
        </w:rPr>
        <w:t>Stage 1聚焦中小企业规模组。Ridge模型在GroupKFold by country下取得R²均值0.8743、MAE均值1.7730。这个结果说明，在SME规模组口径下，AI能力、部署准备度和治理相关变量对AI流程自动化采纳差异有较强解释力。</w:t>
      </w:r>
    </w:p>
    <w:p w14:paraId="4CFA9465">
      <w:pPr>
        <w:spacing w:after="80" w:line="348" w:lineRule="auto"/>
        <w:ind w:firstLine="420"/>
      </w:pPr>
      <w:r>
        <w:rPr>
          <w:rFonts w:ascii="宋体" w:hAnsi="宋体" w:eastAsia="宋体"/>
          <w:b w:val="0"/>
          <w:color w:val="000000"/>
          <w:sz w:val="21"/>
        </w:rPr>
        <w:t>Stage 2转向行业和区域口径。ExtraTrees在GroupKFold by country下取得R²均值0.7073、MAE均值2.1060。这个分数比Stage 1低，但场景也更复杂：它覆盖36个国家或地区和50个NACE行业，不再是单纯的SME规模组解释。我们把它写成外部验证，而不是写成SME-only结论。</w:t>
      </w:r>
    </w:p>
    <w:p w14:paraId="3B4217C4">
      <w:pPr>
        <w:spacing w:after="80" w:line="348" w:lineRule="auto"/>
        <w:ind w:firstLine="420"/>
      </w:pPr>
      <w:r>
        <w:rPr>
          <w:rFonts w:ascii="宋体" w:hAnsi="宋体" w:eastAsia="宋体"/>
          <w:b w:val="0"/>
          <w:color w:val="000000"/>
          <w:sz w:val="21"/>
        </w:rPr>
        <w:t>两个阶段共同指向一个判断：机器学习能力是比较稳定的核心变量，部署准备度和治理成熟度会影响AI能否真正进入流程。安全顾虑没有被我们写成“越高越不采纳”，因为数据和业务逻辑都提示它更像路径选择条件。安全要求越高，企业越可能从轻量工具转向更可控的本地化、私有云或混合部署。</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1D42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48" w:type="dxa"/>
            <w:shd w:val="clear" w:color="auto" w:fill="D9D9D9"/>
            <w:vAlign w:val="center"/>
          </w:tcPr>
          <w:p w14:paraId="23E72122">
            <w:pPr>
              <w:spacing w:after="0" w:line="240" w:lineRule="auto"/>
              <w:jc w:val="center"/>
            </w:pPr>
            <w:r>
              <w:rPr>
                <w:rFonts w:ascii="宋体" w:hAnsi="宋体" w:eastAsia="宋体"/>
                <w:b/>
                <w:color w:val="000000"/>
                <w:sz w:val="18"/>
              </w:rPr>
              <w:t>阶段</w:t>
            </w:r>
          </w:p>
        </w:tc>
        <w:tc>
          <w:tcPr>
            <w:tcW w:w="1848" w:type="dxa"/>
            <w:shd w:val="clear" w:color="auto" w:fill="D9D9D9"/>
            <w:vAlign w:val="center"/>
          </w:tcPr>
          <w:p w14:paraId="0DB68A5A">
            <w:pPr>
              <w:spacing w:after="0" w:line="240" w:lineRule="auto"/>
              <w:jc w:val="center"/>
            </w:pPr>
            <w:r>
              <w:rPr>
                <w:rFonts w:ascii="宋体" w:hAnsi="宋体" w:eastAsia="宋体"/>
                <w:b/>
                <w:color w:val="000000"/>
                <w:sz w:val="18"/>
              </w:rPr>
              <w:t>模型</w:t>
            </w:r>
          </w:p>
        </w:tc>
        <w:tc>
          <w:tcPr>
            <w:tcW w:w="1848" w:type="dxa"/>
            <w:shd w:val="clear" w:color="auto" w:fill="D9D9D9"/>
            <w:vAlign w:val="center"/>
          </w:tcPr>
          <w:p w14:paraId="3363E3E4">
            <w:pPr>
              <w:spacing w:after="0" w:line="240" w:lineRule="auto"/>
              <w:jc w:val="center"/>
            </w:pPr>
            <w:r>
              <w:rPr>
                <w:rFonts w:ascii="宋体" w:hAnsi="宋体" w:eastAsia="宋体"/>
                <w:b/>
                <w:color w:val="000000"/>
                <w:sz w:val="18"/>
              </w:rPr>
              <w:t>R²均值</w:t>
            </w:r>
          </w:p>
        </w:tc>
        <w:tc>
          <w:tcPr>
            <w:tcW w:w="1848" w:type="dxa"/>
            <w:shd w:val="clear" w:color="auto" w:fill="D9D9D9"/>
            <w:vAlign w:val="center"/>
          </w:tcPr>
          <w:p w14:paraId="230DBA48">
            <w:pPr>
              <w:spacing w:after="0" w:line="240" w:lineRule="auto"/>
              <w:jc w:val="center"/>
            </w:pPr>
            <w:r>
              <w:rPr>
                <w:rFonts w:ascii="宋体" w:hAnsi="宋体" w:eastAsia="宋体"/>
                <w:b/>
                <w:color w:val="000000"/>
                <w:sz w:val="18"/>
              </w:rPr>
              <w:t>MAE均值</w:t>
            </w:r>
          </w:p>
        </w:tc>
        <w:tc>
          <w:tcPr>
            <w:tcW w:w="1848" w:type="dxa"/>
            <w:shd w:val="clear" w:color="auto" w:fill="D9D9D9"/>
            <w:vAlign w:val="center"/>
          </w:tcPr>
          <w:p w14:paraId="308D8180">
            <w:pPr>
              <w:spacing w:after="0" w:line="240" w:lineRule="auto"/>
              <w:jc w:val="center"/>
            </w:pPr>
            <w:r>
              <w:rPr>
                <w:rFonts w:ascii="宋体" w:hAnsi="宋体" w:eastAsia="宋体"/>
                <w:b/>
                <w:color w:val="000000"/>
                <w:sz w:val="18"/>
              </w:rPr>
              <w:t>验证方式</w:t>
            </w:r>
          </w:p>
        </w:tc>
      </w:tr>
      <w:tr w14:paraId="32006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85353A7">
            <w:pPr>
              <w:spacing w:after="0" w:line="240" w:lineRule="auto"/>
              <w:jc w:val="center"/>
            </w:pPr>
            <w:r>
              <w:rPr>
                <w:rFonts w:ascii="宋体" w:hAnsi="宋体" w:eastAsia="宋体"/>
                <w:b w:val="0"/>
                <w:color w:val="000000"/>
                <w:sz w:val="18"/>
              </w:rPr>
              <w:t>Stage 1 SME规模层</w:t>
            </w:r>
          </w:p>
        </w:tc>
        <w:tc>
          <w:tcPr>
            <w:tcW w:w="1848" w:type="dxa"/>
            <w:vAlign w:val="center"/>
          </w:tcPr>
          <w:p w14:paraId="163F025D">
            <w:pPr>
              <w:spacing w:after="0" w:line="240" w:lineRule="auto"/>
              <w:jc w:val="center"/>
            </w:pPr>
            <w:r>
              <w:rPr>
                <w:rFonts w:ascii="宋体" w:hAnsi="宋体" w:eastAsia="宋体"/>
                <w:b w:val="0"/>
                <w:color w:val="000000"/>
                <w:sz w:val="18"/>
              </w:rPr>
              <w:t>多元线性回归</w:t>
            </w:r>
          </w:p>
        </w:tc>
        <w:tc>
          <w:tcPr>
            <w:tcW w:w="1848" w:type="dxa"/>
            <w:vAlign w:val="center"/>
          </w:tcPr>
          <w:p w14:paraId="4794BB51">
            <w:pPr>
              <w:spacing w:after="0" w:line="240" w:lineRule="auto"/>
              <w:jc w:val="center"/>
            </w:pPr>
            <w:r>
              <w:rPr>
                <w:rFonts w:ascii="宋体" w:hAnsi="宋体" w:eastAsia="宋体"/>
                <w:b w:val="0"/>
                <w:color w:val="000000"/>
                <w:sz w:val="18"/>
              </w:rPr>
              <w:t>0.8729</w:t>
            </w:r>
          </w:p>
        </w:tc>
        <w:tc>
          <w:tcPr>
            <w:tcW w:w="1848" w:type="dxa"/>
            <w:vAlign w:val="center"/>
          </w:tcPr>
          <w:p w14:paraId="5F2D0F00">
            <w:pPr>
              <w:spacing w:after="0" w:line="240" w:lineRule="auto"/>
              <w:jc w:val="center"/>
            </w:pPr>
            <w:r>
              <w:rPr>
                <w:rFonts w:ascii="宋体" w:hAnsi="宋体" w:eastAsia="宋体"/>
                <w:b w:val="0"/>
                <w:color w:val="000000"/>
                <w:sz w:val="18"/>
              </w:rPr>
              <w:t>1.7700</w:t>
            </w:r>
          </w:p>
        </w:tc>
        <w:tc>
          <w:tcPr>
            <w:tcW w:w="1848" w:type="dxa"/>
            <w:vAlign w:val="center"/>
          </w:tcPr>
          <w:p w14:paraId="0D3A75B8">
            <w:pPr>
              <w:spacing w:after="0" w:line="240" w:lineRule="auto"/>
              <w:jc w:val="left"/>
            </w:pPr>
            <w:r>
              <w:rPr>
                <w:rFonts w:ascii="宋体" w:hAnsi="宋体" w:eastAsia="宋体"/>
                <w:b w:val="0"/>
                <w:color w:val="000000"/>
                <w:sz w:val="18"/>
              </w:rPr>
              <w:t>GroupKFold by country</w:t>
            </w:r>
          </w:p>
        </w:tc>
      </w:tr>
      <w:tr w14:paraId="7436D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469CFAB">
            <w:pPr>
              <w:spacing w:after="0" w:line="240" w:lineRule="auto"/>
              <w:jc w:val="center"/>
            </w:pPr>
            <w:r>
              <w:rPr>
                <w:rFonts w:ascii="宋体" w:hAnsi="宋体" w:eastAsia="宋体"/>
                <w:b w:val="0"/>
                <w:color w:val="000000"/>
                <w:sz w:val="18"/>
              </w:rPr>
              <w:t>Stage 1 SME规模层</w:t>
            </w:r>
          </w:p>
        </w:tc>
        <w:tc>
          <w:tcPr>
            <w:tcW w:w="1848" w:type="dxa"/>
            <w:vAlign w:val="center"/>
          </w:tcPr>
          <w:p w14:paraId="366B7501">
            <w:pPr>
              <w:spacing w:after="0" w:line="240" w:lineRule="auto"/>
              <w:jc w:val="center"/>
            </w:pPr>
            <w:r>
              <w:rPr>
                <w:rFonts w:ascii="宋体" w:hAnsi="宋体" w:eastAsia="宋体"/>
                <w:b w:val="0"/>
                <w:color w:val="000000"/>
                <w:sz w:val="18"/>
              </w:rPr>
              <w:t>岭回归</w:t>
            </w:r>
          </w:p>
        </w:tc>
        <w:tc>
          <w:tcPr>
            <w:tcW w:w="1848" w:type="dxa"/>
            <w:vAlign w:val="center"/>
          </w:tcPr>
          <w:p w14:paraId="2735A26C">
            <w:pPr>
              <w:spacing w:after="0" w:line="240" w:lineRule="auto"/>
              <w:jc w:val="center"/>
            </w:pPr>
            <w:r>
              <w:rPr>
                <w:rFonts w:ascii="宋体" w:hAnsi="宋体" w:eastAsia="宋体"/>
                <w:b w:val="0"/>
                <w:color w:val="000000"/>
                <w:sz w:val="18"/>
              </w:rPr>
              <w:t>0.8743</w:t>
            </w:r>
          </w:p>
        </w:tc>
        <w:tc>
          <w:tcPr>
            <w:tcW w:w="1848" w:type="dxa"/>
            <w:vAlign w:val="center"/>
          </w:tcPr>
          <w:p w14:paraId="54F94576">
            <w:pPr>
              <w:spacing w:after="0" w:line="240" w:lineRule="auto"/>
              <w:jc w:val="center"/>
            </w:pPr>
            <w:r>
              <w:rPr>
                <w:rFonts w:ascii="宋体" w:hAnsi="宋体" w:eastAsia="宋体"/>
                <w:b w:val="0"/>
                <w:color w:val="000000"/>
                <w:sz w:val="18"/>
              </w:rPr>
              <w:t>1.7730</w:t>
            </w:r>
          </w:p>
        </w:tc>
        <w:tc>
          <w:tcPr>
            <w:tcW w:w="1848" w:type="dxa"/>
            <w:vAlign w:val="center"/>
          </w:tcPr>
          <w:p w14:paraId="05338D72">
            <w:pPr>
              <w:spacing w:after="0" w:line="240" w:lineRule="auto"/>
              <w:jc w:val="left"/>
            </w:pPr>
            <w:r>
              <w:rPr>
                <w:rFonts w:ascii="宋体" w:hAnsi="宋体" w:eastAsia="宋体"/>
                <w:b w:val="0"/>
                <w:color w:val="000000"/>
                <w:sz w:val="18"/>
              </w:rPr>
              <w:t>GroupKFold by country</w:t>
            </w:r>
          </w:p>
        </w:tc>
      </w:tr>
      <w:tr w14:paraId="7FDB8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0E1A7F0">
            <w:pPr>
              <w:spacing w:after="0" w:line="240" w:lineRule="auto"/>
              <w:jc w:val="center"/>
            </w:pPr>
            <w:r>
              <w:rPr>
                <w:rFonts w:ascii="宋体" w:hAnsi="宋体" w:eastAsia="宋体"/>
                <w:b w:val="0"/>
                <w:color w:val="000000"/>
                <w:sz w:val="18"/>
              </w:rPr>
              <w:t>Stage 1 SME规模层</w:t>
            </w:r>
          </w:p>
        </w:tc>
        <w:tc>
          <w:tcPr>
            <w:tcW w:w="1848" w:type="dxa"/>
            <w:vAlign w:val="center"/>
          </w:tcPr>
          <w:p w14:paraId="731B22BB">
            <w:pPr>
              <w:spacing w:after="0" w:line="240" w:lineRule="auto"/>
              <w:jc w:val="center"/>
            </w:pPr>
            <w:r>
              <w:rPr>
                <w:rFonts w:ascii="宋体" w:hAnsi="宋体" w:eastAsia="宋体"/>
                <w:b w:val="0"/>
                <w:color w:val="000000"/>
                <w:sz w:val="18"/>
              </w:rPr>
              <w:t>随机森林</w:t>
            </w:r>
          </w:p>
        </w:tc>
        <w:tc>
          <w:tcPr>
            <w:tcW w:w="1848" w:type="dxa"/>
            <w:vAlign w:val="center"/>
          </w:tcPr>
          <w:p w14:paraId="77115ACD">
            <w:pPr>
              <w:spacing w:after="0" w:line="240" w:lineRule="auto"/>
              <w:jc w:val="center"/>
            </w:pPr>
            <w:r>
              <w:rPr>
                <w:rFonts w:ascii="宋体" w:hAnsi="宋体" w:eastAsia="宋体"/>
                <w:b w:val="0"/>
                <w:color w:val="000000"/>
                <w:sz w:val="18"/>
              </w:rPr>
              <w:t>0.8607</w:t>
            </w:r>
          </w:p>
        </w:tc>
        <w:tc>
          <w:tcPr>
            <w:tcW w:w="1848" w:type="dxa"/>
            <w:vAlign w:val="center"/>
          </w:tcPr>
          <w:p w14:paraId="14FBB064">
            <w:pPr>
              <w:spacing w:after="0" w:line="240" w:lineRule="auto"/>
              <w:jc w:val="center"/>
            </w:pPr>
            <w:r>
              <w:rPr>
                <w:rFonts w:ascii="宋体" w:hAnsi="宋体" w:eastAsia="宋体"/>
                <w:b w:val="0"/>
                <w:color w:val="000000"/>
                <w:sz w:val="18"/>
              </w:rPr>
              <w:t>1.7978</w:t>
            </w:r>
          </w:p>
        </w:tc>
        <w:tc>
          <w:tcPr>
            <w:tcW w:w="1848" w:type="dxa"/>
            <w:vAlign w:val="center"/>
          </w:tcPr>
          <w:p w14:paraId="08EA3A35">
            <w:pPr>
              <w:spacing w:after="0" w:line="240" w:lineRule="auto"/>
              <w:jc w:val="left"/>
            </w:pPr>
            <w:r>
              <w:rPr>
                <w:rFonts w:ascii="宋体" w:hAnsi="宋体" w:eastAsia="宋体"/>
                <w:b w:val="0"/>
                <w:color w:val="000000"/>
                <w:sz w:val="18"/>
              </w:rPr>
              <w:t>GroupKFold by country</w:t>
            </w:r>
          </w:p>
        </w:tc>
      </w:tr>
      <w:tr w14:paraId="5FB97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331A6B4">
            <w:pPr>
              <w:spacing w:after="0" w:line="240" w:lineRule="auto"/>
              <w:jc w:val="center"/>
            </w:pPr>
            <w:r>
              <w:rPr>
                <w:rFonts w:ascii="宋体" w:hAnsi="宋体" w:eastAsia="宋体"/>
                <w:b w:val="0"/>
                <w:color w:val="000000"/>
                <w:sz w:val="18"/>
              </w:rPr>
              <w:t>Stage 1 SME规模层</w:t>
            </w:r>
          </w:p>
        </w:tc>
        <w:tc>
          <w:tcPr>
            <w:tcW w:w="1848" w:type="dxa"/>
            <w:vAlign w:val="center"/>
          </w:tcPr>
          <w:p w14:paraId="541980A7">
            <w:pPr>
              <w:spacing w:after="0" w:line="240" w:lineRule="auto"/>
              <w:jc w:val="center"/>
            </w:pPr>
            <w:r>
              <w:rPr>
                <w:rFonts w:ascii="宋体" w:hAnsi="宋体" w:eastAsia="宋体"/>
                <w:b w:val="0"/>
                <w:color w:val="000000"/>
                <w:sz w:val="18"/>
              </w:rPr>
              <w:t>ExtraTrees</w:t>
            </w:r>
          </w:p>
        </w:tc>
        <w:tc>
          <w:tcPr>
            <w:tcW w:w="1848" w:type="dxa"/>
            <w:vAlign w:val="center"/>
          </w:tcPr>
          <w:p w14:paraId="6BEAB79F">
            <w:pPr>
              <w:spacing w:after="0" w:line="240" w:lineRule="auto"/>
              <w:jc w:val="center"/>
            </w:pPr>
            <w:r>
              <w:rPr>
                <w:rFonts w:ascii="宋体" w:hAnsi="宋体" w:eastAsia="宋体"/>
                <w:b w:val="0"/>
                <w:color w:val="000000"/>
                <w:sz w:val="18"/>
              </w:rPr>
              <w:t>0.8630</w:t>
            </w:r>
          </w:p>
        </w:tc>
        <w:tc>
          <w:tcPr>
            <w:tcW w:w="1848" w:type="dxa"/>
            <w:vAlign w:val="center"/>
          </w:tcPr>
          <w:p w14:paraId="568AB05D">
            <w:pPr>
              <w:spacing w:after="0" w:line="240" w:lineRule="auto"/>
              <w:jc w:val="center"/>
            </w:pPr>
            <w:r>
              <w:rPr>
                <w:rFonts w:ascii="宋体" w:hAnsi="宋体" w:eastAsia="宋体"/>
                <w:b w:val="0"/>
                <w:color w:val="000000"/>
                <w:sz w:val="18"/>
              </w:rPr>
              <w:t>1.7425</w:t>
            </w:r>
          </w:p>
        </w:tc>
        <w:tc>
          <w:tcPr>
            <w:tcW w:w="1848" w:type="dxa"/>
            <w:vAlign w:val="center"/>
          </w:tcPr>
          <w:p w14:paraId="3AB3C529">
            <w:pPr>
              <w:spacing w:after="0" w:line="240" w:lineRule="auto"/>
              <w:jc w:val="left"/>
            </w:pPr>
            <w:r>
              <w:rPr>
                <w:rFonts w:ascii="宋体" w:hAnsi="宋体" w:eastAsia="宋体"/>
                <w:b w:val="0"/>
                <w:color w:val="000000"/>
                <w:sz w:val="18"/>
              </w:rPr>
              <w:t>GroupKFold by country</w:t>
            </w:r>
          </w:p>
        </w:tc>
      </w:tr>
      <w:tr w14:paraId="4D532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27A22B8">
            <w:pPr>
              <w:spacing w:after="0" w:line="240" w:lineRule="auto"/>
              <w:jc w:val="center"/>
            </w:pPr>
            <w:r>
              <w:rPr>
                <w:rFonts w:ascii="宋体" w:hAnsi="宋体" w:eastAsia="宋体"/>
                <w:b w:val="0"/>
                <w:color w:val="000000"/>
                <w:sz w:val="18"/>
              </w:rPr>
              <w:t>Stage 2 行业验证层</w:t>
            </w:r>
          </w:p>
        </w:tc>
        <w:tc>
          <w:tcPr>
            <w:tcW w:w="1848" w:type="dxa"/>
            <w:vAlign w:val="center"/>
          </w:tcPr>
          <w:p w14:paraId="403BC395">
            <w:pPr>
              <w:spacing w:after="0" w:line="240" w:lineRule="auto"/>
              <w:jc w:val="center"/>
            </w:pPr>
            <w:r>
              <w:rPr>
                <w:rFonts w:ascii="宋体" w:hAnsi="宋体" w:eastAsia="宋体"/>
                <w:b w:val="0"/>
                <w:color w:val="000000"/>
                <w:sz w:val="18"/>
              </w:rPr>
              <w:t>多元线性回归</w:t>
            </w:r>
          </w:p>
        </w:tc>
        <w:tc>
          <w:tcPr>
            <w:tcW w:w="1848" w:type="dxa"/>
            <w:vAlign w:val="center"/>
          </w:tcPr>
          <w:p w14:paraId="628D87D1">
            <w:pPr>
              <w:spacing w:after="0" w:line="240" w:lineRule="auto"/>
              <w:jc w:val="center"/>
            </w:pPr>
            <w:r>
              <w:rPr>
                <w:rFonts w:ascii="宋体" w:hAnsi="宋体" w:eastAsia="宋体"/>
                <w:b w:val="0"/>
                <w:color w:val="000000"/>
                <w:sz w:val="18"/>
              </w:rPr>
              <w:t>0.6974</w:t>
            </w:r>
          </w:p>
        </w:tc>
        <w:tc>
          <w:tcPr>
            <w:tcW w:w="1848" w:type="dxa"/>
            <w:vAlign w:val="center"/>
          </w:tcPr>
          <w:p w14:paraId="31506FBB">
            <w:pPr>
              <w:spacing w:after="0" w:line="240" w:lineRule="auto"/>
              <w:jc w:val="center"/>
            </w:pPr>
            <w:r>
              <w:rPr>
                <w:rFonts w:ascii="宋体" w:hAnsi="宋体" w:eastAsia="宋体"/>
                <w:b w:val="0"/>
                <w:color w:val="000000"/>
                <w:sz w:val="18"/>
              </w:rPr>
              <w:t>2.1046</w:t>
            </w:r>
          </w:p>
        </w:tc>
        <w:tc>
          <w:tcPr>
            <w:tcW w:w="1848" w:type="dxa"/>
            <w:vAlign w:val="center"/>
          </w:tcPr>
          <w:p w14:paraId="7412DE3F">
            <w:pPr>
              <w:spacing w:after="0" w:line="240" w:lineRule="auto"/>
              <w:jc w:val="left"/>
            </w:pPr>
            <w:r>
              <w:rPr>
                <w:rFonts w:ascii="宋体" w:hAnsi="宋体" w:eastAsia="宋体"/>
                <w:b w:val="0"/>
                <w:color w:val="000000"/>
                <w:sz w:val="18"/>
              </w:rPr>
              <w:t>GroupKFold by country</w:t>
            </w:r>
          </w:p>
        </w:tc>
      </w:tr>
      <w:tr w14:paraId="07AA1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0224EB7">
            <w:pPr>
              <w:spacing w:after="0" w:line="240" w:lineRule="auto"/>
              <w:jc w:val="center"/>
            </w:pPr>
            <w:r>
              <w:rPr>
                <w:rFonts w:ascii="宋体" w:hAnsi="宋体" w:eastAsia="宋体"/>
                <w:b w:val="0"/>
                <w:color w:val="000000"/>
                <w:sz w:val="18"/>
              </w:rPr>
              <w:t>Stage 2 行业验证层</w:t>
            </w:r>
          </w:p>
        </w:tc>
        <w:tc>
          <w:tcPr>
            <w:tcW w:w="1848" w:type="dxa"/>
            <w:vAlign w:val="center"/>
          </w:tcPr>
          <w:p w14:paraId="0847EA58">
            <w:pPr>
              <w:spacing w:after="0" w:line="240" w:lineRule="auto"/>
              <w:jc w:val="center"/>
            </w:pPr>
            <w:r>
              <w:rPr>
                <w:rFonts w:ascii="宋体" w:hAnsi="宋体" w:eastAsia="宋体"/>
                <w:b w:val="0"/>
                <w:color w:val="000000"/>
                <w:sz w:val="18"/>
              </w:rPr>
              <w:t>岭回归</w:t>
            </w:r>
          </w:p>
        </w:tc>
        <w:tc>
          <w:tcPr>
            <w:tcW w:w="1848" w:type="dxa"/>
            <w:vAlign w:val="center"/>
          </w:tcPr>
          <w:p w14:paraId="1CD6B717">
            <w:pPr>
              <w:spacing w:after="0" w:line="240" w:lineRule="auto"/>
              <w:jc w:val="center"/>
            </w:pPr>
            <w:r>
              <w:rPr>
                <w:rFonts w:ascii="宋体" w:hAnsi="宋体" w:eastAsia="宋体"/>
                <w:b w:val="0"/>
                <w:color w:val="000000"/>
                <w:sz w:val="18"/>
              </w:rPr>
              <w:t>0.6974</w:t>
            </w:r>
          </w:p>
        </w:tc>
        <w:tc>
          <w:tcPr>
            <w:tcW w:w="1848" w:type="dxa"/>
            <w:vAlign w:val="center"/>
          </w:tcPr>
          <w:p w14:paraId="1FEBD571">
            <w:pPr>
              <w:spacing w:after="0" w:line="240" w:lineRule="auto"/>
              <w:jc w:val="center"/>
            </w:pPr>
            <w:r>
              <w:rPr>
                <w:rFonts w:ascii="宋体" w:hAnsi="宋体" w:eastAsia="宋体"/>
                <w:b w:val="0"/>
                <w:color w:val="000000"/>
                <w:sz w:val="18"/>
              </w:rPr>
              <w:t>2.1051</w:t>
            </w:r>
          </w:p>
        </w:tc>
        <w:tc>
          <w:tcPr>
            <w:tcW w:w="1848" w:type="dxa"/>
            <w:vAlign w:val="center"/>
          </w:tcPr>
          <w:p w14:paraId="4B82346D">
            <w:pPr>
              <w:spacing w:after="0" w:line="240" w:lineRule="auto"/>
              <w:jc w:val="left"/>
            </w:pPr>
            <w:r>
              <w:rPr>
                <w:rFonts w:ascii="宋体" w:hAnsi="宋体" w:eastAsia="宋体"/>
                <w:b w:val="0"/>
                <w:color w:val="000000"/>
                <w:sz w:val="18"/>
              </w:rPr>
              <w:t>GroupKFold by country</w:t>
            </w:r>
          </w:p>
        </w:tc>
      </w:tr>
      <w:tr w14:paraId="606CF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C8F5B80">
            <w:pPr>
              <w:spacing w:after="0" w:line="240" w:lineRule="auto"/>
              <w:jc w:val="center"/>
            </w:pPr>
            <w:r>
              <w:rPr>
                <w:rFonts w:ascii="宋体" w:hAnsi="宋体" w:eastAsia="宋体"/>
                <w:b w:val="0"/>
                <w:color w:val="000000"/>
                <w:sz w:val="18"/>
              </w:rPr>
              <w:t>Stage 2 行业验证层</w:t>
            </w:r>
          </w:p>
        </w:tc>
        <w:tc>
          <w:tcPr>
            <w:tcW w:w="1848" w:type="dxa"/>
            <w:vAlign w:val="center"/>
          </w:tcPr>
          <w:p w14:paraId="1488DE6A">
            <w:pPr>
              <w:spacing w:after="0" w:line="240" w:lineRule="auto"/>
              <w:jc w:val="center"/>
            </w:pPr>
            <w:r>
              <w:rPr>
                <w:rFonts w:ascii="宋体" w:hAnsi="宋体" w:eastAsia="宋体"/>
                <w:b w:val="0"/>
                <w:color w:val="000000"/>
                <w:sz w:val="18"/>
              </w:rPr>
              <w:t>随机森林</w:t>
            </w:r>
          </w:p>
        </w:tc>
        <w:tc>
          <w:tcPr>
            <w:tcW w:w="1848" w:type="dxa"/>
            <w:vAlign w:val="center"/>
          </w:tcPr>
          <w:p w14:paraId="7DE55C39">
            <w:pPr>
              <w:spacing w:after="0" w:line="240" w:lineRule="auto"/>
              <w:jc w:val="center"/>
            </w:pPr>
            <w:r>
              <w:rPr>
                <w:rFonts w:ascii="宋体" w:hAnsi="宋体" w:eastAsia="宋体"/>
                <w:b w:val="0"/>
                <w:color w:val="000000"/>
                <w:sz w:val="18"/>
              </w:rPr>
              <w:t>0.6831</w:t>
            </w:r>
          </w:p>
        </w:tc>
        <w:tc>
          <w:tcPr>
            <w:tcW w:w="1848" w:type="dxa"/>
            <w:vAlign w:val="center"/>
          </w:tcPr>
          <w:p w14:paraId="177E15E9">
            <w:pPr>
              <w:spacing w:after="0" w:line="240" w:lineRule="auto"/>
              <w:jc w:val="center"/>
            </w:pPr>
            <w:r>
              <w:rPr>
                <w:rFonts w:ascii="宋体" w:hAnsi="宋体" w:eastAsia="宋体"/>
                <w:b w:val="0"/>
                <w:color w:val="000000"/>
                <w:sz w:val="18"/>
              </w:rPr>
              <w:t>2.1441</w:t>
            </w:r>
          </w:p>
        </w:tc>
        <w:tc>
          <w:tcPr>
            <w:tcW w:w="1848" w:type="dxa"/>
            <w:vAlign w:val="center"/>
          </w:tcPr>
          <w:p w14:paraId="740E7A41">
            <w:pPr>
              <w:spacing w:after="0" w:line="240" w:lineRule="auto"/>
              <w:jc w:val="left"/>
            </w:pPr>
            <w:r>
              <w:rPr>
                <w:rFonts w:ascii="宋体" w:hAnsi="宋体" w:eastAsia="宋体"/>
                <w:b w:val="0"/>
                <w:color w:val="000000"/>
                <w:sz w:val="18"/>
              </w:rPr>
              <w:t>GroupKFold by country</w:t>
            </w:r>
          </w:p>
        </w:tc>
      </w:tr>
      <w:tr w14:paraId="61492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1500F92">
            <w:pPr>
              <w:spacing w:after="0" w:line="240" w:lineRule="auto"/>
              <w:jc w:val="center"/>
            </w:pPr>
            <w:r>
              <w:rPr>
                <w:rFonts w:ascii="宋体" w:hAnsi="宋体" w:eastAsia="宋体"/>
                <w:b w:val="0"/>
                <w:color w:val="000000"/>
                <w:sz w:val="18"/>
              </w:rPr>
              <w:t>Stage 2 行业验证层</w:t>
            </w:r>
          </w:p>
        </w:tc>
        <w:tc>
          <w:tcPr>
            <w:tcW w:w="1848" w:type="dxa"/>
            <w:vAlign w:val="center"/>
          </w:tcPr>
          <w:p w14:paraId="7A18AE58">
            <w:pPr>
              <w:spacing w:after="0" w:line="240" w:lineRule="auto"/>
              <w:jc w:val="center"/>
            </w:pPr>
            <w:r>
              <w:rPr>
                <w:rFonts w:ascii="宋体" w:hAnsi="宋体" w:eastAsia="宋体"/>
                <w:b w:val="0"/>
                <w:color w:val="000000"/>
                <w:sz w:val="18"/>
              </w:rPr>
              <w:t>ExtraTrees</w:t>
            </w:r>
          </w:p>
        </w:tc>
        <w:tc>
          <w:tcPr>
            <w:tcW w:w="1848" w:type="dxa"/>
            <w:vAlign w:val="center"/>
          </w:tcPr>
          <w:p w14:paraId="0F157986">
            <w:pPr>
              <w:spacing w:after="0" w:line="240" w:lineRule="auto"/>
              <w:jc w:val="center"/>
            </w:pPr>
            <w:r>
              <w:rPr>
                <w:rFonts w:ascii="宋体" w:hAnsi="宋体" w:eastAsia="宋体"/>
                <w:b w:val="0"/>
                <w:color w:val="000000"/>
                <w:sz w:val="18"/>
              </w:rPr>
              <w:t>0.7073</w:t>
            </w:r>
          </w:p>
        </w:tc>
        <w:tc>
          <w:tcPr>
            <w:tcW w:w="1848" w:type="dxa"/>
            <w:vAlign w:val="center"/>
          </w:tcPr>
          <w:p w14:paraId="1322ABA2">
            <w:pPr>
              <w:spacing w:after="0" w:line="240" w:lineRule="auto"/>
              <w:jc w:val="center"/>
            </w:pPr>
            <w:r>
              <w:rPr>
                <w:rFonts w:ascii="宋体" w:hAnsi="宋体" w:eastAsia="宋体"/>
                <w:b w:val="0"/>
                <w:color w:val="000000"/>
                <w:sz w:val="18"/>
              </w:rPr>
              <w:t>2.1060</w:t>
            </w:r>
          </w:p>
        </w:tc>
        <w:tc>
          <w:tcPr>
            <w:tcW w:w="1848" w:type="dxa"/>
            <w:vAlign w:val="center"/>
          </w:tcPr>
          <w:p w14:paraId="0A5835AF">
            <w:pPr>
              <w:spacing w:after="0" w:line="240" w:lineRule="auto"/>
              <w:jc w:val="left"/>
            </w:pPr>
            <w:r>
              <w:rPr>
                <w:rFonts w:ascii="宋体" w:hAnsi="宋体" w:eastAsia="宋体"/>
                <w:b w:val="0"/>
                <w:color w:val="000000"/>
                <w:sz w:val="18"/>
              </w:rPr>
              <w:t>GroupKFold by country</w:t>
            </w:r>
          </w:p>
        </w:tc>
      </w:tr>
    </w:tbl>
    <w:p w14:paraId="4527FA50"/>
    <w:p w14:paraId="4CEE628B">
      <w:pPr>
        <w:jc w:val="center"/>
      </w:pPr>
      <w:r>
        <w:drawing>
          <wp:inline distT="0" distB="0" distL="114300" distR="114300">
            <wp:extent cx="4607560" cy="283972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608000" cy="2840225"/>
                    </a:xfrm>
                    <a:prstGeom prst="rect">
                      <a:avLst/>
                    </a:prstGeom>
                  </pic:spPr>
                </pic:pic>
              </a:graphicData>
            </a:graphic>
          </wp:inline>
        </w:drawing>
      </w:r>
    </w:p>
    <w:p w14:paraId="2FBCF0A5">
      <w:pPr>
        <w:jc w:val="center"/>
      </w:pPr>
      <w:r>
        <w:rPr>
          <w:rFonts w:ascii="宋体" w:hAnsi="宋体" w:eastAsia="宋体"/>
          <w:b w:val="0"/>
          <w:color w:val="000000"/>
          <w:sz w:val="18"/>
        </w:rPr>
        <w:t>图3 Stage 1特征重要性</w:t>
      </w:r>
    </w:p>
    <w:p w14:paraId="541CC8FD">
      <w:pPr>
        <w:jc w:val="center"/>
      </w:pPr>
      <w:r>
        <w:drawing>
          <wp:inline distT="0" distB="0" distL="114300" distR="114300">
            <wp:extent cx="4607560" cy="2630170"/>
            <wp:effectExtent l="0" t="0" r="254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608000" cy="2630687"/>
                    </a:xfrm>
                    <a:prstGeom prst="rect">
                      <a:avLst/>
                    </a:prstGeom>
                  </pic:spPr>
                </pic:pic>
              </a:graphicData>
            </a:graphic>
          </wp:inline>
        </w:drawing>
      </w:r>
    </w:p>
    <w:p w14:paraId="621A38AF">
      <w:pPr>
        <w:jc w:val="center"/>
      </w:pPr>
      <w:r>
        <w:rPr>
          <w:rFonts w:ascii="宋体" w:hAnsi="宋体" w:eastAsia="宋体"/>
          <w:b w:val="0"/>
          <w:color w:val="000000"/>
          <w:sz w:val="18"/>
        </w:rPr>
        <w:t>图4 Stage 2特征重要性</w:t>
      </w:r>
    </w:p>
    <w:p w14:paraId="6800EFBB">
      <w:r>
        <w:br w:type="page"/>
      </w:r>
    </w:p>
    <w:p w14:paraId="031E9CE3">
      <w:pPr>
        <w:spacing w:before="160" w:after="120"/>
      </w:pPr>
      <w:r>
        <w:rPr>
          <w:rFonts w:ascii="黑体" w:hAnsi="黑体" w:eastAsia="黑体"/>
          <w:b/>
          <w:color w:val="000000"/>
          <w:sz w:val="30"/>
        </w:rPr>
        <w:t>七、结果解释：从模型分数回到企业场景</w:t>
      </w:r>
    </w:p>
    <w:p w14:paraId="02E19F4B">
      <w:pPr>
        <w:spacing w:after="80" w:line="348" w:lineRule="auto"/>
        <w:ind w:firstLine="420"/>
      </w:pPr>
      <w:r>
        <w:rPr>
          <w:rFonts w:ascii="宋体" w:hAnsi="宋体" w:eastAsia="宋体"/>
          <w:b w:val="0"/>
          <w:color w:val="000000"/>
          <w:sz w:val="21"/>
        </w:rPr>
        <w:t>如果只看模型分数，这个项目就只完成了一半。我们更关心的是这些结果怎样解释企业采纳路径。对中小企业来说，AI流程自动化往往不是一次性大规模替换，而是从低风险流程开始试点，再逐步进入客服、财务、供应链、文档处理等业务环节。</w:t>
      </w:r>
    </w:p>
    <w:p w14:paraId="209C3B0B">
      <w:pPr>
        <w:spacing w:after="80" w:line="348" w:lineRule="auto"/>
        <w:ind w:firstLine="420"/>
      </w:pPr>
      <w:r>
        <w:rPr>
          <w:rFonts w:ascii="宋体" w:hAnsi="宋体" w:eastAsia="宋体"/>
          <w:b w:val="0"/>
          <w:color w:val="000000"/>
          <w:sz w:val="21"/>
        </w:rPr>
        <w:t>效率需求强的企业更容易启动项目，但如果数据分散、接口混乱、治理责任不清，AI很可能停在试点。安全敏感的企业也不是不能用AI，而是需要更清楚的权限、日志、数据边界和模型解释。部署偏好由此变成一个很实际的问题：什么时候用SaaS，什么时候接API，什么时候必须本地化，什么时候适合混合架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790F6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shd w:val="clear" w:color="auto" w:fill="D9D9D9"/>
            <w:vAlign w:val="center"/>
          </w:tcPr>
          <w:p w14:paraId="1AA5A51E">
            <w:pPr>
              <w:spacing w:after="0" w:line="240" w:lineRule="auto"/>
              <w:jc w:val="center"/>
            </w:pPr>
            <w:r>
              <w:rPr>
                <w:rFonts w:ascii="宋体" w:hAnsi="宋体" w:eastAsia="宋体"/>
                <w:b/>
                <w:color w:val="000000"/>
                <w:sz w:val="18"/>
              </w:rPr>
              <w:t>企业画像</w:t>
            </w:r>
          </w:p>
        </w:tc>
        <w:tc>
          <w:tcPr>
            <w:tcW w:w="3081" w:type="dxa"/>
            <w:shd w:val="clear" w:color="auto" w:fill="D9D9D9"/>
            <w:vAlign w:val="center"/>
          </w:tcPr>
          <w:p w14:paraId="5ACE09FB">
            <w:pPr>
              <w:spacing w:after="0" w:line="240" w:lineRule="auto"/>
              <w:jc w:val="center"/>
            </w:pPr>
            <w:r>
              <w:rPr>
                <w:rFonts w:ascii="宋体" w:hAnsi="宋体" w:eastAsia="宋体"/>
                <w:b/>
                <w:color w:val="000000"/>
                <w:sz w:val="18"/>
              </w:rPr>
              <w:t>典型特征</w:t>
            </w:r>
          </w:p>
        </w:tc>
        <w:tc>
          <w:tcPr>
            <w:tcW w:w="3081" w:type="dxa"/>
            <w:shd w:val="clear" w:color="auto" w:fill="D9D9D9"/>
            <w:vAlign w:val="center"/>
          </w:tcPr>
          <w:p w14:paraId="48445745">
            <w:pPr>
              <w:spacing w:after="0" w:line="240" w:lineRule="auto"/>
              <w:jc w:val="center"/>
            </w:pPr>
            <w:r>
              <w:rPr>
                <w:rFonts w:ascii="宋体" w:hAnsi="宋体" w:eastAsia="宋体"/>
                <w:b/>
                <w:color w:val="000000"/>
                <w:sz w:val="18"/>
              </w:rPr>
              <w:t>更合适的部署路径</w:t>
            </w:r>
          </w:p>
        </w:tc>
      </w:tr>
      <w:tr w14:paraId="5BF3C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DEB6DEA">
            <w:pPr>
              <w:spacing w:after="0" w:line="240" w:lineRule="auto"/>
              <w:jc w:val="center"/>
            </w:pPr>
            <w:r>
              <w:rPr>
                <w:rFonts w:ascii="宋体" w:hAnsi="宋体" w:eastAsia="宋体"/>
                <w:b w:val="0"/>
                <w:color w:val="000000"/>
                <w:sz w:val="18"/>
              </w:rPr>
              <w:t>效率驱动型</w:t>
            </w:r>
          </w:p>
        </w:tc>
        <w:tc>
          <w:tcPr>
            <w:tcW w:w="3081" w:type="dxa"/>
            <w:vAlign w:val="center"/>
          </w:tcPr>
          <w:p w14:paraId="0DC6EC58">
            <w:pPr>
              <w:spacing w:after="0" w:line="240" w:lineRule="auto"/>
              <w:jc w:val="left"/>
            </w:pPr>
            <w:r>
              <w:rPr>
                <w:rFonts w:ascii="宋体" w:hAnsi="宋体" w:eastAsia="宋体"/>
                <w:b w:val="0"/>
                <w:color w:val="000000"/>
                <w:sz w:val="18"/>
              </w:rPr>
              <w:t>流程重复、人工复核多，安全要求相对可控</w:t>
            </w:r>
          </w:p>
        </w:tc>
        <w:tc>
          <w:tcPr>
            <w:tcW w:w="3081" w:type="dxa"/>
            <w:vAlign w:val="center"/>
          </w:tcPr>
          <w:p w14:paraId="5E998F69">
            <w:pPr>
              <w:spacing w:after="0" w:line="240" w:lineRule="auto"/>
              <w:jc w:val="left"/>
            </w:pPr>
            <w:r>
              <w:rPr>
                <w:rFonts w:ascii="宋体" w:hAnsi="宋体" w:eastAsia="宋体"/>
                <w:b w:val="0"/>
                <w:color w:val="000000"/>
                <w:sz w:val="18"/>
              </w:rPr>
              <w:t>先用SaaS或API接入，快速验证ROI</w:t>
            </w:r>
          </w:p>
        </w:tc>
      </w:tr>
      <w:tr w14:paraId="51AEF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563FE91">
            <w:pPr>
              <w:spacing w:after="0" w:line="240" w:lineRule="auto"/>
              <w:jc w:val="center"/>
            </w:pPr>
            <w:r>
              <w:rPr>
                <w:rFonts w:ascii="宋体" w:hAnsi="宋体" w:eastAsia="宋体"/>
                <w:b w:val="0"/>
                <w:color w:val="000000"/>
                <w:sz w:val="18"/>
              </w:rPr>
              <w:t>治理成熟型</w:t>
            </w:r>
          </w:p>
        </w:tc>
        <w:tc>
          <w:tcPr>
            <w:tcW w:w="3081" w:type="dxa"/>
            <w:vAlign w:val="center"/>
          </w:tcPr>
          <w:p w14:paraId="5DFED57C">
            <w:pPr>
              <w:spacing w:after="0" w:line="240" w:lineRule="auto"/>
              <w:jc w:val="left"/>
            </w:pPr>
            <w:r>
              <w:rPr>
                <w:rFonts w:ascii="宋体" w:hAnsi="宋体" w:eastAsia="宋体"/>
                <w:b w:val="0"/>
                <w:color w:val="000000"/>
                <w:sz w:val="18"/>
              </w:rPr>
              <w:t>数据管理和培训基础较好，流程标准化程度高</w:t>
            </w:r>
          </w:p>
        </w:tc>
        <w:tc>
          <w:tcPr>
            <w:tcW w:w="3081" w:type="dxa"/>
            <w:vAlign w:val="center"/>
          </w:tcPr>
          <w:p w14:paraId="1E78DF80">
            <w:pPr>
              <w:spacing w:after="0" w:line="240" w:lineRule="auto"/>
              <w:jc w:val="center"/>
            </w:pPr>
            <w:r>
              <w:rPr>
                <w:rFonts w:ascii="宋体" w:hAnsi="宋体" w:eastAsia="宋体"/>
                <w:b w:val="0"/>
                <w:color w:val="000000"/>
                <w:sz w:val="18"/>
              </w:rPr>
              <w:t>推进流程级自动化和跨系统集成</w:t>
            </w:r>
          </w:p>
        </w:tc>
      </w:tr>
      <w:tr w14:paraId="3CD6F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9DBA21B">
            <w:pPr>
              <w:spacing w:after="0" w:line="240" w:lineRule="auto"/>
              <w:jc w:val="center"/>
            </w:pPr>
            <w:r>
              <w:rPr>
                <w:rFonts w:ascii="宋体" w:hAnsi="宋体" w:eastAsia="宋体"/>
                <w:b w:val="0"/>
                <w:color w:val="000000"/>
                <w:sz w:val="18"/>
              </w:rPr>
              <w:t>安全敏感型</w:t>
            </w:r>
          </w:p>
        </w:tc>
        <w:tc>
          <w:tcPr>
            <w:tcW w:w="3081" w:type="dxa"/>
            <w:vAlign w:val="center"/>
          </w:tcPr>
          <w:p w14:paraId="06B42237">
            <w:pPr>
              <w:spacing w:after="0" w:line="240" w:lineRule="auto"/>
              <w:jc w:val="center"/>
            </w:pPr>
            <w:r>
              <w:rPr>
                <w:rFonts w:ascii="宋体" w:hAnsi="宋体" w:eastAsia="宋体"/>
                <w:b w:val="0"/>
                <w:color w:val="000000"/>
                <w:sz w:val="18"/>
              </w:rPr>
              <w:t>合规压力大，数据边界严格</w:t>
            </w:r>
          </w:p>
        </w:tc>
        <w:tc>
          <w:tcPr>
            <w:tcW w:w="3081" w:type="dxa"/>
            <w:vAlign w:val="center"/>
          </w:tcPr>
          <w:p w14:paraId="22A51685">
            <w:pPr>
              <w:spacing w:after="0" w:line="240" w:lineRule="auto"/>
              <w:jc w:val="left"/>
            </w:pPr>
            <w:r>
              <w:rPr>
                <w:rFonts w:ascii="宋体" w:hAnsi="宋体" w:eastAsia="宋体"/>
                <w:b w:val="0"/>
                <w:color w:val="000000"/>
                <w:sz w:val="18"/>
              </w:rPr>
              <w:t>本地化、私有云或混合部署，配合审计机制</w:t>
            </w:r>
          </w:p>
        </w:tc>
      </w:tr>
      <w:tr w14:paraId="4531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879E7E0">
            <w:pPr>
              <w:spacing w:after="0" w:line="240" w:lineRule="auto"/>
              <w:jc w:val="center"/>
            </w:pPr>
            <w:r>
              <w:rPr>
                <w:rFonts w:ascii="宋体" w:hAnsi="宋体" w:eastAsia="宋体"/>
                <w:b w:val="0"/>
                <w:color w:val="000000"/>
                <w:sz w:val="18"/>
              </w:rPr>
              <w:t>基础薄弱型</w:t>
            </w:r>
          </w:p>
        </w:tc>
        <w:tc>
          <w:tcPr>
            <w:tcW w:w="3081" w:type="dxa"/>
            <w:vAlign w:val="center"/>
          </w:tcPr>
          <w:p w14:paraId="621E9BD5">
            <w:pPr>
              <w:spacing w:after="0" w:line="240" w:lineRule="auto"/>
              <w:jc w:val="center"/>
            </w:pPr>
            <w:r>
              <w:rPr>
                <w:rFonts w:ascii="宋体" w:hAnsi="宋体" w:eastAsia="宋体"/>
                <w:b w:val="0"/>
                <w:color w:val="000000"/>
                <w:sz w:val="18"/>
              </w:rPr>
              <w:t>系统分散、数据质量不稳</w:t>
            </w:r>
          </w:p>
        </w:tc>
        <w:tc>
          <w:tcPr>
            <w:tcW w:w="3081" w:type="dxa"/>
            <w:vAlign w:val="center"/>
          </w:tcPr>
          <w:p w14:paraId="76E35F46">
            <w:pPr>
              <w:spacing w:after="0" w:line="240" w:lineRule="auto"/>
              <w:jc w:val="left"/>
            </w:pPr>
            <w:r>
              <w:rPr>
                <w:rFonts w:ascii="宋体" w:hAnsi="宋体" w:eastAsia="宋体"/>
                <w:b w:val="0"/>
                <w:color w:val="000000"/>
                <w:sz w:val="18"/>
              </w:rPr>
              <w:t>先补数据治理和流程标准化，再扩大AI应用</w:t>
            </w:r>
          </w:p>
        </w:tc>
      </w:tr>
    </w:tbl>
    <w:p w14:paraId="78E65D44"/>
    <w:p w14:paraId="021C3DD7">
      <w:r>
        <w:br w:type="page"/>
      </w:r>
    </w:p>
    <w:p w14:paraId="4C20F64E">
      <w:pPr>
        <w:spacing w:before="160" w:after="120"/>
      </w:pPr>
      <w:r>
        <w:rPr>
          <w:rFonts w:ascii="黑体" w:hAnsi="黑体" w:eastAsia="黑体"/>
          <w:b/>
          <w:color w:val="000000"/>
          <w:sz w:val="30"/>
        </w:rPr>
        <w:t>八、小组分工与协作过程</w:t>
      </w:r>
    </w:p>
    <w:p w14:paraId="2549A62A">
      <w:pPr>
        <w:spacing w:after="80" w:line="348" w:lineRule="auto"/>
        <w:ind w:firstLine="420"/>
      </w:pPr>
      <w:r>
        <w:rPr>
          <w:rFonts w:ascii="宋体" w:hAnsi="宋体" w:eastAsia="宋体"/>
          <w:b w:val="0"/>
          <w:color w:val="000000"/>
          <w:sz w:val="21"/>
        </w:rPr>
        <w:t>这次小组工作不是把任务简单拆成几页PPT。比较核心的工作是把研究问题、数据处理、模型结果和展示语言统一起来。每个人负责的部分不同，但最后必须能接成一条线：问题从哪里来，数据怎么证明，模型怎么验证，结果怎样解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5033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shd w:val="clear" w:color="auto" w:fill="D9D9D9"/>
            <w:vAlign w:val="center"/>
          </w:tcPr>
          <w:p w14:paraId="191E21ED">
            <w:pPr>
              <w:spacing w:after="0" w:line="240" w:lineRule="auto"/>
              <w:jc w:val="center"/>
            </w:pPr>
            <w:r>
              <w:rPr>
                <w:rFonts w:ascii="宋体" w:hAnsi="宋体" w:eastAsia="宋体"/>
                <w:b/>
                <w:color w:val="000000"/>
                <w:sz w:val="18"/>
              </w:rPr>
              <w:t>成员</w:t>
            </w:r>
          </w:p>
        </w:tc>
        <w:tc>
          <w:tcPr>
            <w:tcW w:w="3081" w:type="dxa"/>
            <w:shd w:val="clear" w:color="auto" w:fill="D9D9D9"/>
            <w:vAlign w:val="center"/>
          </w:tcPr>
          <w:p w14:paraId="668C9D79">
            <w:pPr>
              <w:spacing w:after="0" w:line="240" w:lineRule="auto"/>
              <w:jc w:val="center"/>
            </w:pPr>
            <w:r>
              <w:rPr>
                <w:rFonts w:ascii="宋体" w:hAnsi="宋体" w:eastAsia="宋体"/>
                <w:b/>
                <w:color w:val="000000"/>
                <w:sz w:val="18"/>
              </w:rPr>
              <w:t>主要工作</w:t>
            </w:r>
          </w:p>
        </w:tc>
        <w:tc>
          <w:tcPr>
            <w:tcW w:w="3081" w:type="dxa"/>
            <w:shd w:val="clear" w:color="auto" w:fill="D9D9D9"/>
            <w:vAlign w:val="center"/>
          </w:tcPr>
          <w:p w14:paraId="287AD8C7">
            <w:pPr>
              <w:spacing w:after="0" w:line="240" w:lineRule="auto"/>
              <w:jc w:val="center"/>
            </w:pPr>
            <w:r>
              <w:rPr>
                <w:rFonts w:ascii="宋体" w:hAnsi="宋体" w:eastAsia="宋体"/>
                <w:b/>
                <w:color w:val="000000"/>
                <w:sz w:val="18"/>
              </w:rPr>
              <w:t>在汇报中的体现</w:t>
            </w:r>
          </w:p>
        </w:tc>
      </w:tr>
      <w:tr w14:paraId="352A8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882534D">
            <w:pPr>
              <w:spacing w:after="0" w:line="240" w:lineRule="auto"/>
              <w:jc w:val="center"/>
            </w:pPr>
            <w:r>
              <w:rPr>
                <w:rFonts w:ascii="宋体" w:hAnsi="宋体" w:eastAsia="宋体"/>
                <w:b w:val="0"/>
                <w:color w:val="000000"/>
                <w:sz w:val="18"/>
              </w:rPr>
              <w:t>景浩伟</w:t>
            </w:r>
          </w:p>
        </w:tc>
        <w:tc>
          <w:tcPr>
            <w:tcW w:w="3081" w:type="dxa"/>
            <w:vAlign w:val="center"/>
          </w:tcPr>
          <w:p w14:paraId="38191977">
            <w:pPr>
              <w:spacing w:after="0" w:line="240" w:lineRule="auto"/>
              <w:jc w:val="left"/>
            </w:pPr>
            <w:r>
              <w:rPr>
                <w:rFonts w:ascii="宋体" w:hAnsi="宋体" w:eastAsia="宋体"/>
                <w:b w:val="0"/>
                <w:color w:val="000000"/>
                <w:sz w:val="18"/>
              </w:rPr>
              <w:t>选题统筹、研究框架、数据与模型流程、报告整合、PPT逻辑和答辩</w:t>
            </w:r>
          </w:p>
        </w:tc>
        <w:tc>
          <w:tcPr>
            <w:tcW w:w="3081" w:type="dxa"/>
            <w:vAlign w:val="center"/>
          </w:tcPr>
          <w:p w14:paraId="64D5CCEF">
            <w:pPr>
              <w:spacing w:after="0" w:line="240" w:lineRule="auto"/>
              <w:jc w:val="left"/>
            </w:pPr>
            <w:r>
              <w:rPr>
                <w:rFonts w:ascii="宋体" w:hAnsi="宋体" w:eastAsia="宋体"/>
                <w:b w:val="0"/>
                <w:color w:val="000000"/>
                <w:sz w:val="18"/>
              </w:rPr>
              <w:t>把投稿思路改成课程案例，控制研究边界和整体叙事</w:t>
            </w:r>
          </w:p>
        </w:tc>
      </w:tr>
      <w:tr w14:paraId="3AEF4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50FDEE8">
            <w:pPr>
              <w:spacing w:after="0" w:line="240" w:lineRule="auto"/>
              <w:jc w:val="center"/>
            </w:pPr>
            <w:r>
              <w:rPr>
                <w:rFonts w:ascii="宋体" w:hAnsi="宋体" w:eastAsia="宋体"/>
                <w:b w:val="0"/>
                <w:color w:val="000000"/>
                <w:sz w:val="18"/>
              </w:rPr>
              <w:t>张新通</w:t>
            </w:r>
          </w:p>
        </w:tc>
        <w:tc>
          <w:tcPr>
            <w:tcW w:w="3081" w:type="dxa"/>
            <w:vAlign w:val="center"/>
          </w:tcPr>
          <w:p w14:paraId="1178DFD8">
            <w:pPr>
              <w:spacing w:after="0" w:line="240" w:lineRule="auto"/>
              <w:jc w:val="left"/>
            </w:pPr>
            <w:r>
              <w:rPr>
                <w:rFonts w:ascii="宋体" w:hAnsi="宋体" w:eastAsia="宋体"/>
                <w:b w:val="0"/>
                <w:color w:val="000000"/>
                <w:sz w:val="18"/>
              </w:rPr>
              <w:t>数据来源、数据生命周期、源数据真实性和清洗流程整理</w:t>
            </w:r>
          </w:p>
        </w:tc>
        <w:tc>
          <w:tcPr>
            <w:tcW w:w="3081" w:type="dxa"/>
            <w:vAlign w:val="center"/>
          </w:tcPr>
          <w:p w14:paraId="4F4C63AE">
            <w:pPr>
              <w:spacing w:after="0" w:line="240" w:lineRule="auto"/>
              <w:jc w:val="left"/>
            </w:pPr>
            <w:r>
              <w:rPr>
                <w:rFonts w:ascii="宋体" w:hAnsi="宋体" w:eastAsia="宋体"/>
                <w:b w:val="0"/>
                <w:color w:val="000000"/>
                <w:sz w:val="18"/>
              </w:rPr>
              <w:t>说明为什么数据可信、为什么需要从原始记录聚合到建模面板</w:t>
            </w:r>
          </w:p>
        </w:tc>
      </w:tr>
      <w:tr w14:paraId="35061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263C6F7">
            <w:pPr>
              <w:spacing w:after="0" w:line="240" w:lineRule="auto"/>
              <w:jc w:val="center"/>
            </w:pPr>
            <w:r>
              <w:rPr>
                <w:rFonts w:ascii="宋体" w:hAnsi="宋体" w:eastAsia="宋体"/>
                <w:b w:val="0"/>
                <w:color w:val="000000"/>
                <w:sz w:val="18"/>
              </w:rPr>
              <w:t>刘子涵</w:t>
            </w:r>
          </w:p>
        </w:tc>
        <w:tc>
          <w:tcPr>
            <w:tcW w:w="3081" w:type="dxa"/>
            <w:vAlign w:val="center"/>
          </w:tcPr>
          <w:p w14:paraId="2FCCF412">
            <w:pPr>
              <w:spacing w:after="0" w:line="240" w:lineRule="auto"/>
              <w:jc w:val="left"/>
            </w:pPr>
            <w:r>
              <w:rPr>
                <w:rFonts w:ascii="宋体" w:hAnsi="宋体" w:eastAsia="宋体"/>
                <w:b w:val="0"/>
                <w:color w:val="000000"/>
                <w:sz w:val="18"/>
              </w:rPr>
              <w:t>模型方法、指标解释、模型结果核对和图表解释</w:t>
            </w:r>
          </w:p>
        </w:tc>
        <w:tc>
          <w:tcPr>
            <w:tcW w:w="3081" w:type="dxa"/>
            <w:vAlign w:val="center"/>
          </w:tcPr>
          <w:p w14:paraId="34C20920">
            <w:pPr>
              <w:spacing w:after="0" w:line="240" w:lineRule="auto"/>
              <w:jc w:val="left"/>
            </w:pPr>
            <w:r>
              <w:rPr>
                <w:rFonts w:ascii="宋体" w:hAnsi="宋体" w:eastAsia="宋体"/>
                <w:b w:val="0"/>
                <w:color w:val="000000"/>
                <w:sz w:val="18"/>
              </w:rPr>
              <w:t>解释Ridge、ExtraTrees、R²、MAE和GroupKFold结果</w:t>
            </w:r>
          </w:p>
        </w:tc>
      </w:tr>
      <w:tr w14:paraId="50743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DA9053C">
            <w:pPr>
              <w:spacing w:after="0" w:line="240" w:lineRule="auto"/>
              <w:jc w:val="center"/>
            </w:pPr>
            <w:r>
              <w:rPr>
                <w:rFonts w:ascii="宋体" w:hAnsi="宋体" w:eastAsia="宋体"/>
                <w:b w:val="0"/>
                <w:color w:val="000000"/>
                <w:sz w:val="18"/>
              </w:rPr>
              <w:t>黄陈熙</w:t>
            </w:r>
          </w:p>
        </w:tc>
        <w:tc>
          <w:tcPr>
            <w:tcW w:w="3081" w:type="dxa"/>
            <w:vAlign w:val="center"/>
          </w:tcPr>
          <w:p w14:paraId="61667A49">
            <w:pPr>
              <w:spacing w:after="0" w:line="240" w:lineRule="auto"/>
              <w:jc w:val="left"/>
            </w:pPr>
            <w:r>
              <w:rPr>
                <w:rFonts w:ascii="宋体" w:hAnsi="宋体" w:eastAsia="宋体"/>
                <w:b w:val="0"/>
                <w:color w:val="000000"/>
                <w:sz w:val="18"/>
              </w:rPr>
              <w:t>机制解释、部署策略、PPT表达和展示节奏检查</w:t>
            </w:r>
          </w:p>
        </w:tc>
        <w:tc>
          <w:tcPr>
            <w:tcW w:w="3081" w:type="dxa"/>
            <w:vAlign w:val="center"/>
          </w:tcPr>
          <w:p w14:paraId="25484AD7">
            <w:pPr>
              <w:spacing w:after="0" w:line="240" w:lineRule="auto"/>
              <w:jc w:val="left"/>
            </w:pPr>
            <w:r>
              <w:rPr>
                <w:rFonts w:ascii="宋体" w:hAnsi="宋体" w:eastAsia="宋体"/>
                <w:b w:val="0"/>
                <w:color w:val="000000"/>
                <w:sz w:val="18"/>
              </w:rPr>
              <w:t>把模型结果转成企业画像、部署建议和课堂讲述语言</w:t>
            </w:r>
          </w:p>
        </w:tc>
      </w:tr>
    </w:tbl>
    <w:p w14:paraId="600D2D6E"/>
    <w:p w14:paraId="0CD69420">
      <w:pPr>
        <w:spacing w:after="80" w:line="348" w:lineRule="auto"/>
        <w:ind w:firstLine="420"/>
      </w:pPr>
      <w:r>
        <w:rPr>
          <w:rFonts w:ascii="宋体" w:hAnsi="宋体" w:eastAsia="宋体"/>
          <w:b w:val="0"/>
          <w:color w:val="000000"/>
          <w:sz w:val="21"/>
        </w:rPr>
        <w:t>协作中最容易出问题的是口径。比如Stage 2不是SME-only，千万级源数据不能说成直接训练数据，模型相关性不能写成因果证明。后期我们反复改的重点，就是把这些边界写清楚。</w:t>
      </w:r>
    </w:p>
    <w:p w14:paraId="65C1A4C2">
      <w:r>
        <w:br w:type="page"/>
      </w:r>
    </w:p>
    <w:p w14:paraId="67BB2CD8">
      <w:pPr>
        <w:spacing w:before="160" w:after="120"/>
      </w:pPr>
      <w:r>
        <w:rPr>
          <w:rFonts w:ascii="黑体" w:hAnsi="黑体" w:eastAsia="黑体"/>
          <w:b/>
          <w:color w:val="000000"/>
          <w:sz w:val="30"/>
        </w:rPr>
        <w:t>九、我们遇到的问题和处理方式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60ECD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shd w:val="clear" w:color="auto" w:fill="D9D9D9"/>
            <w:vAlign w:val="center"/>
          </w:tcPr>
          <w:p w14:paraId="5BE1A802">
            <w:pPr>
              <w:spacing w:after="0" w:line="240" w:lineRule="auto"/>
              <w:jc w:val="center"/>
            </w:pPr>
            <w:r>
              <w:rPr>
                <w:rFonts w:ascii="宋体" w:hAnsi="宋体" w:eastAsia="宋体"/>
                <w:b/>
                <w:color w:val="000000"/>
                <w:sz w:val="18"/>
              </w:rPr>
              <w:t>问题</w:t>
            </w:r>
          </w:p>
        </w:tc>
        <w:tc>
          <w:tcPr>
            <w:tcW w:w="3081" w:type="dxa"/>
            <w:shd w:val="clear" w:color="auto" w:fill="D9D9D9"/>
            <w:vAlign w:val="center"/>
          </w:tcPr>
          <w:p w14:paraId="79121053">
            <w:pPr>
              <w:spacing w:after="0" w:line="240" w:lineRule="auto"/>
              <w:jc w:val="center"/>
            </w:pPr>
            <w:r>
              <w:rPr>
                <w:rFonts w:ascii="宋体" w:hAnsi="宋体" w:eastAsia="宋体"/>
                <w:b/>
                <w:color w:val="000000"/>
                <w:sz w:val="18"/>
              </w:rPr>
              <w:t>具体表现</w:t>
            </w:r>
          </w:p>
        </w:tc>
        <w:tc>
          <w:tcPr>
            <w:tcW w:w="3081" w:type="dxa"/>
            <w:shd w:val="clear" w:color="auto" w:fill="D9D9D9"/>
            <w:vAlign w:val="center"/>
          </w:tcPr>
          <w:p w14:paraId="6D576E67">
            <w:pPr>
              <w:spacing w:after="0" w:line="240" w:lineRule="auto"/>
              <w:jc w:val="center"/>
            </w:pPr>
            <w:r>
              <w:rPr>
                <w:rFonts w:ascii="宋体" w:hAnsi="宋体" w:eastAsia="宋体"/>
                <w:b/>
                <w:color w:val="000000"/>
                <w:sz w:val="18"/>
              </w:rPr>
              <w:t>处理方式</w:t>
            </w:r>
          </w:p>
        </w:tc>
      </w:tr>
      <w:tr w14:paraId="26F1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AEA6FBC">
            <w:pPr>
              <w:spacing w:after="0" w:line="240" w:lineRule="auto"/>
              <w:jc w:val="center"/>
            </w:pPr>
            <w:r>
              <w:rPr>
                <w:rFonts w:ascii="宋体" w:hAnsi="宋体" w:eastAsia="宋体"/>
                <w:b w:val="0"/>
                <w:color w:val="000000"/>
                <w:sz w:val="18"/>
              </w:rPr>
              <w:t>数据口径复杂</w:t>
            </w:r>
          </w:p>
        </w:tc>
        <w:tc>
          <w:tcPr>
            <w:tcW w:w="3081" w:type="dxa"/>
            <w:vAlign w:val="center"/>
          </w:tcPr>
          <w:p w14:paraId="2D51C9FD">
            <w:pPr>
              <w:spacing w:after="0" w:line="240" w:lineRule="auto"/>
              <w:jc w:val="left"/>
            </w:pPr>
            <w:r>
              <w:rPr>
                <w:rFonts w:ascii="宋体" w:hAnsi="宋体" w:eastAsia="宋体"/>
                <w:b w:val="0"/>
                <w:color w:val="000000"/>
                <w:sz w:val="18"/>
              </w:rPr>
              <w:t>不同数据集年份、国家、行业和指标覆盖不一致</w:t>
            </w:r>
          </w:p>
        </w:tc>
        <w:tc>
          <w:tcPr>
            <w:tcW w:w="3081" w:type="dxa"/>
            <w:vAlign w:val="center"/>
          </w:tcPr>
          <w:p w14:paraId="793B5F1C">
            <w:pPr>
              <w:spacing w:after="0" w:line="240" w:lineRule="auto"/>
              <w:jc w:val="left"/>
            </w:pPr>
            <w:r>
              <w:rPr>
                <w:rFonts w:ascii="宋体" w:hAnsi="宋体" w:eastAsia="宋体"/>
                <w:b w:val="0"/>
                <w:color w:val="000000"/>
                <w:sz w:val="18"/>
              </w:rPr>
              <w:t>先做源文件剖析，再统一字段并按面板聚合</w:t>
            </w:r>
          </w:p>
        </w:tc>
      </w:tr>
      <w:tr w14:paraId="010A1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985AC49">
            <w:pPr>
              <w:spacing w:after="0" w:line="240" w:lineRule="auto"/>
              <w:jc w:val="center"/>
            </w:pPr>
            <w:r>
              <w:rPr>
                <w:rFonts w:ascii="宋体" w:hAnsi="宋体" w:eastAsia="宋体"/>
                <w:b w:val="0"/>
                <w:color w:val="000000"/>
                <w:sz w:val="18"/>
              </w:rPr>
              <w:t>变量共线性</w:t>
            </w:r>
          </w:p>
        </w:tc>
        <w:tc>
          <w:tcPr>
            <w:tcW w:w="3081" w:type="dxa"/>
            <w:vAlign w:val="center"/>
          </w:tcPr>
          <w:p w14:paraId="3980ADF5">
            <w:pPr>
              <w:spacing w:after="0" w:line="240" w:lineRule="auto"/>
              <w:jc w:val="left"/>
            </w:pPr>
            <w:r>
              <w:rPr>
                <w:rFonts w:ascii="宋体" w:hAnsi="宋体" w:eastAsia="宋体"/>
                <w:b w:val="0"/>
                <w:color w:val="000000"/>
                <w:sz w:val="18"/>
              </w:rPr>
              <w:t>云能力、数据成熟度、部署准备度之间相关性较高</w:t>
            </w:r>
          </w:p>
        </w:tc>
        <w:tc>
          <w:tcPr>
            <w:tcW w:w="3081" w:type="dxa"/>
            <w:vAlign w:val="center"/>
          </w:tcPr>
          <w:p w14:paraId="04A9D7CD">
            <w:pPr>
              <w:spacing w:after="0" w:line="240" w:lineRule="auto"/>
              <w:jc w:val="left"/>
            </w:pPr>
            <w:r>
              <w:rPr>
                <w:rFonts w:ascii="宋体" w:hAnsi="宋体" w:eastAsia="宋体"/>
                <w:b w:val="0"/>
                <w:color w:val="000000"/>
                <w:sz w:val="18"/>
              </w:rPr>
              <w:t>同时使用VIF、Ridge和树模型重要性，不孤立解释单个OLS系数</w:t>
            </w:r>
          </w:p>
        </w:tc>
      </w:tr>
      <w:tr w14:paraId="32405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F0FA205">
            <w:pPr>
              <w:spacing w:after="0" w:line="240" w:lineRule="auto"/>
              <w:jc w:val="center"/>
            </w:pPr>
            <w:r>
              <w:rPr>
                <w:rFonts w:ascii="宋体" w:hAnsi="宋体" w:eastAsia="宋体"/>
                <w:b w:val="0"/>
                <w:color w:val="000000"/>
                <w:sz w:val="18"/>
              </w:rPr>
              <w:t>展示容易写过满</w:t>
            </w:r>
          </w:p>
        </w:tc>
        <w:tc>
          <w:tcPr>
            <w:tcW w:w="3081" w:type="dxa"/>
            <w:vAlign w:val="center"/>
          </w:tcPr>
          <w:p w14:paraId="50517A9B">
            <w:pPr>
              <w:spacing w:after="0" w:line="240" w:lineRule="auto"/>
              <w:jc w:val="center"/>
            </w:pPr>
            <w:r>
              <w:rPr>
                <w:rFonts w:ascii="宋体" w:hAnsi="宋体" w:eastAsia="宋体"/>
                <w:b w:val="0"/>
                <w:color w:val="000000"/>
                <w:sz w:val="18"/>
              </w:rPr>
              <w:t>初稿里有偏论文式、偏宣传式的表述</w:t>
            </w:r>
          </w:p>
        </w:tc>
        <w:tc>
          <w:tcPr>
            <w:tcW w:w="3081" w:type="dxa"/>
            <w:vAlign w:val="center"/>
          </w:tcPr>
          <w:p w14:paraId="74A80AFF">
            <w:pPr>
              <w:spacing w:after="0" w:line="240" w:lineRule="auto"/>
              <w:jc w:val="left"/>
            </w:pPr>
            <w:r>
              <w:rPr>
                <w:rFonts w:ascii="宋体" w:hAnsi="宋体" w:eastAsia="宋体"/>
                <w:b w:val="0"/>
                <w:color w:val="000000"/>
                <w:sz w:val="18"/>
              </w:rPr>
              <w:t>改成课程汇报语言，只保留能被数据和模型支撑的说法</w:t>
            </w:r>
          </w:p>
        </w:tc>
      </w:tr>
      <w:tr w14:paraId="477FB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DB631D4">
            <w:pPr>
              <w:spacing w:after="0" w:line="240" w:lineRule="auto"/>
              <w:jc w:val="center"/>
            </w:pPr>
            <w:r>
              <w:rPr>
                <w:rFonts w:ascii="宋体" w:hAnsi="宋体" w:eastAsia="宋体"/>
                <w:b w:val="0"/>
                <w:color w:val="000000"/>
                <w:sz w:val="18"/>
              </w:rPr>
              <w:t>公开边界</w:t>
            </w:r>
          </w:p>
        </w:tc>
        <w:tc>
          <w:tcPr>
            <w:tcW w:w="3081" w:type="dxa"/>
            <w:vAlign w:val="center"/>
          </w:tcPr>
          <w:p w14:paraId="7602EE8C">
            <w:pPr>
              <w:spacing w:after="0" w:line="240" w:lineRule="auto"/>
              <w:jc w:val="left"/>
            </w:pPr>
            <w:r>
              <w:rPr>
                <w:rFonts w:ascii="宋体" w:hAnsi="宋体" w:eastAsia="宋体"/>
                <w:b w:val="0"/>
                <w:color w:val="000000"/>
                <w:sz w:val="18"/>
              </w:rPr>
              <w:t>访谈、问卷和公开统计数据不能混成同一类证据</w:t>
            </w:r>
          </w:p>
        </w:tc>
        <w:tc>
          <w:tcPr>
            <w:tcW w:w="3081" w:type="dxa"/>
            <w:vAlign w:val="center"/>
          </w:tcPr>
          <w:p w14:paraId="1565C42A">
            <w:pPr>
              <w:spacing w:after="0" w:line="240" w:lineRule="auto"/>
              <w:jc w:val="left"/>
            </w:pPr>
            <w:r>
              <w:rPr>
                <w:rFonts w:ascii="宋体" w:hAnsi="宋体" w:eastAsia="宋体"/>
                <w:b w:val="0"/>
                <w:color w:val="000000"/>
                <w:sz w:val="18"/>
              </w:rPr>
              <w:t>公开证据以Eurostat、清洗结果、模型表和图表为主</w:t>
            </w:r>
          </w:p>
        </w:tc>
      </w:tr>
    </w:tbl>
    <w:p w14:paraId="3D974531"/>
    <w:p w14:paraId="5E3E8395">
      <w:pPr>
        <w:spacing w:after="80" w:line="348" w:lineRule="auto"/>
        <w:ind w:firstLine="420"/>
      </w:pPr>
      <w:r>
        <w:rPr>
          <w:rFonts w:ascii="宋体" w:hAnsi="宋体" w:eastAsia="宋体"/>
          <w:b w:val="0"/>
          <w:color w:val="000000"/>
          <w:sz w:val="21"/>
        </w:rPr>
        <w:t>这些问题也让我们意识到，机器学习项目不只是训练模型。数据边界、变量含义、验证方式和表达口径都会影响最终质量。一个分数很好看的模型，如果数据泄漏没有处理，或者结论写过头，反而会降低可信度。</w:t>
      </w:r>
    </w:p>
    <w:p w14:paraId="6E9FCFC6">
      <w:r>
        <w:br w:type="page"/>
      </w:r>
    </w:p>
    <w:p w14:paraId="143FC806">
      <w:pPr>
        <w:spacing w:before="160" w:after="120"/>
      </w:pPr>
      <w:r>
        <w:rPr>
          <w:rFonts w:ascii="黑体" w:hAnsi="黑体" w:eastAsia="黑体"/>
          <w:b/>
          <w:color w:val="000000"/>
          <w:sz w:val="30"/>
        </w:rPr>
        <w:t>十、课程收获与后续改进</w:t>
      </w:r>
    </w:p>
    <w:p w14:paraId="256C2B8C">
      <w:pPr>
        <w:spacing w:after="80" w:line="348" w:lineRule="auto"/>
        <w:ind w:firstLine="420"/>
      </w:pPr>
      <w:r>
        <w:rPr>
          <w:rFonts w:ascii="宋体" w:hAnsi="宋体" w:eastAsia="宋体"/>
          <w:b w:val="0"/>
          <w:color w:val="000000"/>
          <w:sz w:val="21"/>
        </w:rPr>
        <w:t>从课程学习角度看，这个项目把几类算法放进了同一个真实问题中。OLS和Ridge让我们看到线性模型的解释价值，树模型让我们看到非线性关系，KMeans让我们把结果转成画像，GroupKFold提醒我们验证方式会影响模型分数。</w:t>
      </w:r>
    </w:p>
    <w:p w14:paraId="03AD6B1F">
      <w:pPr>
        <w:spacing w:after="80" w:line="348" w:lineRule="auto"/>
        <w:ind w:firstLine="420"/>
      </w:pPr>
      <w:r>
        <w:rPr>
          <w:rFonts w:ascii="宋体" w:hAnsi="宋体" w:eastAsia="宋体"/>
          <w:b w:val="0"/>
          <w:color w:val="000000"/>
          <w:sz w:val="21"/>
        </w:rPr>
        <w:t>后续如果继续做，我们会优先补三件事。第一，加入中国本土中小企业数据，检查欧洲公开数据得到的结论能否迁移。第二，做更严格的时间留出或行业留出验证，看看模型面对新年份、新行业时是否还稳定。第三，把Agent原型接入更具体的业务场景，用真实案例验证部署建议是否有帮助。</w:t>
      </w:r>
    </w:p>
    <w:p w14:paraId="0A8A9B6A">
      <w:pPr>
        <w:spacing w:after="80" w:line="348" w:lineRule="auto"/>
        <w:ind w:firstLine="420"/>
      </w:pPr>
      <w:r>
        <w:rPr>
          <w:rFonts w:ascii="宋体" w:hAnsi="宋体" w:eastAsia="宋体"/>
          <w:b w:val="0"/>
          <w:color w:val="000000"/>
          <w:sz w:val="21"/>
        </w:rPr>
        <w:t>本次小组汇报最终要表达的是：我们不是为了证明AI一定能解决中小企业所有问题，而是用公开数据和机器学习方法，把中小企业采纳AI流程自动化时的效率、安全、部署和治理条件讲清楚。这个结论克制一点，但更像一次真正完成过的数据研究。</w:t>
      </w:r>
    </w:p>
    <w:p w14:paraId="4917E833">
      <w:r>
        <w:br w:type="page"/>
      </w:r>
    </w:p>
    <w:p w14:paraId="73A79CAD">
      <w:pPr>
        <w:spacing w:before="160" w:after="120"/>
      </w:pPr>
      <w:r>
        <w:rPr>
          <w:rFonts w:ascii="黑体" w:hAnsi="黑体" w:eastAsia="黑体"/>
          <w:b/>
          <w:color w:val="000000"/>
          <w:sz w:val="30"/>
        </w:rPr>
        <w:t>十一、案例汇报时我们准备讲清楚的主线</w:t>
      </w:r>
    </w:p>
    <w:p w14:paraId="5BAF6196">
      <w:pPr>
        <w:spacing w:after="80" w:line="348" w:lineRule="auto"/>
        <w:ind w:firstLine="420"/>
      </w:pPr>
      <w:r>
        <w:rPr>
          <w:rFonts w:ascii="宋体" w:hAnsi="宋体" w:eastAsia="宋体"/>
          <w:b w:val="0"/>
          <w:color w:val="000000"/>
          <w:sz w:val="21"/>
        </w:rPr>
        <w:t>课堂汇报不是把报告内容从头念一遍。我们准备的讲述主线是“一个问题、两层数据、三类机制、四种画像”。一个问题，是中小企业为什么会在AI流程自动化上出现采纳差异。两层数据，是Stage 1的SME规模组面板和Stage 2的行业/区域外部验证。三类机制，是效率需求、安全顾虑和部署准备度。四种画像，是效率驱动型、治理成熟型、安全敏感型和基础薄弱型企业。</w:t>
      </w:r>
    </w:p>
    <w:p w14:paraId="46C2B0F0">
      <w:pPr>
        <w:spacing w:after="80" w:line="348" w:lineRule="auto"/>
        <w:ind w:firstLine="420"/>
      </w:pPr>
      <w:r>
        <w:rPr>
          <w:rFonts w:ascii="宋体" w:hAnsi="宋体" w:eastAsia="宋体"/>
          <w:b w:val="0"/>
          <w:color w:val="000000"/>
          <w:sz w:val="21"/>
        </w:rPr>
        <w:t>这样讲的好处是，听众不用先理解所有变量名，也能顺着业务问题听下去。先讲企业为什么需要AI流程自动化，再讲我们怎么从公开数据里找到可计算指标，然后讲模型结果是否支持这个解释，最后回到企业应该怎么选部署路径。PPT里的每一部分都围绕这条线展开，而不是为了展示模型而展示模型。</w:t>
      </w:r>
    </w:p>
    <w:p w14:paraId="0518E53C">
      <w:pPr>
        <w:spacing w:after="80" w:line="348" w:lineRule="auto"/>
        <w:ind w:firstLine="420"/>
      </w:pPr>
      <w:r>
        <w:rPr>
          <w:rFonts w:ascii="宋体" w:hAnsi="宋体" w:eastAsia="宋体"/>
          <w:b w:val="0"/>
          <w:color w:val="000000"/>
          <w:sz w:val="21"/>
        </w:rPr>
        <w:t>答辩时最需要注意的是边界。我们会明确说明，Stage 1是SME规模组机制解释，Stage 2是行业/区域口径的外部验证；机器学习模型解释的是相关性和预测能力，不是因果证明；Eurostat数据来自欧洲企业环境，不能直接替代中国本土企业数据。把这些话说在前面，反而能让报告更可信。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753A0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shd w:val="clear" w:color="auto" w:fill="D9D9D9"/>
            <w:vAlign w:val="center"/>
          </w:tcPr>
          <w:p w14:paraId="78FB6302">
            <w:pPr>
              <w:spacing w:after="0" w:line="240" w:lineRule="auto"/>
              <w:jc w:val="center"/>
            </w:pPr>
            <w:r>
              <w:rPr>
                <w:rFonts w:ascii="宋体" w:hAnsi="宋体" w:eastAsia="宋体"/>
                <w:b/>
                <w:color w:val="000000"/>
                <w:sz w:val="18"/>
              </w:rPr>
              <w:t>汇报环节</w:t>
            </w:r>
          </w:p>
        </w:tc>
        <w:tc>
          <w:tcPr>
            <w:tcW w:w="3081" w:type="dxa"/>
            <w:shd w:val="clear" w:color="auto" w:fill="D9D9D9"/>
            <w:vAlign w:val="center"/>
          </w:tcPr>
          <w:p w14:paraId="5BD66EEC">
            <w:pPr>
              <w:spacing w:after="0" w:line="240" w:lineRule="auto"/>
              <w:jc w:val="center"/>
            </w:pPr>
            <w:r>
              <w:rPr>
                <w:rFonts w:ascii="宋体" w:hAnsi="宋体" w:eastAsia="宋体"/>
                <w:b/>
                <w:color w:val="000000"/>
                <w:sz w:val="18"/>
              </w:rPr>
              <w:t>要讲清楚的问题</w:t>
            </w:r>
          </w:p>
        </w:tc>
        <w:tc>
          <w:tcPr>
            <w:tcW w:w="3081" w:type="dxa"/>
            <w:shd w:val="clear" w:color="auto" w:fill="D9D9D9"/>
            <w:vAlign w:val="center"/>
          </w:tcPr>
          <w:p w14:paraId="28611E89">
            <w:pPr>
              <w:spacing w:after="0" w:line="240" w:lineRule="auto"/>
              <w:jc w:val="center"/>
            </w:pPr>
            <w:r>
              <w:rPr>
                <w:rFonts w:ascii="宋体" w:hAnsi="宋体" w:eastAsia="宋体"/>
                <w:b/>
                <w:color w:val="000000"/>
                <w:sz w:val="18"/>
              </w:rPr>
              <w:t>对应研究工作</w:t>
            </w:r>
          </w:p>
        </w:tc>
      </w:tr>
      <w:tr w14:paraId="711F7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7C69C76">
            <w:pPr>
              <w:spacing w:after="0" w:line="240" w:lineRule="auto"/>
              <w:jc w:val="center"/>
            </w:pPr>
            <w:r>
              <w:rPr>
                <w:rFonts w:ascii="宋体" w:hAnsi="宋体" w:eastAsia="宋体"/>
                <w:b w:val="0"/>
                <w:color w:val="000000"/>
                <w:sz w:val="18"/>
              </w:rPr>
              <w:t>研究动机</w:t>
            </w:r>
          </w:p>
        </w:tc>
        <w:tc>
          <w:tcPr>
            <w:tcW w:w="3081" w:type="dxa"/>
            <w:vAlign w:val="center"/>
          </w:tcPr>
          <w:p w14:paraId="7FB5C1BC">
            <w:pPr>
              <w:spacing w:after="0" w:line="240" w:lineRule="auto"/>
              <w:jc w:val="left"/>
            </w:pPr>
            <w:r>
              <w:rPr>
                <w:rFonts w:ascii="宋体" w:hAnsi="宋体" w:eastAsia="宋体"/>
                <w:b w:val="0"/>
                <w:color w:val="000000"/>
                <w:sz w:val="18"/>
              </w:rPr>
              <w:t>为什么关注AI流程自动化而不是泛泛讲AI</w:t>
            </w:r>
          </w:p>
        </w:tc>
        <w:tc>
          <w:tcPr>
            <w:tcW w:w="3081" w:type="dxa"/>
            <w:vAlign w:val="center"/>
          </w:tcPr>
          <w:p w14:paraId="7F2805E2">
            <w:pPr>
              <w:spacing w:after="0" w:line="240" w:lineRule="auto"/>
              <w:jc w:val="center"/>
            </w:pPr>
            <w:r>
              <w:rPr>
                <w:rFonts w:ascii="宋体" w:hAnsi="宋体" w:eastAsia="宋体"/>
                <w:b w:val="0"/>
                <w:color w:val="000000"/>
                <w:sz w:val="18"/>
              </w:rPr>
              <w:t>把AI采纳收窄到可度量目标变量</w:t>
            </w:r>
          </w:p>
        </w:tc>
      </w:tr>
      <w:tr w14:paraId="7DCDF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D149D4A">
            <w:pPr>
              <w:spacing w:after="0" w:line="240" w:lineRule="auto"/>
              <w:jc w:val="center"/>
            </w:pPr>
            <w:r>
              <w:rPr>
                <w:rFonts w:ascii="宋体" w:hAnsi="宋体" w:eastAsia="宋体"/>
                <w:b w:val="0"/>
                <w:color w:val="000000"/>
                <w:sz w:val="18"/>
              </w:rPr>
              <w:t>数据处理</w:t>
            </w:r>
          </w:p>
        </w:tc>
        <w:tc>
          <w:tcPr>
            <w:tcW w:w="3081" w:type="dxa"/>
            <w:vAlign w:val="center"/>
          </w:tcPr>
          <w:p w14:paraId="342DFD03">
            <w:pPr>
              <w:spacing w:after="0" w:line="240" w:lineRule="auto"/>
              <w:jc w:val="center"/>
            </w:pPr>
            <w:r>
              <w:rPr>
                <w:rFonts w:ascii="宋体" w:hAnsi="宋体" w:eastAsia="宋体"/>
                <w:b w:val="0"/>
                <w:color w:val="000000"/>
                <w:sz w:val="18"/>
              </w:rPr>
              <w:t>为什么千万级源数据最后变成几千行面板</w:t>
            </w:r>
          </w:p>
        </w:tc>
        <w:tc>
          <w:tcPr>
            <w:tcW w:w="3081" w:type="dxa"/>
            <w:vAlign w:val="center"/>
          </w:tcPr>
          <w:p w14:paraId="4EFE4675">
            <w:pPr>
              <w:spacing w:after="0" w:line="240" w:lineRule="auto"/>
              <w:jc w:val="left"/>
            </w:pPr>
            <w:r>
              <w:rPr>
                <w:rFonts w:ascii="宋体" w:hAnsi="宋体" w:eastAsia="宋体"/>
                <w:b w:val="0"/>
                <w:color w:val="000000"/>
                <w:sz w:val="18"/>
              </w:rPr>
              <w:t>字段统一、覆盖率过滤、面板聚合和泄漏控制</w:t>
            </w:r>
          </w:p>
        </w:tc>
      </w:tr>
      <w:tr w14:paraId="39D91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A3A8880">
            <w:pPr>
              <w:spacing w:after="0" w:line="240" w:lineRule="auto"/>
              <w:jc w:val="center"/>
            </w:pPr>
            <w:r>
              <w:rPr>
                <w:rFonts w:ascii="宋体" w:hAnsi="宋体" w:eastAsia="宋体"/>
                <w:b w:val="0"/>
                <w:color w:val="000000"/>
                <w:sz w:val="18"/>
              </w:rPr>
              <w:t>模型验证</w:t>
            </w:r>
          </w:p>
        </w:tc>
        <w:tc>
          <w:tcPr>
            <w:tcW w:w="3081" w:type="dxa"/>
            <w:vAlign w:val="center"/>
          </w:tcPr>
          <w:p w14:paraId="7A537E70">
            <w:pPr>
              <w:spacing w:after="0" w:line="240" w:lineRule="auto"/>
              <w:jc w:val="center"/>
            </w:pPr>
            <w:r>
              <w:rPr>
                <w:rFonts w:ascii="宋体" w:hAnsi="宋体" w:eastAsia="宋体"/>
                <w:b w:val="0"/>
                <w:color w:val="000000"/>
                <w:sz w:val="18"/>
              </w:rPr>
              <w:t>模型分数是否可信</w:t>
            </w:r>
          </w:p>
        </w:tc>
        <w:tc>
          <w:tcPr>
            <w:tcW w:w="3081" w:type="dxa"/>
            <w:vAlign w:val="center"/>
          </w:tcPr>
          <w:p w14:paraId="14246441">
            <w:pPr>
              <w:spacing w:after="0" w:line="240" w:lineRule="auto"/>
              <w:jc w:val="left"/>
            </w:pPr>
            <w:r>
              <w:rPr>
                <w:rFonts w:ascii="宋体" w:hAnsi="宋体" w:eastAsia="宋体"/>
                <w:b w:val="0"/>
                <w:color w:val="000000"/>
                <w:sz w:val="18"/>
              </w:rPr>
              <w:t>GroupKFold by country、R²、MAE、VIF和特征重要性</w:t>
            </w:r>
          </w:p>
        </w:tc>
      </w:tr>
      <w:tr w14:paraId="6B5C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6BCB9E3">
            <w:pPr>
              <w:spacing w:after="0" w:line="240" w:lineRule="auto"/>
              <w:jc w:val="center"/>
            </w:pPr>
            <w:r>
              <w:rPr>
                <w:rFonts w:ascii="宋体" w:hAnsi="宋体" w:eastAsia="宋体"/>
                <w:b w:val="0"/>
                <w:color w:val="000000"/>
                <w:sz w:val="18"/>
              </w:rPr>
              <w:t>管理解释</w:t>
            </w:r>
          </w:p>
        </w:tc>
        <w:tc>
          <w:tcPr>
            <w:tcW w:w="3081" w:type="dxa"/>
            <w:vAlign w:val="center"/>
          </w:tcPr>
          <w:p w14:paraId="4ED135BA">
            <w:pPr>
              <w:spacing w:after="0" w:line="240" w:lineRule="auto"/>
              <w:jc w:val="center"/>
            </w:pPr>
            <w:r>
              <w:rPr>
                <w:rFonts w:ascii="宋体" w:hAnsi="宋体" w:eastAsia="宋体"/>
                <w:b w:val="0"/>
                <w:color w:val="000000"/>
                <w:sz w:val="18"/>
              </w:rPr>
              <w:t>企业应该如何理解结果</w:t>
            </w:r>
          </w:p>
        </w:tc>
        <w:tc>
          <w:tcPr>
            <w:tcW w:w="3081" w:type="dxa"/>
            <w:vAlign w:val="center"/>
          </w:tcPr>
          <w:p w14:paraId="413959C6">
            <w:pPr>
              <w:spacing w:after="0" w:line="240" w:lineRule="auto"/>
              <w:jc w:val="left"/>
            </w:pPr>
            <w:r>
              <w:rPr>
                <w:rFonts w:ascii="宋体" w:hAnsi="宋体" w:eastAsia="宋体"/>
                <w:b w:val="0"/>
                <w:color w:val="000000"/>
                <w:sz w:val="18"/>
              </w:rPr>
              <w:t>效率、安全、部署准备度和治理成熟度共同决定落地路径</w:t>
            </w:r>
          </w:p>
        </w:tc>
      </w:tr>
    </w:tbl>
    <w:p w14:paraId="4A9F15A4"/>
    <w:p w14:paraId="194857E7">
      <w:r>
        <w:br w:type="page"/>
      </w:r>
    </w:p>
    <w:p w14:paraId="1D788096">
      <w:pPr>
        <w:spacing w:before="160" w:after="120"/>
      </w:pPr>
      <w:r>
        <w:rPr>
          <w:rFonts w:ascii="黑体" w:hAnsi="黑体" w:eastAsia="黑体"/>
          <w:b/>
          <w:color w:val="000000"/>
          <w:sz w:val="30"/>
        </w:rPr>
        <w:t>十二、个人作业和小组案例之间的关系</w:t>
      </w:r>
    </w:p>
    <w:p w14:paraId="1C621A9A">
      <w:pPr>
        <w:spacing w:after="80" w:line="348" w:lineRule="auto"/>
        <w:ind w:firstLine="420"/>
      </w:pPr>
      <w:r>
        <w:rPr>
          <w:rFonts w:ascii="宋体" w:hAnsi="宋体" w:eastAsia="宋体"/>
          <w:b w:val="0"/>
          <w:color w:val="000000"/>
          <w:sz w:val="21"/>
        </w:rPr>
        <w:t>平时作业不是和小组案例割裂的。十次作业里做过的数据预处理、回归、分类、树模型、聚类和模型评价，最后都在这个案例里找到了位置。前面的单次作业像是练习单个工具，小组案例则要求我们把这些工具放进一个完整问题中。</w:t>
      </w:r>
    </w:p>
    <w:p w14:paraId="477BFC37">
      <w:pPr>
        <w:spacing w:after="80" w:line="348" w:lineRule="auto"/>
        <w:ind w:firstLine="420"/>
      </w:pPr>
      <w:r>
        <w:rPr>
          <w:rFonts w:ascii="宋体" w:hAnsi="宋体" w:eastAsia="宋体"/>
          <w:b w:val="0"/>
          <w:color w:val="000000"/>
          <w:sz w:val="21"/>
        </w:rPr>
        <w:t>个人总结部分也不是简单写感想，而是回到自己在小组工作中的具体贡献。比如，数据来源和生命周期整理对应数据处理能力；模型指标解释对应课程算法理解；PPT逻辑和答辩准备对应把模型语言转成管理语言的能力。老师看个人总结时，应该能看到每个成员确实参与了研究过程。</w:t>
      </w:r>
    </w:p>
    <w:p w14:paraId="397F4E84">
      <w:pPr>
        <w:spacing w:after="80" w:line="348" w:lineRule="auto"/>
        <w:ind w:firstLine="420"/>
      </w:pPr>
      <w:r>
        <w:rPr>
          <w:rFonts w:ascii="宋体" w:hAnsi="宋体" w:eastAsia="宋体"/>
          <w:b w:val="0"/>
          <w:color w:val="000000"/>
          <w:sz w:val="21"/>
        </w:rPr>
        <w:t>这也是我们后期整理材料时坚持保留每个成员平时作业汇总和个人案例总结的原因。平时作业证明课程训练过程，个人总结说明本人在小组案例中的实际工作，小组报告则把四个人的工作合成一条完整研究线。三者放在一起，才比较接近这门课的评分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4FE1A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shd w:val="clear" w:color="auto" w:fill="D9D9D9"/>
            <w:vAlign w:val="center"/>
          </w:tcPr>
          <w:p w14:paraId="462F51AF">
            <w:pPr>
              <w:spacing w:after="0" w:line="240" w:lineRule="auto"/>
              <w:jc w:val="center"/>
            </w:pPr>
            <w:r>
              <w:rPr>
                <w:rFonts w:ascii="宋体" w:hAnsi="宋体" w:eastAsia="宋体"/>
                <w:b/>
                <w:color w:val="000000"/>
                <w:sz w:val="18"/>
              </w:rPr>
              <w:t>课程训练内容</w:t>
            </w:r>
          </w:p>
        </w:tc>
        <w:tc>
          <w:tcPr>
            <w:tcW w:w="3081" w:type="dxa"/>
            <w:shd w:val="clear" w:color="auto" w:fill="D9D9D9"/>
            <w:vAlign w:val="center"/>
          </w:tcPr>
          <w:p w14:paraId="593CA274">
            <w:pPr>
              <w:spacing w:after="0" w:line="240" w:lineRule="auto"/>
              <w:jc w:val="center"/>
            </w:pPr>
            <w:r>
              <w:rPr>
                <w:rFonts w:ascii="宋体" w:hAnsi="宋体" w:eastAsia="宋体"/>
                <w:b/>
                <w:color w:val="000000"/>
                <w:sz w:val="18"/>
              </w:rPr>
              <w:t>小组案例中的对应位置</w:t>
            </w:r>
          </w:p>
        </w:tc>
        <w:tc>
          <w:tcPr>
            <w:tcW w:w="3081" w:type="dxa"/>
            <w:shd w:val="clear" w:color="auto" w:fill="D9D9D9"/>
            <w:vAlign w:val="center"/>
          </w:tcPr>
          <w:p w14:paraId="1CB92E09">
            <w:pPr>
              <w:spacing w:after="0" w:line="240" w:lineRule="auto"/>
              <w:jc w:val="center"/>
            </w:pPr>
            <w:r>
              <w:rPr>
                <w:rFonts w:ascii="宋体" w:hAnsi="宋体" w:eastAsia="宋体"/>
                <w:b/>
                <w:color w:val="000000"/>
                <w:sz w:val="18"/>
              </w:rPr>
              <w:t>形成的能力</w:t>
            </w:r>
          </w:p>
        </w:tc>
      </w:tr>
      <w:tr w14:paraId="13E7E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5A0543D">
            <w:pPr>
              <w:spacing w:after="0" w:line="240" w:lineRule="auto"/>
              <w:jc w:val="center"/>
            </w:pPr>
            <w:r>
              <w:rPr>
                <w:rFonts w:ascii="宋体" w:hAnsi="宋体" w:eastAsia="宋体"/>
                <w:b w:val="0"/>
                <w:color w:val="000000"/>
                <w:sz w:val="18"/>
              </w:rPr>
              <w:t>数据清洗与缺失处理</w:t>
            </w:r>
          </w:p>
        </w:tc>
        <w:tc>
          <w:tcPr>
            <w:tcW w:w="3081" w:type="dxa"/>
            <w:vAlign w:val="center"/>
          </w:tcPr>
          <w:p w14:paraId="6B03CF83">
            <w:pPr>
              <w:spacing w:after="0" w:line="240" w:lineRule="auto"/>
              <w:jc w:val="left"/>
            </w:pPr>
            <w:r>
              <w:rPr>
                <w:rFonts w:ascii="宋体" w:hAnsi="宋体" w:eastAsia="宋体"/>
                <w:b w:val="0"/>
                <w:color w:val="000000"/>
                <w:sz w:val="18"/>
              </w:rPr>
              <w:t>Eurostat多源数据整理、面板聚合</w:t>
            </w:r>
          </w:p>
        </w:tc>
        <w:tc>
          <w:tcPr>
            <w:tcW w:w="3081" w:type="dxa"/>
            <w:vAlign w:val="center"/>
          </w:tcPr>
          <w:p w14:paraId="25F3ED17">
            <w:pPr>
              <w:spacing w:after="0" w:line="240" w:lineRule="auto"/>
              <w:jc w:val="center"/>
            </w:pPr>
            <w:r>
              <w:rPr>
                <w:rFonts w:ascii="宋体" w:hAnsi="宋体" w:eastAsia="宋体"/>
                <w:b w:val="0"/>
                <w:color w:val="000000"/>
                <w:sz w:val="18"/>
              </w:rPr>
              <w:t>把原始数据变成可建模数据</w:t>
            </w:r>
          </w:p>
        </w:tc>
      </w:tr>
      <w:tr w14:paraId="0C660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A1F122A">
            <w:pPr>
              <w:spacing w:after="0" w:line="240" w:lineRule="auto"/>
              <w:jc w:val="center"/>
            </w:pPr>
            <w:r>
              <w:rPr>
                <w:rFonts w:ascii="宋体" w:hAnsi="宋体" w:eastAsia="宋体"/>
                <w:b w:val="0"/>
                <w:color w:val="000000"/>
                <w:sz w:val="18"/>
              </w:rPr>
              <w:t>回归与正则化</w:t>
            </w:r>
          </w:p>
        </w:tc>
        <w:tc>
          <w:tcPr>
            <w:tcW w:w="3081" w:type="dxa"/>
            <w:vAlign w:val="center"/>
          </w:tcPr>
          <w:p w14:paraId="68DEF156">
            <w:pPr>
              <w:spacing w:after="0" w:line="240" w:lineRule="auto"/>
              <w:jc w:val="center"/>
            </w:pPr>
            <w:r>
              <w:rPr>
                <w:rFonts w:ascii="宋体" w:hAnsi="宋体" w:eastAsia="宋体"/>
                <w:b w:val="0"/>
                <w:color w:val="000000"/>
                <w:sz w:val="18"/>
              </w:rPr>
              <w:t>OLS、Ridge和VIF诊断</w:t>
            </w:r>
          </w:p>
        </w:tc>
        <w:tc>
          <w:tcPr>
            <w:tcW w:w="3081" w:type="dxa"/>
            <w:vAlign w:val="center"/>
          </w:tcPr>
          <w:p w14:paraId="71078B58">
            <w:pPr>
              <w:spacing w:after="0" w:line="240" w:lineRule="auto"/>
              <w:jc w:val="center"/>
            </w:pPr>
            <w:r>
              <w:rPr>
                <w:rFonts w:ascii="宋体" w:hAnsi="宋体" w:eastAsia="宋体"/>
                <w:b w:val="0"/>
                <w:color w:val="000000"/>
                <w:sz w:val="18"/>
              </w:rPr>
              <w:t>解释变量方向和共线性问题</w:t>
            </w:r>
          </w:p>
        </w:tc>
      </w:tr>
      <w:tr w14:paraId="36918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785CD1F">
            <w:pPr>
              <w:spacing w:after="0" w:line="240" w:lineRule="auto"/>
              <w:jc w:val="center"/>
            </w:pPr>
            <w:r>
              <w:rPr>
                <w:rFonts w:ascii="宋体" w:hAnsi="宋体" w:eastAsia="宋体"/>
                <w:b w:val="0"/>
                <w:color w:val="000000"/>
                <w:sz w:val="18"/>
              </w:rPr>
              <w:t>树模型与集成学习</w:t>
            </w:r>
          </w:p>
        </w:tc>
        <w:tc>
          <w:tcPr>
            <w:tcW w:w="3081" w:type="dxa"/>
            <w:vAlign w:val="center"/>
          </w:tcPr>
          <w:p w14:paraId="79D676A4">
            <w:pPr>
              <w:spacing w:after="0" w:line="240" w:lineRule="auto"/>
              <w:jc w:val="left"/>
            </w:pPr>
            <w:r>
              <w:rPr>
                <w:rFonts w:ascii="宋体" w:hAnsi="宋体" w:eastAsia="宋体"/>
                <w:b w:val="0"/>
                <w:color w:val="000000"/>
                <w:sz w:val="18"/>
              </w:rPr>
              <w:t>Random Forest、ExtraTrees</w:t>
            </w:r>
          </w:p>
        </w:tc>
        <w:tc>
          <w:tcPr>
            <w:tcW w:w="3081" w:type="dxa"/>
            <w:vAlign w:val="center"/>
          </w:tcPr>
          <w:p w14:paraId="50D4F014">
            <w:pPr>
              <w:spacing w:after="0" w:line="240" w:lineRule="auto"/>
              <w:jc w:val="center"/>
            </w:pPr>
            <w:r>
              <w:rPr>
                <w:rFonts w:ascii="宋体" w:hAnsi="宋体" w:eastAsia="宋体"/>
                <w:b w:val="0"/>
                <w:color w:val="000000"/>
                <w:sz w:val="18"/>
              </w:rPr>
              <w:t>处理非线性关系和特征重要性</w:t>
            </w:r>
          </w:p>
        </w:tc>
      </w:tr>
      <w:tr w14:paraId="3B5B2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E350D72">
            <w:pPr>
              <w:spacing w:after="0" w:line="240" w:lineRule="auto"/>
              <w:jc w:val="center"/>
            </w:pPr>
            <w:r>
              <w:rPr>
                <w:rFonts w:ascii="宋体" w:hAnsi="宋体" w:eastAsia="宋体"/>
                <w:b w:val="0"/>
                <w:color w:val="000000"/>
                <w:sz w:val="18"/>
              </w:rPr>
              <w:t>聚类分析</w:t>
            </w:r>
          </w:p>
        </w:tc>
        <w:tc>
          <w:tcPr>
            <w:tcW w:w="3081" w:type="dxa"/>
            <w:vAlign w:val="center"/>
          </w:tcPr>
          <w:p w14:paraId="1E99112E">
            <w:pPr>
              <w:spacing w:after="0" w:line="240" w:lineRule="auto"/>
              <w:jc w:val="center"/>
            </w:pPr>
            <w:r>
              <w:rPr>
                <w:rFonts w:ascii="宋体" w:hAnsi="宋体" w:eastAsia="宋体"/>
                <w:b w:val="0"/>
                <w:color w:val="000000"/>
                <w:sz w:val="18"/>
              </w:rPr>
              <w:t>企业画像与部署路径</w:t>
            </w:r>
          </w:p>
        </w:tc>
        <w:tc>
          <w:tcPr>
            <w:tcW w:w="3081" w:type="dxa"/>
            <w:vAlign w:val="center"/>
          </w:tcPr>
          <w:p w14:paraId="709BD33A">
            <w:pPr>
              <w:spacing w:after="0" w:line="240" w:lineRule="auto"/>
              <w:jc w:val="center"/>
            </w:pPr>
            <w:r>
              <w:rPr>
                <w:rFonts w:ascii="宋体" w:hAnsi="宋体" w:eastAsia="宋体"/>
                <w:b w:val="0"/>
                <w:color w:val="000000"/>
                <w:sz w:val="18"/>
              </w:rPr>
              <w:t>把模型结果转成管理解释</w:t>
            </w:r>
          </w:p>
        </w:tc>
      </w:tr>
      <w:tr w14:paraId="4F939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ADB1B5A">
            <w:pPr>
              <w:spacing w:after="0" w:line="240" w:lineRule="auto"/>
              <w:jc w:val="center"/>
            </w:pPr>
            <w:r>
              <w:rPr>
                <w:rFonts w:ascii="宋体" w:hAnsi="宋体" w:eastAsia="宋体"/>
                <w:b w:val="0"/>
                <w:color w:val="000000"/>
                <w:sz w:val="18"/>
              </w:rPr>
              <w:t>模型评估</w:t>
            </w:r>
          </w:p>
        </w:tc>
        <w:tc>
          <w:tcPr>
            <w:tcW w:w="3081" w:type="dxa"/>
            <w:vAlign w:val="center"/>
          </w:tcPr>
          <w:p w14:paraId="5E1B8FE7">
            <w:pPr>
              <w:spacing w:after="0" w:line="240" w:lineRule="auto"/>
              <w:jc w:val="center"/>
            </w:pPr>
            <w:r>
              <w:rPr>
                <w:rFonts w:ascii="宋体" w:hAnsi="宋体" w:eastAsia="宋体"/>
                <w:b w:val="0"/>
                <w:color w:val="000000"/>
                <w:sz w:val="18"/>
              </w:rPr>
              <w:t>GroupKFold、R²、MAE</w:t>
            </w:r>
          </w:p>
        </w:tc>
        <w:tc>
          <w:tcPr>
            <w:tcW w:w="3081" w:type="dxa"/>
            <w:vAlign w:val="center"/>
          </w:tcPr>
          <w:p w14:paraId="20C30C5D">
            <w:pPr>
              <w:spacing w:after="0" w:line="240" w:lineRule="auto"/>
              <w:jc w:val="center"/>
            </w:pPr>
            <w:r>
              <w:rPr>
                <w:rFonts w:ascii="宋体" w:hAnsi="宋体" w:eastAsia="宋体"/>
                <w:b w:val="0"/>
                <w:color w:val="000000"/>
                <w:sz w:val="18"/>
              </w:rPr>
              <w:t>判断模型结果是否稳健</w:t>
            </w:r>
          </w:p>
        </w:tc>
      </w:tr>
    </w:tbl>
    <w:p w14:paraId="7FE07BD7"/>
    <w:p w14:paraId="4BC76F39">
      <w:r>
        <w:br w:type="page"/>
      </w:r>
    </w:p>
    <w:p w14:paraId="7C129EC2">
      <w:pPr>
        <w:spacing w:before="160" w:after="120"/>
      </w:pPr>
      <w:r>
        <w:rPr>
          <w:rFonts w:ascii="黑体" w:hAnsi="黑体" w:eastAsia="黑体"/>
          <w:b/>
          <w:color w:val="000000"/>
          <w:sz w:val="30"/>
        </w:rPr>
        <w:t>十三、最终结论</w:t>
      </w:r>
    </w:p>
    <w:p w14:paraId="39025588">
      <w:pPr>
        <w:spacing w:after="80" w:line="348" w:lineRule="auto"/>
        <w:ind w:firstLine="420"/>
      </w:pPr>
      <w:r>
        <w:rPr>
          <w:rFonts w:ascii="宋体" w:hAnsi="宋体" w:eastAsia="宋体"/>
          <w:b w:val="0"/>
          <w:color w:val="000000"/>
          <w:sz w:val="21"/>
        </w:rPr>
        <w:t>这次小组案例最后形成的判断可以概括为三句话。第一，中小企业采纳AI流程自动化不是简单的技术选择，而是效率压力、数字基础、安全要求和治理能力共同作用的结果。第二，公开统计数据虽然不能替代企业微观访谈，但可以帮助我们先建立一套可复核的量化参照。第三，机器学习模型的价值不只是给出分数，更重要的是帮助我们把复杂的企业采纳问题拆成可以解释、可以讨论、可以改进的部分。</w:t>
      </w:r>
    </w:p>
    <w:p w14:paraId="7D603051">
      <w:pPr>
        <w:spacing w:after="80" w:line="348" w:lineRule="auto"/>
        <w:ind w:firstLine="420"/>
      </w:pPr>
      <w:r>
        <w:rPr>
          <w:rFonts w:ascii="宋体" w:hAnsi="宋体" w:eastAsia="宋体"/>
          <w:b w:val="0"/>
          <w:color w:val="000000"/>
          <w:sz w:val="21"/>
        </w:rPr>
        <w:t>如果把项目放回课程学习本身，我们最大的收获是把零散算法连成了完整流程。数据清洗决定了模型能不能用，验证方式决定了分数能不能信，变量解释决定了结果能不能讲清楚。小组汇报也因此不只是展示PPT，而是把数据、模型和管理解释放到同一个问题里。</w:t>
      </w:r>
    </w:p>
    <w:p w14:paraId="0D0DA8C1">
      <w:pPr>
        <w:spacing w:after="80" w:line="348" w:lineRule="auto"/>
        <w:ind w:firstLine="420"/>
      </w:pPr>
      <w:r>
        <w:rPr>
          <w:rFonts w:ascii="宋体" w:hAnsi="宋体" w:eastAsia="宋体"/>
          <w:b w:val="0"/>
          <w:color w:val="000000"/>
          <w:sz w:val="21"/>
        </w:rPr>
        <w:t>后续继续完善时，我们不会优先增加更复杂的模型，而会先补充更贴近中国中小企业的本土数据，做更严格的时间和行业留出验证，并把Agent原型放进更具体的业务流程中测试。这样才能判断模型结论是否真的能帮助企业做AI流程自动化部署选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64B7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shd w:val="clear" w:color="auto" w:fill="D9D9D9"/>
            <w:vAlign w:val="center"/>
          </w:tcPr>
          <w:p w14:paraId="02441535">
            <w:pPr>
              <w:spacing w:after="0" w:line="240" w:lineRule="auto"/>
              <w:jc w:val="center"/>
            </w:pPr>
            <w:r>
              <w:rPr>
                <w:rFonts w:ascii="宋体" w:hAnsi="宋体" w:eastAsia="宋体"/>
                <w:b/>
                <w:color w:val="000000"/>
                <w:sz w:val="18"/>
              </w:rPr>
              <w:t>结论维度</w:t>
            </w:r>
          </w:p>
        </w:tc>
        <w:tc>
          <w:tcPr>
            <w:tcW w:w="4621" w:type="dxa"/>
            <w:shd w:val="clear" w:color="auto" w:fill="D9D9D9"/>
            <w:vAlign w:val="center"/>
          </w:tcPr>
          <w:p w14:paraId="030AB141">
            <w:pPr>
              <w:spacing w:after="0" w:line="240" w:lineRule="auto"/>
              <w:jc w:val="center"/>
            </w:pPr>
            <w:r>
              <w:rPr>
                <w:rFonts w:ascii="宋体" w:hAnsi="宋体" w:eastAsia="宋体"/>
                <w:b/>
                <w:color w:val="000000"/>
                <w:sz w:val="18"/>
              </w:rPr>
              <w:t>本次研究得到的判断</w:t>
            </w:r>
          </w:p>
        </w:tc>
      </w:tr>
      <w:tr w14:paraId="67C65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02D573C">
            <w:pPr>
              <w:spacing w:after="0" w:line="240" w:lineRule="auto"/>
              <w:jc w:val="center"/>
            </w:pPr>
            <w:r>
              <w:rPr>
                <w:rFonts w:ascii="宋体" w:hAnsi="宋体" w:eastAsia="宋体"/>
                <w:b w:val="0"/>
                <w:color w:val="000000"/>
                <w:sz w:val="18"/>
              </w:rPr>
              <w:t>数据层面</w:t>
            </w:r>
          </w:p>
        </w:tc>
        <w:tc>
          <w:tcPr>
            <w:tcW w:w="4621" w:type="dxa"/>
            <w:vAlign w:val="center"/>
          </w:tcPr>
          <w:p w14:paraId="1B3FB428">
            <w:pPr>
              <w:spacing w:after="0" w:line="240" w:lineRule="auto"/>
              <w:jc w:val="left"/>
            </w:pPr>
            <w:r>
              <w:rPr>
                <w:rFonts w:ascii="宋体" w:hAnsi="宋体" w:eastAsia="宋体"/>
                <w:b w:val="0"/>
                <w:color w:val="000000"/>
                <w:sz w:val="18"/>
              </w:rPr>
              <w:t>官方公开数据可以支撑课程级复现，但需要清洗、聚合和口径说明</w:t>
            </w:r>
          </w:p>
        </w:tc>
      </w:tr>
      <w:tr w14:paraId="7DB07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5BBCA0D">
            <w:pPr>
              <w:spacing w:after="0" w:line="240" w:lineRule="auto"/>
              <w:jc w:val="center"/>
            </w:pPr>
            <w:r>
              <w:rPr>
                <w:rFonts w:ascii="宋体" w:hAnsi="宋体" w:eastAsia="宋体"/>
                <w:b w:val="0"/>
                <w:color w:val="000000"/>
                <w:sz w:val="18"/>
              </w:rPr>
              <w:t>模型层面</w:t>
            </w:r>
          </w:p>
        </w:tc>
        <w:tc>
          <w:tcPr>
            <w:tcW w:w="4621" w:type="dxa"/>
            <w:vAlign w:val="center"/>
          </w:tcPr>
          <w:p w14:paraId="12AD0DC0">
            <w:pPr>
              <w:spacing w:after="0" w:line="240" w:lineRule="auto"/>
              <w:jc w:val="left"/>
            </w:pPr>
            <w:r>
              <w:rPr>
                <w:rFonts w:ascii="宋体" w:hAnsi="宋体" w:eastAsia="宋体"/>
                <w:b w:val="0"/>
                <w:color w:val="000000"/>
                <w:sz w:val="18"/>
              </w:rPr>
              <w:t>Ridge和ExtraTrees给出了较稳定的解释结果，但不能写成因果证明</w:t>
            </w:r>
          </w:p>
        </w:tc>
      </w:tr>
      <w:tr w14:paraId="33549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08177A8">
            <w:pPr>
              <w:spacing w:after="0" w:line="240" w:lineRule="auto"/>
              <w:jc w:val="center"/>
            </w:pPr>
            <w:r>
              <w:rPr>
                <w:rFonts w:ascii="宋体" w:hAnsi="宋体" w:eastAsia="宋体"/>
                <w:b w:val="0"/>
                <w:color w:val="000000"/>
                <w:sz w:val="18"/>
              </w:rPr>
              <w:t>管理层面</w:t>
            </w:r>
          </w:p>
        </w:tc>
        <w:tc>
          <w:tcPr>
            <w:tcW w:w="4621" w:type="dxa"/>
            <w:vAlign w:val="center"/>
          </w:tcPr>
          <w:p w14:paraId="580C3550">
            <w:pPr>
              <w:spacing w:after="0" w:line="240" w:lineRule="auto"/>
              <w:jc w:val="left"/>
            </w:pPr>
            <w:r>
              <w:rPr>
                <w:rFonts w:ascii="宋体" w:hAnsi="宋体" w:eastAsia="宋体"/>
                <w:b w:val="0"/>
                <w:color w:val="000000"/>
                <w:sz w:val="18"/>
              </w:rPr>
              <w:t>效率需求推动试点，安全和治理条件影响部署深度</w:t>
            </w:r>
          </w:p>
        </w:tc>
      </w:tr>
      <w:tr w14:paraId="61EAE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D20DD50">
            <w:pPr>
              <w:spacing w:after="0" w:line="240" w:lineRule="auto"/>
              <w:jc w:val="center"/>
            </w:pPr>
            <w:r>
              <w:rPr>
                <w:rFonts w:ascii="宋体" w:hAnsi="宋体" w:eastAsia="宋体"/>
                <w:b w:val="0"/>
                <w:color w:val="000000"/>
                <w:sz w:val="18"/>
              </w:rPr>
              <w:t>课程层面</w:t>
            </w:r>
          </w:p>
        </w:tc>
        <w:tc>
          <w:tcPr>
            <w:tcW w:w="4621" w:type="dxa"/>
            <w:vAlign w:val="center"/>
          </w:tcPr>
          <w:p w14:paraId="406786DC">
            <w:pPr>
              <w:spacing w:after="0" w:line="240" w:lineRule="auto"/>
              <w:jc w:val="left"/>
            </w:pPr>
            <w:r>
              <w:rPr>
                <w:rFonts w:ascii="宋体" w:hAnsi="宋体" w:eastAsia="宋体"/>
                <w:b w:val="0"/>
                <w:color w:val="000000"/>
                <w:sz w:val="18"/>
              </w:rPr>
              <w:t>平时算法训练最终落到一个完整数据研究案例中</w:t>
            </w:r>
          </w:p>
        </w:tc>
      </w:tr>
    </w:tbl>
    <w:p w14:paraId="69F796C7"/>
    <w:p w14:paraId="3A393B90">
      <w:r>
        <w:br w:type="page"/>
      </w:r>
    </w:p>
    <w:p w14:paraId="2BB61374">
      <w:pPr>
        <w:spacing w:before="160" w:after="120"/>
      </w:pPr>
      <w:r>
        <w:rPr>
          <w:rFonts w:ascii="黑体" w:hAnsi="黑体" w:eastAsia="黑体"/>
          <w:b/>
          <w:color w:val="000000"/>
          <w:sz w:val="30"/>
        </w:rPr>
        <w:t>附录：关键诊断结果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0"/>
        <w:gridCol w:w="1540"/>
        <w:gridCol w:w="1540"/>
        <w:gridCol w:w="1540"/>
        <w:gridCol w:w="1540"/>
        <w:gridCol w:w="1540"/>
      </w:tblGrid>
      <w:tr w14:paraId="73CFD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shd w:val="clear" w:color="auto" w:fill="D9D9D9"/>
            <w:vAlign w:val="center"/>
          </w:tcPr>
          <w:p w14:paraId="4C05C176">
            <w:pPr>
              <w:spacing w:after="0" w:line="240" w:lineRule="auto"/>
              <w:jc w:val="center"/>
            </w:pPr>
            <w:r>
              <w:rPr>
                <w:rFonts w:ascii="宋体" w:hAnsi="宋体" w:eastAsia="宋体"/>
                <w:b/>
                <w:color w:val="000000"/>
                <w:sz w:val="18"/>
              </w:rPr>
              <w:t>数据层</w:t>
            </w:r>
          </w:p>
        </w:tc>
        <w:tc>
          <w:tcPr>
            <w:tcW w:w="1540" w:type="dxa"/>
            <w:shd w:val="clear" w:color="auto" w:fill="D9D9D9"/>
            <w:vAlign w:val="center"/>
          </w:tcPr>
          <w:p w14:paraId="4C843048">
            <w:pPr>
              <w:spacing w:after="0" w:line="240" w:lineRule="auto"/>
              <w:jc w:val="center"/>
            </w:pPr>
            <w:r>
              <w:rPr>
                <w:rFonts w:ascii="宋体" w:hAnsi="宋体" w:eastAsia="宋体"/>
                <w:b/>
                <w:color w:val="000000"/>
                <w:sz w:val="18"/>
              </w:rPr>
              <w:t>n</w:t>
            </w:r>
          </w:p>
        </w:tc>
        <w:tc>
          <w:tcPr>
            <w:tcW w:w="1540" w:type="dxa"/>
            <w:shd w:val="clear" w:color="auto" w:fill="D9D9D9"/>
            <w:vAlign w:val="center"/>
          </w:tcPr>
          <w:p w14:paraId="04D0AF1C">
            <w:pPr>
              <w:spacing w:after="0" w:line="240" w:lineRule="auto"/>
              <w:jc w:val="center"/>
            </w:pPr>
            <w:r>
              <w:rPr>
                <w:rFonts w:ascii="宋体" w:hAnsi="宋体" w:eastAsia="宋体"/>
                <w:b/>
                <w:color w:val="000000"/>
                <w:sz w:val="18"/>
              </w:rPr>
              <w:t>R²</w:t>
            </w:r>
          </w:p>
        </w:tc>
        <w:tc>
          <w:tcPr>
            <w:tcW w:w="1540" w:type="dxa"/>
            <w:shd w:val="clear" w:color="auto" w:fill="D9D9D9"/>
            <w:vAlign w:val="center"/>
          </w:tcPr>
          <w:p w14:paraId="07E22B94">
            <w:pPr>
              <w:spacing w:after="0" w:line="240" w:lineRule="auto"/>
              <w:jc w:val="center"/>
            </w:pPr>
            <w:r>
              <w:rPr>
                <w:rFonts w:ascii="宋体" w:hAnsi="宋体" w:eastAsia="宋体"/>
                <w:b/>
                <w:color w:val="000000"/>
                <w:sz w:val="18"/>
              </w:rPr>
              <w:t>Adj.R²</w:t>
            </w:r>
          </w:p>
        </w:tc>
        <w:tc>
          <w:tcPr>
            <w:tcW w:w="1540" w:type="dxa"/>
            <w:shd w:val="clear" w:color="auto" w:fill="D9D9D9"/>
            <w:vAlign w:val="center"/>
          </w:tcPr>
          <w:p w14:paraId="050135C4">
            <w:pPr>
              <w:spacing w:after="0" w:line="240" w:lineRule="auto"/>
              <w:jc w:val="center"/>
            </w:pPr>
            <w:r>
              <w:rPr>
                <w:rFonts w:ascii="宋体" w:hAnsi="宋体" w:eastAsia="宋体"/>
                <w:b/>
                <w:color w:val="000000"/>
                <w:sz w:val="18"/>
              </w:rPr>
              <w:t>特征数</w:t>
            </w:r>
          </w:p>
        </w:tc>
        <w:tc>
          <w:tcPr>
            <w:tcW w:w="1540" w:type="dxa"/>
            <w:shd w:val="clear" w:color="auto" w:fill="D9D9D9"/>
            <w:vAlign w:val="center"/>
          </w:tcPr>
          <w:p w14:paraId="4B0E6AD5">
            <w:pPr>
              <w:spacing w:after="0" w:line="240" w:lineRule="auto"/>
              <w:jc w:val="center"/>
            </w:pPr>
            <w:r>
              <w:rPr>
                <w:rFonts w:ascii="宋体" w:hAnsi="宋体" w:eastAsia="宋体"/>
                <w:b/>
                <w:color w:val="000000"/>
                <w:sz w:val="18"/>
              </w:rPr>
              <w:t>p&lt;0.05变量数</w:t>
            </w:r>
          </w:p>
        </w:tc>
      </w:tr>
      <w:tr w14:paraId="2CCA5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40FA7690">
            <w:pPr>
              <w:spacing w:after="0" w:line="240" w:lineRule="auto"/>
              <w:jc w:val="center"/>
            </w:pPr>
            <w:r>
              <w:rPr>
                <w:rFonts w:ascii="宋体" w:hAnsi="宋体" w:eastAsia="宋体"/>
                <w:b w:val="0"/>
                <w:color w:val="000000"/>
                <w:sz w:val="18"/>
              </w:rPr>
              <w:t>Stage 1 SME规模层</w:t>
            </w:r>
          </w:p>
        </w:tc>
        <w:tc>
          <w:tcPr>
            <w:tcW w:w="1540" w:type="dxa"/>
            <w:vAlign w:val="center"/>
          </w:tcPr>
          <w:p w14:paraId="6BDCA8DA">
            <w:pPr>
              <w:spacing w:after="0" w:line="240" w:lineRule="auto"/>
              <w:jc w:val="center"/>
            </w:pPr>
            <w:r>
              <w:rPr>
                <w:rFonts w:ascii="宋体" w:hAnsi="宋体" w:eastAsia="宋体"/>
                <w:b w:val="0"/>
                <w:color w:val="000000"/>
                <w:sz w:val="18"/>
              </w:rPr>
              <w:t>544</w:t>
            </w:r>
          </w:p>
        </w:tc>
        <w:tc>
          <w:tcPr>
            <w:tcW w:w="1540" w:type="dxa"/>
            <w:vAlign w:val="center"/>
          </w:tcPr>
          <w:p w14:paraId="673F660C">
            <w:pPr>
              <w:spacing w:after="0" w:line="240" w:lineRule="auto"/>
              <w:jc w:val="center"/>
            </w:pPr>
            <w:r>
              <w:rPr>
                <w:rFonts w:ascii="宋体" w:hAnsi="宋体" w:eastAsia="宋体"/>
                <w:b w:val="0"/>
                <w:color w:val="000000"/>
                <w:sz w:val="18"/>
              </w:rPr>
              <w:t>0.9186</w:t>
            </w:r>
          </w:p>
        </w:tc>
        <w:tc>
          <w:tcPr>
            <w:tcW w:w="1540" w:type="dxa"/>
            <w:vAlign w:val="center"/>
          </w:tcPr>
          <w:p w14:paraId="145E282C">
            <w:pPr>
              <w:spacing w:after="0" w:line="240" w:lineRule="auto"/>
              <w:jc w:val="center"/>
            </w:pPr>
            <w:r>
              <w:rPr>
                <w:rFonts w:ascii="宋体" w:hAnsi="宋体" w:eastAsia="宋体"/>
                <w:b w:val="0"/>
                <w:color w:val="000000"/>
                <w:sz w:val="18"/>
              </w:rPr>
              <w:t>0.9170</w:t>
            </w:r>
          </w:p>
        </w:tc>
        <w:tc>
          <w:tcPr>
            <w:tcW w:w="1540" w:type="dxa"/>
            <w:vAlign w:val="center"/>
          </w:tcPr>
          <w:p w14:paraId="07C51DC8">
            <w:pPr>
              <w:spacing w:after="0" w:line="240" w:lineRule="auto"/>
              <w:jc w:val="center"/>
            </w:pPr>
            <w:r>
              <w:rPr>
                <w:rFonts w:ascii="宋体" w:hAnsi="宋体" w:eastAsia="宋体"/>
                <w:b w:val="0"/>
                <w:color w:val="000000"/>
                <w:sz w:val="18"/>
              </w:rPr>
              <w:t>10</w:t>
            </w:r>
          </w:p>
        </w:tc>
        <w:tc>
          <w:tcPr>
            <w:tcW w:w="1540" w:type="dxa"/>
            <w:vAlign w:val="center"/>
          </w:tcPr>
          <w:p w14:paraId="31D21511">
            <w:pPr>
              <w:spacing w:after="0" w:line="240" w:lineRule="auto"/>
              <w:jc w:val="center"/>
            </w:pPr>
            <w:r>
              <w:rPr>
                <w:rFonts w:ascii="宋体" w:hAnsi="宋体" w:eastAsia="宋体"/>
                <w:b w:val="0"/>
                <w:color w:val="000000"/>
                <w:sz w:val="18"/>
              </w:rPr>
              <w:t>3</w:t>
            </w:r>
          </w:p>
        </w:tc>
      </w:tr>
      <w:tr w14:paraId="5C67F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09E7E3D">
            <w:pPr>
              <w:spacing w:after="0" w:line="240" w:lineRule="auto"/>
              <w:jc w:val="center"/>
            </w:pPr>
            <w:r>
              <w:rPr>
                <w:rFonts w:ascii="宋体" w:hAnsi="宋体" w:eastAsia="宋体"/>
                <w:b w:val="0"/>
                <w:color w:val="000000"/>
                <w:sz w:val="18"/>
              </w:rPr>
              <w:t>Stage 2 行业验证层</w:t>
            </w:r>
          </w:p>
        </w:tc>
        <w:tc>
          <w:tcPr>
            <w:tcW w:w="1540" w:type="dxa"/>
            <w:vAlign w:val="center"/>
          </w:tcPr>
          <w:p w14:paraId="723232EC">
            <w:pPr>
              <w:spacing w:after="0" w:line="240" w:lineRule="auto"/>
              <w:jc w:val="center"/>
            </w:pPr>
            <w:r>
              <w:rPr>
                <w:rFonts w:ascii="宋体" w:hAnsi="宋体" w:eastAsia="宋体"/>
                <w:b w:val="0"/>
                <w:color w:val="000000"/>
                <w:sz w:val="18"/>
              </w:rPr>
              <w:t>5814</w:t>
            </w:r>
          </w:p>
        </w:tc>
        <w:tc>
          <w:tcPr>
            <w:tcW w:w="1540" w:type="dxa"/>
            <w:vAlign w:val="center"/>
          </w:tcPr>
          <w:p w14:paraId="48630398">
            <w:pPr>
              <w:spacing w:after="0" w:line="240" w:lineRule="auto"/>
              <w:jc w:val="center"/>
            </w:pPr>
            <w:r>
              <w:rPr>
                <w:rFonts w:ascii="宋体" w:hAnsi="宋体" w:eastAsia="宋体"/>
                <w:b w:val="0"/>
                <w:color w:val="000000"/>
                <w:sz w:val="18"/>
              </w:rPr>
              <w:t>0.7120</w:t>
            </w:r>
          </w:p>
        </w:tc>
        <w:tc>
          <w:tcPr>
            <w:tcW w:w="1540" w:type="dxa"/>
            <w:vAlign w:val="center"/>
          </w:tcPr>
          <w:p w14:paraId="4BFE5A09">
            <w:pPr>
              <w:spacing w:after="0" w:line="240" w:lineRule="auto"/>
              <w:jc w:val="center"/>
            </w:pPr>
            <w:r>
              <w:rPr>
                <w:rFonts w:ascii="宋体" w:hAnsi="宋体" w:eastAsia="宋体"/>
                <w:b w:val="0"/>
                <w:color w:val="000000"/>
                <w:sz w:val="18"/>
              </w:rPr>
              <w:t>0.7115</w:t>
            </w:r>
          </w:p>
        </w:tc>
        <w:tc>
          <w:tcPr>
            <w:tcW w:w="1540" w:type="dxa"/>
            <w:vAlign w:val="center"/>
          </w:tcPr>
          <w:p w14:paraId="6024C129">
            <w:pPr>
              <w:spacing w:after="0" w:line="240" w:lineRule="auto"/>
              <w:jc w:val="center"/>
            </w:pPr>
            <w:r>
              <w:rPr>
                <w:rFonts w:ascii="宋体" w:hAnsi="宋体" w:eastAsia="宋体"/>
                <w:b w:val="0"/>
                <w:color w:val="000000"/>
                <w:sz w:val="18"/>
              </w:rPr>
              <w:t>10</w:t>
            </w:r>
          </w:p>
        </w:tc>
        <w:tc>
          <w:tcPr>
            <w:tcW w:w="1540" w:type="dxa"/>
            <w:vAlign w:val="center"/>
          </w:tcPr>
          <w:p w14:paraId="4BD4914B">
            <w:pPr>
              <w:spacing w:after="0" w:line="240" w:lineRule="auto"/>
              <w:jc w:val="center"/>
            </w:pPr>
            <w:r>
              <w:rPr>
                <w:rFonts w:ascii="宋体" w:hAnsi="宋体" w:eastAsia="宋体"/>
                <w:b w:val="0"/>
                <w:color w:val="000000"/>
                <w:sz w:val="18"/>
              </w:rPr>
              <w:t>6</w:t>
            </w:r>
          </w:p>
        </w:tc>
      </w:tr>
    </w:tbl>
    <w:p w14:paraId="6801E94B"/>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1"/>
        <w:gridCol w:w="2556"/>
        <w:gridCol w:w="2300"/>
        <w:gridCol w:w="2301"/>
      </w:tblGrid>
      <w:tr w14:paraId="3FFD3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shd w:val="clear" w:color="auto" w:fill="D9D9D9"/>
            <w:vAlign w:val="center"/>
          </w:tcPr>
          <w:p w14:paraId="10797A30">
            <w:pPr>
              <w:spacing w:after="0" w:line="240" w:lineRule="auto"/>
              <w:jc w:val="center"/>
            </w:pPr>
            <w:r>
              <w:rPr>
                <w:rFonts w:ascii="宋体" w:hAnsi="宋体" w:eastAsia="宋体"/>
                <w:b/>
                <w:color w:val="000000"/>
                <w:sz w:val="18"/>
              </w:rPr>
              <w:t>数据层</w:t>
            </w:r>
          </w:p>
        </w:tc>
        <w:tc>
          <w:tcPr>
            <w:tcW w:w="2310" w:type="dxa"/>
            <w:shd w:val="clear" w:color="auto" w:fill="D9D9D9"/>
            <w:vAlign w:val="center"/>
          </w:tcPr>
          <w:p w14:paraId="3C29E7B6">
            <w:pPr>
              <w:spacing w:after="0" w:line="240" w:lineRule="auto"/>
              <w:jc w:val="center"/>
            </w:pPr>
            <w:r>
              <w:rPr>
                <w:rFonts w:ascii="宋体" w:hAnsi="宋体" w:eastAsia="宋体"/>
                <w:b/>
                <w:color w:val="000000"/>
                <w:sz w:val="18"/>
              </w:rPr>
              <w:t>特征</w:t>
            </w:r>
          </w:p>
        </w:tc>
        <w:tc>
          <w:tcPr>
            <w:tcW w:w="2310" w:type="dxa"/>
            <w:shd w:val="clear" w:color="auto" w:fill="D9D9D9"/>
            <w:vAlign w:val="center"/>
          </w:tcPr>
          <w:p w14:paraId="704E795A">
            <w:pPr>
              <w:spacing w:after="0" w:line="240" w:lineRule="auto"/>
              <w:jc w:val="center"/>
            </w:pPr>
            <w:r>
              <w:rPr>
                <w:rFonts w:ascii="宋体" w:hAnsi="宋体" w:eastAsia="宋体"/>
                <w:b/>
                <w:color w:val="000000"/>
                <w:sz w:val="18"/>
              </w:rPr>
              <w:t>含义</w:t>
            </w:r>
          </w:p>
        </w:tc>
        <w:tc>
          <w:tcPr>
            <w:tcW w:w="2310" w:type="dxa"/>
            <w:shd w:val="clear" w:color="auto" w:fill="D9D9D9"/>
            <w:vAlign w:val="center"/>
          </w:tcPr>
          <w:p w14:paraId="470A0D31">
            <w:pPr>
              <w:spacing w:after="0" w:line="240" w:lineRule="auto"/>
              <w:jc w:val="center"/>
            </w:pPr>
            <w:r>
              <w:rPr>
                <w:rFonts w:ascii="宋体" w:hAnsi="宋体" w:eastAsia="宋体"/>
                <w:b/>
                <w:color w:val="000000"/>
                <w:sz w:val="18"/>
              </w:rPr>
              <w:t>VIF</w:t>
            </w:r>
          </w:p>
        </w:tc>
      </w:tr>
      <w:tr w14:paraId="0C6A6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3BE43D6">
            <w:pPr>
              <w:spacing w:after="0" w:line="240" w:lineRule="auto"/>
              <w:jc w:val="center"/>
            </w:pPr>
            <w:r>
              <w:rPr>
                <w:rFonts w:ascii="宋体" w:hAnsi="宋体" w:eastAsia="宋体"/>
                <w:b w:val="0"/>
                <w:color w:val="000000"/>
                <w:sz w:val="18"/>
              </w:rPr>
              <w:t>Stage 1 SME规模层</w:t>
            </w:r>
          </w:p>
        </w:tc>
        <w:tc>
          <w:tcPr>
            <w:tcW w:w="2310" w:type="dxa"/>
            <w:vAlign w:val="center"/>
          </w:tcPr>
          <w:p w14:paraId="3E72FFBB">
            <w:pPr>
              <w:spacing w:after="0" w:line="240" w:lineRule="auto"/>
              <w:jc w:val="center"/>
            </w:pPr>
            <w:r>
              <w:rPr>
                <w:rFonts w:ascii="宋体" w:hAnsi="宋体" w:eastAsia="宋体"/>
                <w:b w:val="0"/>
                <w:color w:val="000000"/>
                <w:sz w:val="18"/>
              </w:rPr>
              <w:t>ai__E_AI_TML</w:t>
            </w:r>
          </w:p>
        </w:tc>
        <w:tc>
          <w:tcPr>
            <w:tcW w:w="2310" w:type="dxa"/>
            <w:vAlign w:val="center"/>
          </w:tcPr>
          <w:p w14:paraId="60C7D429">
            <w:pPr>
              <w:spacing w:after="0" w:line="240" w:lineRule="auto"/>
              <w:jc w:val="center"/>
            </w:pPr>
            <w:r>
              <w:rPr>
                <w:rFonts w:ascii="宋体" w:hAnsi="宋体" w:eastAsia="宋体"/>
                <w:b w:val="0"/>
                <w:color w:val="000000"/>
                <w:sz w:val="18"/>
              </w:rPr>
              <w:t>机器学习能力</w:t>
            </w:r>
          </w:p>
        </w:tc>
        <w:tc>
          <w:tcPr>
            <w:tcW w:w="2310" w:type="dxa"/>
            <w:vAlign w:val="center"/>
          </w:tcPr>
          <w:p w14:paraId="060436ED">
            <w:pPr>
              <w:spacing w:after="0" w:line="240" w:lineRule="auto"/>
              <w:jc w:val="center"/>
            </w:pPr>
            <w:r>
              <w:rPr>
                <w:rFonts w:ascii="宋体" w:hAnsi="宋体" w:eastAsia="宋体"/>
                <w:b w:val="0"/>
                <w:color w:val="000000"/>
                <w:sz w:val="18"/>
              </w:rPr>
              <w:t>6.96</w:t>
            </w:r>
          </w:p>
        </w:tc>
      </w:tr>
      <w:tr w14:paraId="2E444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49A185E">
            <w:pPr>
              <w:spacing w:after="0" w:line="240" w:lineRule="auto"/>
              <w:jc w:val="center"/>
            </w:pPr>
            <w:r>
              <w:rPr>
                <w:rFonts w:ascii="宋体" w:hAnsi="宋体" w:eastAsia="宋体"/>
                <w:b w:val="0"/>
                <w:color w:val="000000"/>
                <w:sz w:val="18"/>
              </w:rPr>
              <w:t>Stage 1 SME规模层</w:t>
            </w:r>
          </w:p>
        </w:tc>
        <w:tc>
          <w:tcPr>
            <w:tcW w:w="2310" w:type="dxa"/>
            <w:vAlign w:val="center"/>
          </w:tcPr>
          <w:p w14:paraId="0B89CAF1">
            <w:pPr>
              <w:spacing w:after="0" w:line="240" w:lineRule="auto"/>
              <w:jc w:val="center"/>
            </w:pPr>
            <w:r>
              <w:rPr>
                <w:rFonts w:ascii="宋体" w:hAnsi="宋体" w:eastAsia="宋体"/>
                <w:b w:val="0"/>
                <w:color w:val="000000"/>
                <w:sz w:val="18"/>
              </w:rPr>
              <w:t>ai__E_AI_TNLG</w:t>
            </w:r>
          </w:p>
        </w:tc>
        <w:tc>
          <w:tcPr>
            <w:tcW w:w="2310" w:type="dxa"/>
            <w:vAlign w:val="center"/>
          </w:tcPr>
          <w:p w14:paraId="03C7A9B9">
            <w:pPr>
              <w:spacing w:after="0" w:line="240" w:lineRule="auto"/>
              <w:jc w:val="center"/>
            </w:pPr>
            <w:r>
              <w:rPr>
                <w:rFonts w:ascii="宋体" w:hAnsi="宋体" w:eastAsia="宋体"/>
                <w:b w:val="0"/>
                <w:color w:val="000000"/>
                <w:sz w:val="18"/>
              </w:rPr>
              <w:t>自然语言生成</w:t>
            </w:r>
          </w:p>
        </w:tc>
        <w:tc>
          <w:tcPr>
            <w:tcW w:w="2310" w:type="dxa"/>
            <w:vAlign w:val="center"/>
          </w:tcPr>
          <w:p w14:paraId="7487A6D1">
            <w:pPr>
              <w:spacing w:after="0" w:line="240" w:lineRule="auto"/>
              <w:jc w:val="center"/>
            </w:pPr>
            <w:r>
              <w:rPr>
                <w:rFonts w:ascii="宋体" w:hAnsi="宋体" w:eastAsia="宋体"/>
                <w:b w:val="0"/>
                <w:color w:val="000000"/>
                <w:sz w:val="18"/>
              </w:rPr>
              <w:t>3.72</w:t>
            </w:r>
          </w:p>
        </w:tc>
      </w:tr>
      <w:tr w14:paraId="7DDE0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EE77952">
            <w:pPr>
              <w:spacing w:after="0" w:line="240" w:lineRule="auto"/>
              <w:jc w:val="center"/>
            </w:pPr>
            <w:r>
              <w:rPr>
                <w:rFonts w:ascii="宋体" w:hAnsi="宋体" w:eastAsia="宋体"/>
                <w:b w:val="0"/>
                <w:color w:val="000000"/>
                <w:sz w:val="18"/>
              </w:rPr>
              <w:t>Stage 1 SME规模层</w:t>
            </w:r>
          </w:p>
        </w:tc>
        <w:tc>
          <w:tcPr>
            <w:tcW w:w="2310" w:type="dxa"/>
            <w:vAlign w:val="center"/>
          </w:tcPr>
          <w:p w14:paraId="434B612E">
            <w:pPr>
              <w:spacing w:after="0" w:line="240" w:lineRule="auto"/>
              <w:jc w:val="left"/>
            </w:pPr>
            <w:r>
              <w:rPr>
                <w:rFonts w:ascii="宋体" w:hAnsi="宋体" w:eastAsia="宋体"/>
                <w:b w:val="0"/>
                <w:color w:val="000000"/>
                <w:sz w:val="18"/>
              </w:rPr>
              <w:t>deployment_readiness_index</w:t>
            </w:r>
          </w:p>
        </w:tc>
        <w:tc>
          <w:tcPr>
            <w:tcW w:w="2310" w:type="dxa"/>
            <w:vAlign w:val="center"/>
          </w:tcPr>
          <w:p w14:paraId="6F8B6E02">
            <w:pPr>
              <w:spacing w:after="0" w:line="240" w:lineRule="auto"/>
              <w:jc w:val="center"/>
            </w:pPr>
            <w:r>
              <w:rPr>
                <w:rFonts w:ascii="宋体" w:hAnsi="宋体" w:eastAsia="宋体"/>
                <w:b w:val="0"/>
                <w:color w:val="000000"/>
                <w:sz w:val="18"/>
              </w:rPr>
              <w:t>部署准备度</w:t>
            </w:r>
          </w:p>
        </w:tc>
        <w:tc>
          <w:tcPr>
            <w:tcW w:w="2310" w:type="dxa"/>
            <w:vAlign w:val="center"/>
          </w:tcPr>
          <w:p w14:paraId="415B409A">
            <w:pPr>
              <w:spacing w:after="0" w:line="240" w:lineRule="auto"/>
              <w:jc w:val="center"/>
            </w:pPr>
            <w:r>
              <w:rPr>
                <w:rFonts w:ascii="宋体" w:hAnsi="宋体" w:eastAsia="宋体"/>
                <w:b w:val="0"/>
                <w:color w:val="000000"/>
                <w:sz w:val="18"/>
              </w:rPr>
              <w:t>5.19</w:t>
            </w:r>
          </w:p>
        </w:tc>
      </w:tr>
      <w:tr w14:paraId="3829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5C07E19">
            <w:pPr>
              <w:spacing w:after="0" w:line="240" w:lineRule="auto"/>
              <w:jc w:val="center"/>
            </w:pPr>
            <w:r>
              <w:rPr>
                <w:rFonts w:ascii="宋体" w:hAnsi="宋体" w:eastAsia="宋体"/>
                <w:b w:val="0"/>
                <w:color w:val="000000"/>
                <w:sz w:val="18"/>
              </w:rPr>
              <w:t>Stage 1 SME规模层</w:t>
            </w:r>
          </w:p>
        </w:tc>
        <w:tc>
          <w:tcPr>
            <w:tcW w:w="2310" w:type="dxa"/>
            <w:vAlign w:val="center"/>
          </w:tcPr>
          <w:p w14:paraId="7A686783">
            <w:pPr>
              <w:spacing w:after="0" w:line="240" w:lineRule="auto"/>
              <w:jc w:val="left"/>
            </w:pPr>
            <w:r>
              <w:rPr>
                <w:rFonts w:ascii="宋体" w:hAnsi="宋体" w:eastAsia="宋体"/>
                <w:b w:val="0"/>
                <w:color w:val="000000"/>
                <w:sz w:val="18"/>
              </w:rPr>
              <w:t>data_maturity_index</w:t>
            </w:r>
          </w:p>
        </w:tc>
        <w:tc>
          <w:tcPr>
            <w:tcW w:w="2310" w:type="dxa"/>
            <w:vAlign w:val="center"/>
          </w:tcPr>
          <w:p w14:paraId="6CA2A516">
            <w:pPr>
              <w:spacing w:after="0" w:line="240" w:lineRule="auto"/>
              <w:jc w:val="center"/>
            </w:pPr>
            <w:r>
              <w:rPr>
                <w:rFonts w:ascii="宋体" w:hAnsi="宋体" w:eastAsia="宋体"/>
                <w:b w:val="0"/>
                <w:color w:val="000000"/>
                <w:sz w:val="18"/>
              </w:rPr>
              <w:t>数据成熟度</w:t>
            </w:r>
          </w:p>
        </w:tc>
        <w:tc>
          <w:tcPr>
            <w:tcW w:w="2310" w:type="dxa"/>
            <w:vAlign w:val="center"/>
          </w:tcPr>
          <w:p w14:paraId="53D7FAD5">
            <w:pPr>
              <w:spacing w:after="0" w:line="240" w:lineRule="auto"/>
              <w:jc w:val="center"/>
            </w:pPr>
            <w:r>
              <w:rPr>
                <w:rFonts w:ascii="宋体" w:hAnsi="宋体" w:eastAsia="宋体"/>
                <w:b w:val="0"/>
                <w:color w:val="000000"/>
                <w:sz w:val="18"/>
              </w:rPr>
              <w:t>10.93</w:t>
            </w:r>
          </w:p>
        </w:tc>
      </w:tr>
      <w:tr w14:paraId="3A5B7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4F717D1">
            <w:pPr>
              <w:spacing w:after="0" w:line="240" w:lineRule="auto"/>
              <w:jc w:val="center"/>
            </w:pPr>
            <w:r>
              <w:rPr>
                <w:rFonts w:ascii="宋体" w:hAnsi="宋体" w:eastAsia="宋体"/>
                <w:b w:val="0"/>
                <w:color w:val="000000"/>
                <w:sz w:val="18"/>
              </w:rPr>
              <w:t>Stage 1 SME规模层</w:t>
            </w:r>
          </w:p>
        </w:tc>
        <w:tc>
          <w:tcPr>
            <w:tcW w:w="2310" w:type="dxa"/>
            <w:vAlign w:val="center"/>
          </w:tcPr>
          <w:p w14:paraId="799CC2B4">
            <w:pPr>
              <w:spacing w:after="0" w:line="240" w:lineRule="auto"/>
              <w:jc w:val="left"/>
            </w:pPr>
            <w:r>
              <w:rPr>
                <w:rFonts w:ascii="宋体" w:hAnsi="宋体" w:eastAsia="宋体"/>
                <w:b w:val="0"/>
                <w:color w:val="000000"/>
                <w:sz w:val="18"/>
              </w:rPr>
              <w:t>digital_foundation_index</w:t>
            </w:r>
          </w:p>
        </w:tc>
        <w:tc>
          <w:tcPr>
            <w:tcW w:w="2310" w:type="dxa"/>
            <w:vAlign w:val="center"/>
          </w:tcPr>
          <w:p w14:paraId="28750267">
            <w:pPr>
              <w:spacing w:after="0" w:line="240" w:lineRule="auto"/>
              <w:jc w:val="center"/>
            </w:pPr>
            <w:r>
              <w:rPr>
                <w:rFonts w:ascii="宋体" w:hAnsi="宋体" w:eastAsia="宋体"/>
                <w:b w:val="0"/>
                <w:color w:val="000000"/>
                <w:sz w:val="18"/>
              </w:rPr>
              <w:t>数字基础</w:t>
            </w:r>
          </w:p>
        </w:tc>
        <w:tc>
          <w:tcPr>
            <w:tcW w:w="2310" w:type="dxa"/>
            <w:vAlign w:val="center"/>
          </w:tcPr>
          <w:p w14:paraId="3EE1325A">
            <w:pPr>
              <w:spacing w:after="0" w:line="240" w:lineRule="auto"/>
              <w:jc w:val="center"/>
            </w:pPr>
            <w:r>
              <w:rPr>
                <w:rFonts w:ascii="宋体" w:hAnsi="宋体" w:eastAsia="宋体"/>
                <w:b w:val="0"/>
                <w:color w:val="000000"/>
                <w:sz w:val="18"/>
              </w:rPr>
              <w:t>4.37</w:t>
            </w:r>
          </w:p>
        </w:tc>
      </w:tr>
      <w:tr w14:paraId="17109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4A1C66F">
            <w:pPr>
              <w:spacing w:after="0" w:line="240" w:lineRule="auto"/>
              <w:jc w:val="center"/>
            </w:pPr>
            <w:r>
              <w:rPr>
                <w:rFonts w:ascii="宋体" w:hAnsi="宋体" w:eastAsia="宋体"/>
                <w:b w:val="0"/>
                <w:color w:val="000000"/>
                <w:sz w:val="18"/>
              </w:rPr>
              <w:t>Stage 1 SME规模层</w:t>
            </w:r>
          </w:p>
        </w:tc>
        <w:tc>
          <w:tcPr>
            <w:tcW w:w="2310" w:type="dxa"/>
            <w:vAlign w:val="center"/>
          </w:tcPr>
          <w:p w14:paraId="1769A2C9">
            <w:pPr>
              <w:spacing w:after="0" w:line="240" w:lineRule="auto"/>
              <w:jc w:val="left"/>
            </w:pPr>
            <w:r>
              <w:rPr>
                <w:rFonts w:ascii="宋体" w:hAnsi="宋体" w:eastAsia="宋体"/>
                <w:b w:val="0"/>
                <w:color w:val="000000"/>
                <w:sz w:val="18"/>
              </w:rPr>
              <w:t>market_digitization_index</w:t>
            </w:r>
          </w:p>
        </w:tc>
        <w:tc>
          <w:tcPr>
            <w:tcW w:w="2310" w:type="dxa"/>
            <w:vAlign w:val="center"/>
          </w:tcPr>
          <w:p w14:paraId="43EE9BF9">
            <w:pPr>
              <w:spacing w:after="0" w:line="240" w:lineRule="auto"/>
              <w:jc w:val="center"/>
            </w:pPr>
            <w:r>
              <w:rPr>
                <w:rFonts w:ascii="宋体" w:hAnsi="宋体" w:eastAsia="宋体"/>
                <w:b w:val="0"/>
                <w:color w:val="000000"/>
                <w:sz w:val="18"/>
              </w:rPr>
              <w:t>市场数字化</w:t>
            </w:r>
          </w:p>
        </w:tc>
        <w:tc>
          <w:tcPr>
            <w:tcW w:w="2310" w:type="dxa"/>
            <w:vAlign w:val="center"/>
          </w:tcPr>
          <w:p w14:paraId="09274D23">
            <w:pPr>
              <w:spacing w:after="0" w:line="240" w:lineRule="auto"/>
              <w:jc w:val="center"/>
            </w:pPr>
            <w:r>
              <w:rPr>
                <w:rFonts w:ascii="宋体" w:hAnsi="宋体" w:eastAsia="宋体"/>
                <w:b w:val="0"/>
                <w:color w:val="000000"/>
                <w:sz w:val="18"/>
              </w:rPr>
              <w:t>2.36</w:t>
            </w:r>
          </w:p>
        </w:tc>
      </w:tr>
      <w:tr w14:paraId="05E3B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DDFF39D">
            <w:pPr>
              <w:spacing w:after="0" w:line="240" w:lineRule="auto"/>
              <w:jc w:val="center"/>
            </w:pPr>
            <w:r>
              <w:rPr>
                <w:rFonts w:ascii="宋体" w:hAnsi="宋体" w:eastAsia="宋体"/>
                <w:b w:val="0"/>
                <w:color w:val="000000"/>
                <w:sz w:val="18"/>
              </w:rPr>
              <w:t>Stage 1 SME规模层</w:t>
            </w:r>
          </w:p>
        </w:tc>
        <w:tc>
          <w:tcPr>
            <w:tcW w:w="2310" w:type="dxa"/>
            <w:vAlign w:val="center"/>
          </w:tcPr>
          <w:p w14:paraId="2F5E2C80">
            <w:pPr>
              <w:spacing w:after="0" w:line="240" w:lineRule="auto"/>
              <w:jc w:val="left"/>
            </w:pPr>
            <w:r>
              <w:rPr>
                <w:rFonts w:ascii="宋体" w:hAnsi="宋体" w:eastAsia="宋体"/>
                <w:b w:val="0"/>
                <w:color w:val="000000"/>
                <w:sz w:val="18"/>
              </w:rPr>
              <w:t>ict_constraint_index</w:t>
            </w:r>
          </w:p>
        </w:tc>
        <w:tc>
          <w:tcPr>
            <w:tcW w:w="2310" w:type="dxa"/>
            <w:vAlign w:val="center"/>
          </w:tcPr>
          <w:p w14:paraId="2E85C435">
            <w:pPr>
              <w:spacing w:after="0" w:line="240" w:lineRule="auto"/>
              <w:jc w:val="center"/>
            </w:pPr>
            <w:r>
              <w:rPr>
                <w:rFonts w:ascii="宋体" w:hAnsi="宋体" w:eastAsia="宋体"/>
                <w:b w:val="0"/>
                <w:color w:val="000000"/>
                <w:sz w:val="18"/>
              </w:rPr>
              <w:t>ICT人才约束</w:t>
            </w:r>
          </w:p>
        </w:tc>
        <w:tc>
          <w:tcPr>
            <w:tcW w:w="2310" w:type="dxa"/>
            <w:vAlign w:val="center"/>
          </w:tcPr>
          <w:p w14:paraId="60BBF16F">
            <w:pPr>
              <w:spacing w:after="0" w:line="240" w:lineRule="auto"/>
              <w:jc w:val="center"/>
            </w:pPr>
            <w:r>
              <w:rPr>
                <w:rFonts w:ascii="宋体" w:hAnsi="宋体" w:eastAsia="宋体"/>
                <w:b w:val="0"/>
                <w:color w:val="000000"/>
                <w:sz w:val="18"/>
              </w:rPr>
              <w:t>1.37</w:t>
            </w:r>
          </w:p>
        </w:tc>
      </w:tr>
      <w:tr w14:paraId="17C9E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A41E75F">
            <w:pPr>
              <w:spacing w:after="0" w:line="240" w:lineRule="auto"/>
              <w:jc w:val="center"/>
            </w:pPr>
            <w:r>
              <w:rPr>
                <w:rFonts w:ascii="宋体" w:hAnsi="宋体" w:eastAsia="宋体"/>
                <w:b w:val="0"/>
                <w:color w:val="000000"/>
                <w:sz w:val="18"/>
              </w:rPr>
              <w:t>Stage 1 SME规模层</w:t>
            </w:r>
          </w:p>
        </w:tc>
        <w:tc>
          <w:tcPr>
            <w:tcW w:w="2310" w:type="dxa"/>
            <w:vAlign w:val="center"/>
          </w:tcPr>
          <w:p w14:paraId="099BB6BC">
            <w:pPr>
              <w:spacing w:after="0" w:line="240" w:lineRule="auto"/>
              <w:jc w:val="left"/>
            </w:pPr>
            <w:r>
              <w:rPr>
                <w:rFonts w:ascii="宋体" w:hAnsi="宋体" w:eastAsia="宋体"/>
                <w:b w:val="0"/>
                <w:color w:val="000000"/>
                <w:sz w:val="18"/>
              </w:rPr>
              <w:t>governance_maturity_proxy</w:t>
            </w:r>
          </w:p>
        </w:tc>
        <w:tc>
          <w:tcPr>
            <w:tcW w:w="2310" w:type="dxa"/>
            <w:vAlign w:val="center"/>
          </w:tcPr>
          <w:p w14:paraId="4DEAD197">
            <w:pPr>
              <w:spacing w:after="0" w:line="240" w:lineRule="auto"/>
              <w:jc w:val="center"/>
            </w:pPr>
            <w:r>
              <w:rPr>
                <w:rFonts w:ascii="宋体" w:hAnsi="宋体" w:eastAsia="宋体"/>
                <w:b w:val="0"/>
                <w:color w:val="000000"/>
                <w:sz w:val="18"/>
              </w:rPr>
              <w:t>治理成熟度</w:t>
            </w:r>
          </w:p>
        </w:tc>
        <w:tc>
          <w:tcPr>
            <w:tcW w:w="2310" w:type="dxa"/>
            <w:vAlign w:val="center"/>
          </w:tcPr>
          <w:p w14:paraId="6BA53DBA">
            <w:pPr>
              <w:spacing w:after="0" w:line="240" w:lineRule="auto"/>
              <w:jc w:val="center"/>
            </w:pPr>
            <w:r>
              <w:rPr>
                <w:rFonts w:ascii="宋体" w:hAnsi="宋体" w:eastAsia="宋体"/>
                <w:b w:val="0"/>
                <w:color w:val="000000"/>
                <w:sz w:val="18"/>
              </w:rPr>
              <w:t>2.69</w:t>
            </w:r>
          </w:p>
        </w:tc>
      </w:tr>
    </w:tbl>
    <w:p w14:paraId="6BCF86B3"/>
    <w:p w14:paraId="745194C4">
      <w:pPr>
        <w:spacing w:after="80" w:line="348" w:lineRule="auto"/>
        <w:ind w:firstLine="420"/>
      </w:pPr>
      <w:r>
        <w:rPr>
          <w:rFonts w:ascii="宋体" w:hAnsi="宋体" w:eastAsia="宋体"/>
          <w:b w:val="0"/>
          <w:color w:val="000000"/>
          <w:sz w:val="21"/>
        </w:rPr>
        <w:t>附录只保留少量关键诊断结果，供老师核对模型解释边界。完整的运行结果和图表用于复核，不在正文中展开成文件展示。</w:t>
      </w:r>
    </w:p>
    <w:sectPr>
      <w:footerReference r:id="rId5" w:type="default"/>
      <w:pgSz w:w="11906" w:h="16838"/>
      <w:pgMar w:top="1247" w:right="1332" w:bottom="1134" w:left="133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与墨 W04"/>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仓耳与墨 W04">
    <w:panose1 w:val="02020400000000000000"/>
    <w:charset w:val="80"/>
    <w:family w:val="auto"/>
    <w:pitch w:val="default"/>
    <w:sig w:usb0="80000023" w:usb1="1801004A" w:usb2="00000010"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8D616">
    <w:pPr>
      <w:pStyle w:val="24"/>
      <w:jc w:val="center"/>
    </w:pPr>
    <w:r>
      <w:rPr>
        <w:rFonts w:ascii="宋体" w:hAnsi="宋体" w:eastAsia="宋体"/>
        <w:b w:val="0"/>
        <w:color w:val="000000"/>
        <w:sz w:val="18"/>
      </w:rPr>
      <w:t>机器学习课程小组研究工作总结报告</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76191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rPr>
      <w:rFonts w:ascii="宋体" w:hAnsi="宋体" w:eastAsia="宋体"/>
      <w:color w:val="000000"/>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1721</Words>
  <Characters>1869</Characters>
  <Lines>0</Lines>
  <Paragraphs>0</Paragraphs>
  <TotalTime>0</TotalTime>
  <ScaleCrop>false</ScaleCrop>
  <LinksUpToDate>false</LinksUpToDate>
  <CharactersWithSpaces>1875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青春启航</cp:lastModifiedBy>
  <dcterms:modified xsi:type="dcterms:W3CDTF">2026-06-14T08:01:50Z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eyJoZGlkIjoiYzZiMDg3OWM5NmRjMDU5MzM0ZThjNjQzYTM4ZTFlYmEiLCJ1c2VySWQiOiIxMTU4OTEwNzU0In0=</vt:lpwstr>
  </property>
  <property fmtid="{D5CDD505-2E9C-101B-9397-08002B2CF9AE}" pid="3" name="KSOProductBuildVer">
    <vt:lpwstr>2052-12.1.0.26895</vt:lpwstr>
  </property>
  <property fmtid="{D5CDD505-2E9C-101B-9397-08002B2CF9AE}" pid="4" name="ICV">
    <vt:lpwstr>8598EA4D90CF43B3AC40D3C195B36500_12</vt:lpwstr>
  </property>
</Properties>
</file>