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409CE8">
      <w:pPr>
        <w:spacing w:before="240" w:after="120"/>
        <w:jc w:val="center"/>
      </w:pPr>
      <w:r>
        <w:rPr>
          <w:rFonts w:ascii="微软雅黑" w:hAnsi="微软雅黑" w:eastAsia="微软雅黑"/>
          <w:b/>
          <w:color w:val="000000"/>
          <w:sz w:val="44"/>
        </w:rPr>
        <w:t>机器学习课程个人案例总结报告</w:t>
      </w:r>
    </w:p>
    <w:p w14:paraId="4C4B4FDA">
      <w:pPr>
        <w:spacing w:before="240" w:after="120"/>
        <w:jc w:val="center"/>
      </w:pPr>
      <w:r>
        <w:rPr>
          <w:rFonts w:ascii="微软雅黑" w:hAnsi="微软雅黑" w:eastAsia="微软雅黑"/>
          <w:b/>
          <w:color w:val="000000"/>
          <w:sz w:val="36"/>
        </w:rPr>
        <w:t>中小企业AI流程自动化采纳机制研究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6520"/>
      </w:tblGrid>
      <w:tr w14:paraId="4ADD3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9D9D9"/>
            <w:vAlign w:val="center"/>
          </w:tcPr>
          <w:p w14:paraId="53CECE14">
            <w:pPr>
              <w:spacing w:after="0" w:line="276" w:lineRule="auto"/>
              <w:jc w:val="center"/>
            </w:pPr>
            <w:r>
              <w:rPr>
                <w:rFonts w:ascii="微软雅黑" w:hAnsi="微软雅黑" w:eastAsia="微软雅黑"/>
                <w:b/>
                <w:color w:val="000000"/>
                <w:sz w:val="18"/>
              </w:rPr>
              <w:t>项目</w:t>
            </w:r>
          </w:p>
        </w:tc>
        <w:tc>
          <w:tcPr>
            <w:tcW w:w="6520" w:type="dxa"/>
            <w:shd w:val="clear" w:color="auto" w:fill="D9D9D9"/>
            <w:vAlign w:val="center"/>
          </w:tcPr>
          <w:p w14:paraId="41DCADAC">
            <w:pPr>
              <w:spacing w:after="0" w:line="276" w:lineRule="auto"/>
              <w:jc w:val="center"/>
            </w:pPr>
            <w:r>
              <w:rPr>
                <w:rFonts w:ascii="微软雅黑" w:hAnsi="微软雅黑" w:eastAsia="微软雅黑"/>
                <w:b/>
                <w:color w:val="000000"/>
                <w:sz w:val="18"/>
              </w:rPr>
              <w:t>内容</w:t>
            </w:r>
          </w:p>
        </w:tc>
      </w:tr>
      <w:tr w14:paraId="78864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2DB2A00">
            <w:pPr>
              <w:spacing w:after="0" w:line="276" w:lineRule="auto"/>
              <w:jc w:val="center"/>
            </w:pPr>
            <w:r>
              <w:rPr>
                <w:rFonts w:ascii="微软雅黑" w:hAnsi="微软雅黑" w:eastAsia="微软雅黑"/>
                <w:b w:val="0"/>
                <w:color w:val="000000"/>
                <w:sz w:val="18"/>
              </w:rPr>
              <w:t>姓名</w:t>
            </w:r>
          </w:p>
        </w:tc>
        <w:tc>
          <w:tcPr>
            <w:tcW w:w="6520" w:type="dxa"/>
            <w:vAlign w:val="center"/>
          </w:tcPr>
          <w:p w14:paraId="2192296F">
            <w:pPr>
              <w:spacing w:after="0" w:line="276" w:lineRule="auto"/>
              <w:jc w:val="center"/>
            </w:pPr>
            <w:r>
              <w:rPr>
                <w:rFonts w:ascii="微软雅黑" w:hAnsi="微软雅黑" w:eastAsia="微软雅黑"/>
                <w:b w:val="0"/>
                <w:color w:val="000000"/>
                <w:sz w:val="18"/>
              </w:rPr>
              <w:t>景浩伟</w:t>
            </w:r>
          </w:p>
        </w:tc>
      </w:tr>
      <w:tr w14:paraId="701CA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F7F9161">
            <w:pPr>
              <w:spacing w:after="0" w:line="276" w:lineRule="auto"/>
              <w:jc w:val="center"/>
            </w:pPr>
            <w:r>
              <w:rPr>
                <w:rFonts w:ascii="微软雅黑" w:hAnsi="微软雅黑" w:eastAsia="微软雅黑"/>
                <w:b w:val="0"/>
                <w:color w:val="000000"/>
                <w:sz w:val="18"/>
              </w:rPr>
              <w:t>班级</w:t>
            </w:r>
          </w:p>
        </w:tc>
        <w:tc>
          <w:tcPr>
            <w:tcW w:w="6520" w:type="dxa"/>
            <w:vAlign w:val="center"/>
          </w:tcPr>
          <w:p w14:paraId="33E4BDFD">
            <w:pPr>
              <w:spacing w:after="0" w:line="276" w:lineRule="auto"/>
              <w:jc w:val="center"/>
            </w:pPr>
            <w:r>
              <w:rPr>
                <w:rFonts w:ascii="微软雅黑" w:hAnsi="微软雅黑" w:eastAsia="微软雅黑"/>
                <w:b w:val="0"/>
                <w:color w:val="000000"/>
                <w:sz w:val="18"/>
              </w:rPr>
              <w:t>信管2301</w:t>
            </w:r>
          </w:p>
        </w:tc>
      </w:tr>
      <w:tr w14:paraId="6D3DB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BF0EF0F">
            <w:pPr>
              <w:spacing w:after="0" w:line="276" w:lineRule="auto"/>
              <w:jc w:val="center"/>
            </w:pPr>
            <w:r>
              <w:rPr>
                <w:rFonts w:ascii="微软雅黑" w:hAnsi="微软雅黑" w:eastAsia="微软雅黑"/>
                <w:b w:val="0"/>
                <w:color w:val="000000"/>
                <w:sz w:val="18"/>
              </w:rPr>
              <w:t>学号</w:t>
            </w:r>
          </w:p>
        </w:tc>
        <w:tc>
          <w:tcPr>
            <w:tcW w:w="6520" w:type="dxa"/>
            <w:vAlign w:val="center"/>
          </w:tcPr>
          <w:p w14:paraId="66AE2772">
            <w:pPr>
              <w:spacing w:after="0" w:line="276" w:lineRule="auto"/>
              <w:jc w:val="center"/>
            </w:pPr>
            <w:r>
              <w:rPr>
                <w:rFonts w:ascii="微软雅黑" w:hAnsi="微软雅黑" w:eastAsia="微软雅黑"/>
                <w:b w:val="0"/>
                <w:color w:val="000000"/>
                <w:sz w:val="18"/>
              </w:rPr>
              <w:t>202321054012</w:t>
            </w:r>
          </w:p>
        </w:tc>
      </w:tr>
      <w:tr w14:paraId="6D588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02B8373">
            <w:pPr>
              <w:spacing w:after="0" w:line="276" w:lineRule="auto"/>
              <w:jc w:val="center"/>
            </w:pPr>
            <w:r>
              <w:rPr>
                <w:rFonts w:ascii="微软雅黑" w:hAnsi="微软雅黑" w:eastAsia="微软雅黑"/>
                <w:b w:val="0"/>
                <w:color w:val="000000"/>
                <w:sz w:val="18"/>
              </w:rPr>
              <w:t>课程任务</w:t>
            </w:r>
          </w:p>
        </w:tc>
        <w:tc>
          <w:tcPr>
            <w:tcW w:w="6520" w:type="dxa"/>
            <w:vAlign w:val="center"/>
          </w:tcPr>
          <w:p w14:paraId="51CD140D">
            <w:pPr>
              <w:spacing w:after="0" w:line="276" w:lineRule="auto"/>
              <w:jc w:val="left"/>
            </w:pPr>
            <w:r>
              <w:rPr>
                <w:rFonts w:ascii="微软雅黑" w:hAnsi="微软雅黑" w:eastAsia="微软雅黑"/>
                <w:b w:val="0"/>
                <w:color w:val="000000"/>
                <w:sz w:val="18"/>
              </w:rPr>
              <w:t>平时作业汇总、小组案例汇报、个人案例总结</w:t>
            </w:r>
          </w:p>
        </w:tc>
      </w:tr>
      <w:tr w14:paraId="4385E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DFA279F">
            <w:pPr>
              <w:spacing w:after="0" w:line="276" w:lineRule="auto"/>
              <w:jc w:val="center"/>
            </w:pPr>
            <w:r>
              <w:rPr>
                <w:rFonts w:ascii="微软雅黑" w:hAnsi="微软雅黑" w:eastAsia="微软雅黑"/>
                <w:b w:val="0"/>
                <w:color w:val="000000"/>
                <w:sz w:val="18"/>
              </w:rPr>
              <w:t>个人定位</w:t>
            </w:r>
          </w:p>
        </w:tc>
        <w:tc>
          <w:tcPr>
            <w:tcW w:w="6520" w:type="dxa"/>
            <w:vAlign w:val="center"/>
          </w:tcPr>
          <w:p w14:paraId="5BDAFF28">
            <w:pPr>
              <w:spacing w:after="0" w:line="276" w:lineRule="auto"/>
              <w:jc w:val="left"/>
            </w:pPr>
            <w:r>
              <w:rPr>
                <w:rFonts w:ascii="微软雅黑" w:hAnsi="微软雅黑" w:eastAsia="微软雅黑"/>
                <w:b w:val="0"/>
                <w:color w:val="000000"/>
                <w:sz w:val="18"/>
              </w:rPr>
              <w:t>选题统筹、数据与模型流程负责人、报告整合、PPT逻辑和答辩准备</w:t>
            </w:r>
          </w:p>
        </w:tc>
      </w:tr>
      <w:tr w14:paraId="27866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A80042D">
            <w:pPr>
              <w:spacing w:after="0" w:line="276" w:lineRule="auto"/>
              <w:jc w:val="center"/>
            </w:pPr>
            <w:r>
              <w:rPr>
                <w:rFonts w:ascii="微软雅黑" w:hAnsi="微软雅黑" w:eastAsia="微软雅黑"/>
                <w:b w:val="0"/>
                <w:color w:val="000000"/>
                <w:sz w:val="18"/>
              </w:rPr>
              <w:t>材料依据</w:t>
            </w:r>
          </w:p>
        </w:tc>
        <w:tc>
          <w:tcPr>
            <w:tcW w:w="6520" w:type="dxa"/>
            <w:vAlign w:val="center"/>
          </w:tcPr>
          <w:p w14:paraId="483CA879">
            <w:pPr>
              <w:spacing w:after="0" w:line="276" w:lineRule="auto"/>
              <w:jc w:val="left"/>
            </w:pPr>
            <w:r>
              <w:rPr>
                <w:rFonts w:ascii="微软雅黑" w:hAnsi="微软雅黑" w:eastAsia="微软雅黑"/>
                <w:b w:val="0"/>
                <w:color w:val="000000"/>
                <w:sz w:val="18"/>
              </w:rPr>
              <w:t>GitHub项目输出、Eurostat官方数据处理结果、小组课程报告、投稿稿研究框架</w:t>
            </w:r>
          </w:p>
        </w:tc>
      </w:tr>
    </w:tbl>
    <w:p w14:paraId="785C4155"/>
    <w:p w14:paraId="063B7DC7">
      <w:pPr>
        <w:spacing w:before="0" w:after="0" w:line="360" w:lineRule="auto"/>
        <w:ind w:firstLine="420"/>
        <w:jc w:val="left"/>
      </w:pPr>
      <w:r>
        <w:rPr>
          <w:rFonts w:ascii="微软雅黑" w:hAnsi="微软雅黑" w:eastAsia="微软雅黑"/>
          <w:b w:val="0"/>
          <w:color w:val="000000"/>
          <w:sz w:val="21"/>
        </w:rPr>
        <w:t>这份个人总结是对我在结课案例中实际工作的整理，不再只写几句“参与了模型和PPT”。我把自己的工作拆成四条线：第一是把投稿稿中的研究主题改成机器学习课程能检查的案例；第二是把公开数据、清洗代码和模型结果整理成可复核的证据链；第三是把模型输出翻译成企业AI部署偏好的解释；第四是把个人十次作业、小组PPT和最终报告统一到老师要求的提交结构里。</w:t>
      </w:r>
    </w:p>
    <w:p w14:paraId="670D1E0F">
      <w:pPr>
        <w:spacing w:before="0" w:after="0" w:line="360" w:lineRule="auto"/>
        <w:ind w:firstLine="420"/>
        <w:jc w:val="left"/>
      </w:pPr>
      <w:r>
        <w:rPr>
          <w:rFonts w:ascii="微软雅黑" w:hAnsi="微软雅黑" w:eastAsia="微软雅黑"/>
          <w:b w:val="0"/>
          <w:color w:val="000000"/>
          <w:sz w:val="21"/>
        </w:rPr>
        <w:t>我没有把投稿稿直接放进个人总结。投稿稿主要提供理论框架和研究口径，例如TOE框架、TAM模型、效率需求、安全顾虑和部署偏好。个人总结更关注我在课程项目里怎么处理数据、怎么做模型验证、怎么解释结果，以及我在整理过程中踩到的具体问题。</w:t>
      </w:r>
    </w:p>
    <w:p w14:paraId="6956B026">
      <w:pPr>
        <w:keepNext/>
        <w:spacing w:before="240" w:after="120"/>
      </w:pPr>
      <w:r>
        <w:rPr>
          <w:rFonts w:ascii="微软雅黑" w:hAnsi="微软雅黑" w:eastAsia="微软雅黑"/>
          <w:b/>
          <w:color w:val="000000"/>
          <w:sz w:val="32"/>
        </w:rPr>
        <w:t>一、个人作业与课程能力基础</w:t>
      </w:r>
    </w:p>
    <w:p w14:paraId="760F7B1B">
      <w:pPr>
        <w:spacing w:before="0" w:after="0" w:line="360" w:lineRule="auto"/>
        <w:ind w:firstLine="420"/>
        <w:jc w:val="left"/>
      </w:pPr>
      <w:r>
        <w:rPr>
          <w:rFonts w:ascii="微软雅黑" w:hAnsi="微软雅黑" w:eastAsia="微软雅黑"/>
          <w:b w:val="0"/>
          <w:color w:val="000000"/>
          <w:sz w:val="21"/>
        </w:rPr>
        <w:t>我的十次平时作业已经按顺序整理为PDF提交版，并合并成平时作业汇总PDF。前几次作业主要训练数据读取、字段整理、描述统计和可视化；中间几次转向回归、分类、树模型和模型评价；后面的作业逐步接近综合案例，需要同时处理数据来源、特征构造、模型比较和结果解释。</w:t>
      </w:r>
    </w:p>
    <w:p w14:paraId="746A149B">
      <w:pPr>
        <w:spacing w:before="0" w:after="0" w:line="360" w:lineRule="auto"/>
        <w:ind w:firstLine="420"/>
        <w:jc w:val="left"/>
      </w:pPr>
      <w:r>
        <w:rPr>
          <w:rFonts w:ascii="微软雅黑" w:hAnsi="微软雅黑" w:eastAsia="微软雅黑"/>
          <w:b w:val="0"/>
          <w:color w:val="000000"/>
          <w:sz w:val="21"/>
        </w:rPr>
        <w:t>这十次作业对结课案例有直接帮助。比如，回归作业让我在最终报告里保留OLS结果，而不是只写树模型分数；集成学习作业帮助我理解Random Forest和ExtraTrees为什么适合处理非线性关系；聚类作业则被用到企业画像部分。个人作业不是单独摆放的附件，它们能说明我为什么能承担小组案例中的数据和模型部分。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066"/>
      </w:tblGrid>
      <w:tr w14:paraId="18559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D9D9"/>
            <w:vAlign w:val="center"/>
          </w:tcPr>
          <w:p w14:paraId="0F29E96F">
            <w:pPr>
              <w:spacing w:after="0" w:line="276" w:lineRule="auto"/>
              <w:jc w:val="center"/>
            </w:pPr>
            <w:r>
              <w:rPr>
                <w:rFonts w:ascii="微软雅黑" w:hAnsi="微软雅黑" w:eastAsia="微软雅黑"/>
                <w:b/>
                <w:color w:val="000000"/>
                <w:sz w:val="18"/>
              </w:rPr>
              <w:t>课程训练环节</w:t>
            </w:r>
          </w:p>
        </w:tc>
        <w:tc>
          <w:tcPr>
            <w:tcW w:w="6066" w:type="dxa"/>
            <w:shd w:val="clear" w:color="auto" w:fill="D9D9D9"/>
            <w:vAlign w:val="center"/>
          </w:tcPr>
          <w:p w14:paraId="05F24029">
            <w:pPr>
              <w:spacing w:after="0" w:line="276" w:lineRule="auto"/>
              <w:jc w:val="center"/>
            </w:pPr>
            <w:r>
              <w:rPr>
                <w:rFonts w:ascii="微软雅黑" w:hAnsi="微软雅黑" w:eastAsia="微软雅黑"/>
                <w:b/>
                <w:color w:val="000000"/>
                <w:sz w:val="18"/>
              </w:rPr>
              <w:t>在结课案例中的对应工作</w:t>
            </w:r>
          </w:p>
        </w:tc>
      </w:tr>
      <w:tr w14:paraId="37A23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E55158B">
            <w:pPr>
              <w:spacing w:after="0" w:line="276" w:lineRule="auto"/>
              <w:jc w:val="center"/>
            </w:pPr>
            <w:r>
              <w:rPr>
                <w:rFonts w:ascii="微软雅黑" w:hAnsi="微软雅黑" w:eastAsia="微软雅黑"/>
                <w:b w:val="0"/>
                <w:color w:val="000000"/>
                <w:sz w:val="18"/>
              </w:rPr>
              <w:t>数据处理与可视化</w:t>
            </w:r>
          </w:p>
        </w:tc>
        <w:tc>
          <w:tcPr>
            <w:tcW w:w="6066" w:type="dxa"/>
            <w:vAlign w:val="center"/>
          </w:tcPr>
          <w:p w14:paraId="6E47154A">
            <w:pPr>
              <w:spacing w:after="0" w:line="276" w:lineRule="auto"/>
              <w:jc w:val="left"/>
            </w:pPr>
            <w:r>
              <w:rPr>
                <w:rFonts w:ascii="微软雅黑" w:hAnsi="微软雅黑" w:eastAsia="微软雅黑"/>
                <w:b w:val="0"/>
                <w:color w:val="000000"/>
                <w:sz w:val="18"/>
              </w:rPr>
              <w:t>整理Eurostat源数据、构建面板、检查缺失率、生成报告图表。</w:t>
            </w:r>
          </w:p>
        </w:tc>
      </w:tr>
      <w:tr w14:paraId="4C6DC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BE9BF3A">
            <w:pPr>
              <w:spacing w:after="0" w:line="276" w:lineRule="auto"/>
              <w:jc w:val="center"/>
            </w:pPr>
            <w:r>
              <w:rPr>
                <w:rFonts w:ascii="微软雅黑" w:hAnsi="微软雅黑" w:eastAsia="微软雅黑"/>
                <w:b w:val="0"/>
                <w:color w:val="000000"/>
                <w:sz w:val="18"/>
              </w:rPr>
              <w:t>回归分析</w:t>
            </w:r>
          </w:p>
        </w:tc>
        <w:tc>
          <w:tcPr>
            <w:tcW w:w="6066" w:type="dxa"/>
            <w:vAlign w:val="center"/>
          </w:tcPr>
          <w:p w14:paraId="1FB04B2B">
            <w:pPr>
              <w:spacing w:after="0" w:line="276" w:lineRule="auto"/>
              <w:jc w:val="left"/>
            </w:pPr>
            <w:r>
              <w:rPr>
                <w:rFonts w:ascii="微软雅黑" w:hAnsi="微软雅黑" w:eastAsia="微软雅黑"/>
                <w:b w:val="0"/>
                <w:color w:val="000000"/>
                <w:sz w:val="18"/>
              </w:rPr>
              <w:t>使用OLS解释变量方向，并用VIF检查共线性问题。</w:t>
            </w:r>
          </w:p>
        </w:tc>
      </w:tr>
      <w:tr w14:paraId="3DCF1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8D3F6E2">
            <w:pPr>
              <w:spacing w:after="0" w:line="276" w:lineRule="auto"/>
              <w:jc w:val="center"/>
            </w:pPr>
            <w:r>
              <w:rPr>
                <w:rFonts w:ascii="微软雅黑" w:hAnsi="微软雅黑" w:eastAsia="微软雅黑"/>
                <w:b w:val="0"/>
                <w:color w:val="000000"/>
                <w:sz w:val="18"/>
              </w:rPr>
              <w:t>正则化模型</w:t>
            </w:r>
          </w:p>
        </w:tc>
        <w:tc>
          <w:tcPr>
            <w:tcW w:w="6066" w:type="dxa"/>
            <w:vAlign w:val="center"/>
          </w:tcPr>
          <w:p w14:paraId="4E0BD3CE">
            <w:pPr>
              <w:spacing w:after="0" w:line="276" w:lineRule="auto"/>
              <w:jc w:val="left"/>
            </w:pPr>
            <w:r>
              <w:rPr>
                <w:rFonts w:ascii="微软雅黑" w:hAnsi="微软雅黑" w:eastAsia="微软雅黑"/>
                <w:b w:val="0"/>
                <w:color w:val="000000"/>
                <w:sz w:val="18"/>
              </w:rPr>
              <w:t>使用Ridge处理多变量共线性，形成Stage 1的稳定基线。</w:t>
            </w:r>
          </w:p>
        </w:tc>
      </w:tr>
      <w:tr w14:paraId="5DEAE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9A8B39A">
            <w:pPr>
              <w:spacing w:after="0" w:line="276" w:lineRule="auto"/>
              <w:jc w:val="center"/>
            </w:pPr>
            <w:r>
              <w:rPr>
                <w:rFonts w:ascii="微软雅黑" w:hAnsi="微软雅黑" w:eastAsia="微软雅黑"/>
                <w:b w:val="0"/>
                <w:color w:val="000000"/>
                <w:sz w:val="18"/>
              </w:rPr>
              <w:t>树模型与集成学习</w:t>
            </w:r>
          </w:p>
        </w:tc>
        <w:tc>
          <w:tcPr>
            <w:tcW w:w="6066" w:type="dxa"/>
            <w:vAlign w:val="center"/>
          </w:tcPr>
          <w:p w14:paraId="5B16C7FA">
            <w:pPr>
              <w:spacing w:after="0" w:line="276" w:lineRule="auto"/>
              <w:jc w:val="left"/>
            </w:pPr>
            <w:r>
              <w:rPr>
                <w:rFonts w:ascii="微软雅黑" w:hAnsi="微软雅黑" w:eastAsia="微软雅黑"/>
                <w:b w:val="0"/>
                <w:color w:val="000000"/>
                <w:sz w:val="18"/>
              </w:rPr>
              <w:t>使用Random Forest和ExtraTrees比较非线性解释能力。</w:t>
            </w:r>
          </w:p>
        </w:tc>
      </w:tr>
      <w:tr w14:paraId="2DB6A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CD76E25">
            <w:pPr>
              <w:spacing w:after="0" w:line="276" w:lineRule="auto"/>
              <w:jc w:val="center"/>
            </w:pPr>
            <w:r>
              <w:rPr>
                <w:rFonts w:ascii="微软雅黑" w:hAnsi="微软雅黑" w:eastAsia="微软雅黑"/>
                <w:b w:val="0"/>
                <w:color w:val="000000"/>
                <w:sz w:val="18"/>
              </w:rPr>
              <w:t>聚类分析</w:t>
            </w:r>
          </w:p>
        </w:tc>
        <w:tc>
          <w:tcPr>
            <w:tcW w:w="6066" w:type="dxa"/>
            <w:vAlign w:val="center"/>
          </w:tcPr>
          <w:p w14:paraId="64099F11">
            <w:pPr>
              <w:spacing w:after="0" w:line="276" w:lineRule="auto"/>
              <w:jc w:val="left"/>
            </w:pPr>
            <w:r>
              <w:rPr>
                <w:rFonts w:ascii="微软雅黑" w:hAnsi="微软雅黑" w:eastAsia="微软雅黑"/>
                <w:b w:val="0"/>
                <w:color w:val="000000"/>
                <w:sz w:val="18"/>
              </w:rPr>
              <w:t>形成SME企业画像和行业/区域画像，用于部署路径解释。</w:t>
            </w:r>
          </w:p>
        </w:tc>
      </w:tr>
      <w:tr w14:paraId="72835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3D72E9D">
            <w:pPr>
              <w:spacing w:after="0" w:line="276" w:lineRule="auto"/>
              <w:jc w:val="center"/>
            </w:pPr>
            <w:r>
              <w:rPr>
                <w:rFonts w:ascii="微软雅黑" w:hAnsi="微软雅黑" w:eastAsia="微软雅黑"/>
                <w:b w:val="0"/>
                <w:color w:val="000000"/>
                <w:sz w:val="18"/>
              </w:rPr>
              <w:t>模型评价</w:t>
            </w:r>
          </w:p>
        </w:tc>
        <w:tc>
          <w:tcPr>
            <w:tcW w:w="6066" w:type="dxa"/>
            <w:vAlign w:val="center"/>
          </w:tcPr>
          <w:p w14:paraId="1311FE97">
            <w:pPr>
              <w:spacing w:after="0" w:line="276" w:lineRule="auto"/>
              <w:jc w:val="left"/>
            </w:pPr>
            <w:r>
              <w:rPr>
                <w:rFonts w:ascii="微软雅黑" w:hAnsi="微软雅黑" w:eastAsia="微软雅黑"/>
                <w:b w:val="0"/>
                <w:color w:val="000000"/>
                <w:sz w:val="18"/>
              </w:rPr>
              <w:t>使用R²、MAE、GroupKFold和按国家留出验证控制乐观评估。</w:t>
            </w:r>
          </w:p>
        </w:tc>
      </w:tr>
    </w:tbl>
    <w:p w14:paraId="66C9A236"/>
    <w:p w14:paraId="4ACF76E3">
      <w:pPr>
        <w:keepNext/>
        <w:spacing w:before="240" w:after="120"/>
      </w:pPr>
      <w:r>
        <w:rPr>
          <w:rFonts w:ascii="微软雅黑" w:hAnsi="微软雅黑" w:eastAsia="微软雅黑"/>
          <w:b/>
          <w:color w:val="000000"/>
          <w:sz w:val="32"/>
        </w:rPr>
        <w:t>二、我在小组案例中的具体分工</w:t>
      </w:r>
    </w:p>
    <w:p w14:paraId="6225330A">
      <w:pPr>
        <w:spacing w:before="0" w:after="0" w:line="360" w:lineRule="auto"/>
        <w:ind w:firstLine="420"/>
        <w:jc w:val="left"/>
      </w:pPr>
      <w:r>
        <w:rPr>
          <w:rFonts w:ascii="微软雅黑" w:hAnsi="微软雅黑" w:eastAsia="微软雅黑"/>
          <w:b w:val="0"/>
          <w:color w:val="000000"/>
          <w:sz w:val="21"/>
        </w:rPr>
        <w:t>小组案例不是把四个人各写几页再拼起来。我的主要工作是把研究问题、数据、代码、报告和PPT串起来，让老师能沿着同一条线检查：为什么选这个题，数据从哪里来，清洗后剩下什么，模型怎么验证，结论能不能回到中小企业AI流程自动化采纳这个主题。</w:t>
      </w:r>
    </w:p>
    <w:p w14:paraId="640D0E1C">
      <w:pPr>
        <w:spacing w:before="0" w:after="0" w:line="360" w:lineRule="auto"/>
        <w:ind w:firstLine="420"/>
        <w:jc w:val="left"/>
      </w:pPr>
      <w:r>
        <w:rPr>
          <w:rFonts w:ascii="微软雅黑" w:hAnsi="微软雅黑" w:eastAsia="微软雅黑"/>
          <w:b w:val="0"/>
          <w:color w:val="000000"/>
          <w:sz w:val="21"/>
        </w:rPr>
        <w:t>我负责的部分集中在选题统筹、研究框架、数据与模型流程、结果解释和最终材料整合。张新通侧重数据来源和清洗边界，刘子涵侧重模型方法和指标解释，黄陈熙侧重机制解释、部署策略和PPT视觉整理。我需要做的是把这些内容统一成课程展示语言，避免每一部分各说各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4422"/>
        <w:gridCol w:w="2268"/>
      </w:tblGrid>
      <w:tr w14:paraId="0BA48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D9D9"/>
            <w:vAlign w:val="center"/>
          </w:tcPr>
          <w:p w14:paraId="54796586">
            <w:pPr>
              <w:spacing w:after="0" w:line="276" w:lineRule="auto"/>
              <w:jc w:val="center"/>
            </w:pPr>
            <w:r>
              <w:rPr>
                <w:rFonts w:ascii="微软雅黑" w:hAnsi="微软雅黑" w:eastAsia="微软雅黑"/>
                <w:b/>
                <w:color w:val="000000"/>
                <w:sz w:val="18"/>
              </w:rPr>
              <w:t>我的工作项</w:t>
            </w:r>
          </w:p>
        </w:tc>
        <w:tc>
          <w:tcPr>
            <w:tcW w:w="4422" w:type="dxa"/>
            <w:shd w:val="clear" w:color="auto" w:fill="D9D9D9"/>
            <w:vAlign w:val="center"/>
          </w:tcPr>
          <w:p w14:paraId="2B6BDAC4">
            <w:pPr>
              <w:spacing w:after="0" w:line="276" w:lineRule="auto"/>
              <w:jc w:val="center"/>
            </w:pPr>
            <w:r>
              <w:rPr>
                <w:rFonts w:ascii="微软雅黑" w:hAnsi="微软雅黑" w:eastAsia="微软雅黑"/>
                <w:b/>
                <w:color w:val="000000"/>
                <w:sz w:val="18"/>
              </w:rPr>
              <w:t>实际产出</w:t>
            </w:r>
          </w:p>
        </w:tc>
        <w:tc>
          <w:tcPr>
            <w:tcW w:w="2268" w:type="dxa"/>
            <w:shd w:val="clear" w:color="auto" w:fill="D9D9D9"/>
            <w:vAlign w:val="center"/>
          </w:tcPr>
          <w:p w14:paraId="26C74332">
            <w:pPr>
              <w:spacing w:after="0" w:line="276" w:lineRule="auto"/>
              <w:jc w:val="center"/>
            </w:pPr>
            <w:r>
              <w:rPr>
                <w:rFonts w:ascii="微软雅黑" w:hAnsi="微软雅黑" w:eastAsia="微软雅黑"/>
                <w:b/>
                <w:color w:val="000000"/>
                <w:sz w:val="18"/>
              </w:rPr>
              <w:t>质量要求</w:t>
            </w:r>
          </w:p>
        </w:tc>
      </w:tr>
      <w:tr w14:paraId="59375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4F5BF47">
            <w:pPr>
              <w:spacing w:after="0" w:line="276" w:lineRule="auto"/>
              <w:jc w:val="center"/>
            </w:pPr>
            <w:r>
              <w:rPr>
                <w:rFonts w:ascii="微软雅黑" w:hAnsi="微软雅黑" w:eastAsia="微软雅黑"/>
                <w:b w:val="0"/>
                <w:color w:val="000000"/>
                <w:sz w:val="18"/>
              </w:rPr>
              <w:t>选题与框架</w:t>
            </w:r>
          </w:p>
        </w:tc>
        <w:tc>
          <w:tcPr>
            <w:tcW w:w="4422" w:type="dxa"/>
            <w:vAlign w:val="center"/>
          </w:tcPr>
          <w:p w14:paraId="5C8CAF20">
            <w:pPr>
              <w:spacing w:after="0" w:line="276" w:lineRule="auto"/>
              <w:jc w:val="left"/>
            </w:pPr>
            <w:r>
              <w:rPr>
                <w:rFonts w:ascii="微软雅黑" w:hAnsi="微软雅黑" w:eastAsia="微软雅黑"/>
                <w:b w:val="0"/>
                <w:color w:val="000000"/>
                <w:sz w:val="18"/>
              </w:rPr>
              <w:t>把“企业AI部署偏好与治理机制”收窄为“中小企业AI流程自动化采纳机制”。</w:t>
            </w:r>
          </w:p>
        </w:tc>
        <w:tc>
          <w:tcPr>
            <w:tcW w:w="2268" w:type="dxa"/>
            <w:vAlign w:val="center"/>
          </w:tcPr>
          <w:p w14:paraId="5A61CEEE">
            <w:pPr>
              <w:spacing w:after="0" w:line="276" w:lineRule="auto"/>
              <w:jc w:val="center"/>
            </w:pPr>
            <w:r>
              <w:rPr>
                <w:rFonts w:ascii="微软雅黑" w:hAnsi="微软雅黑" w:eastAsia="微软雅黑"/>
                <w:b w:val="0"/>
                <w:color w:val="000000"/>
                <w:sz w:val="18"/>
              </w:rPr>
              <w:t>研究问题要能被数据和模型检验。</w:t>
            </w:r>
          </w:p>
        </w:tc>
      </w:tr>
      <w:tr w14:paraId="375BA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16783FF">
            <w:pPr>
              <w:spacing w:after="0" w:line="276" w:lineRule="auto"/>
              <w:jc w:val="center"/>
            </w:pPr>
            <w:r>
              <w:rPr>
                <w:rFonts w:ascii="微软雅黑" w:hAnsi="微软雅黑" w:eastAsia="微软雅黑"/>
                <w:b w:val="0"/>
                <w:color w:val="000000"/>
                <w:sz w:val="18"/>
              </w:rPr>
              <w:t>数据流程</w:t>
            </w:r>
          </w:p>
        </w:tc>
        <w:tc>
          <w:tcPr>
            <w:tcW w:w="4422" w:type="dxa"/>
            <w:vAlign w:val="center"/>
          </w:tcPr>
          <w:p w14:paraId="734EE574">
            <w:pPr>
              <w:spacing w:after="0" w:line="276" w:lineRule="auto"/>
              <w:jc w:val="left"/>
            </w:pPr>
            <w:r>
              <w:rPr>
                <w:rFonts w:ascii="微软雅黑" w:hAnsi="微软雅黑" w:eastAsia="微软雅黑"/>
                <w:b w:val="0"/>
                <w:color w:val="000000"/>
                <w:sz w:val="18"/>
              </w:rPr>
              <w:t>确认Stage 1和Stage 2口径，整理清洗、筛选、聚合和建模边界。</w:t>
            </w:r>
          </w:p>
        </w:tc>
        <w:tc>
          <w:tcPr>
            <w:tcW w:w="2268" w:type="dxa"/>
            <w:vAlign w:val="center"/>
          </w:tcPr>
          <w:p w14:paraId="563EA4E5">
            <w:pPr>
              <w:spacing w:after="0" w:line="276" w:lineRule="auto"/>
              <w:jc w:val="center"/>
            </w:pPr>
            <w:r>
              <w:rPr>
                <w:rFonts w:ascii="微软雅黑" w:hAnsi="微软雅黑" w:eastAsia="微软雅黑"/>
                <w:b w:val="0"/>
                <w:color w:val="000000"/>
                <w:sz w:val="18"/>
              </w:rPr>
              <w:t>不能把千万级原始行直接说成训练样本。</w:t>
            </w:r>
          </w:p>
        </w:tc>
      </w:tr>
      <w:tr w14:paraId="52353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58FD57D">
            <w:pPr>
              <w:spacing w:after="0" w:line="276" w:lineRule="auto"/>
              <w:jc w:val="center"/>
            </w:pPr>
            <w:r>
              <w:rPr>
                <w:rFonts w:ascii="微软雅黑" w:hAnsi="微软雅黑" w:eastAsia="微软雅黑"/>
                <w:b w:val="0"/>
                <w:color w:val="000000"/>
                <w:sz w:val="18"/>
              </w:rPr>
              <w:t>建模评估</w:t>
            </w:r>
          </w:p>
        </w:tc>
        <w:tc>
          <w:tcPr>
            <w:tcW w:w="4422" w:type="dxa"/>
            <w:vAlign w:val="center"/>
          </w:tcPr>
          <w:p w14:paraId="7C17BA4C">
            <w:pPr>
              <w:spacing w:after="0" w:line="276" w:lineRule="auto"/>
              <w:jc w:val="left"/>
            </w:pPr>
            <w:r>
              <w:rPr>
                <w:rFonts w:ascii="微软雅黑" w:hAnsi="微软雅黑" w:eastAsia="微软雅黑"/>
                <w:b w:val="0"/>
                <w:color w:val="000000"/>
                <w:sz w:val="18"/>
              </w:rPr>
              <w:t>组织OLS、Ridge、Random Forest、ExtraTrees、MLP、KMeans的比较。</w:t>
            </w:r>
          </w:p>
        </w:tc>
        <w:tc>
          <w:tcPr>
            <w:tcW w:w="2268" w:type="dxa"/>
            <w:vAlign w:val="center"/>
          </w:tcPr>
          <w:p w14:paraId="42B0E87E">
            <w:pPr>
              <w:spacing w:after="0" w:line="276" w:lineRule="auto"/>
              <w:jc w:val="left"/>
            </w:pPr>
            <w:r>
              <w:rPr>
                <w:rFonts w:ascii="微软雅黑" w:hAnsi="微软雅黑" w:eastAsia="微软雅黑"/>
                <w:b w:val="0"/>
                <w:color w:val="000000"/>
                <w:sz w:val="18"/>
              </w:rPr>
              <w:t>分清解释模型、预测模型和画像模型的作用。</w:t>
            </w:r>
          </w:p>
        </w:tc>
      </w:tr>
      <w:tr w14:paraId="370FB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8EBCBD8">
            <w:pPr>
              <w:spacing w:after="0" w:line="276" w:lineRule="auto"/>
              <w:jc w:val="center"/>
            </w:pPr>
            <w:r>
              <w:rPr>
                <w:rFonts w:ascii="微软雅黑" w:hAnsi="微软雅黑" w:eastAsia="微软雅黑"/>
                <w:b w:val="0"/>
                <w:color w:val="000000"/>
                <w:sz w:val="18"/>
              </w:rPr>
              <w:t>报告整合</w:t>
            </w:r>
          </w:p>
        </w:tc>
        <w:tc>
          <w:tcPr>
            <w:tcW w:w="4422" w:type="dxa"/>
            <w:vAlign w:val="center"/>
          </w:tcPr>
          <w:p w14:paraId="1FE5899B">
            <w:pPr>
              <w:spacing w:after="0" w:line="276" w:lineRule="auto"/>
              <w:jc w:val="left"/>
            </w:pPr>
            <w:r>
              <w:rPr>
                <w:rFonts w:ascii="微软雅黑" w:hAnsi="微软雅黑" w:eastAsia="微软雅黑"/>
                <w:b w:val="0"/>
                <w:color w:val="000000"/>
                <w:sz w:val="18"/>
              </w:rPr>
              <w:t>把投稿稿框架改写为课程报告和个人总结。</w:t>
            </w:r>
          </w:p>
        </w:tc>
        <w:tc>
          <w:tcPr>
            <w:tcW w:w="2268" w:type="dxa"/>
            <w:vAlign w:val="center"/>
          </w:tcPr>
          <w:p w14:paraId="58059AE6">
            <w:pPr>
              <w:spacing w:after="0" w:line="276" w:lineRule="auto"/>
              <w:jc w:val="center"/>
            </w:pPr>
            <w:r>
              <w:rPr>
                <w:rFonts w:ascii="微软雅黑" w:hAnsi="微软雅黑" w:eastAsia="微软雅黑"/>
                <w:b w:val="0"/>
                <w:color w:val="000000"/>
                <w:sz w:val="18"/>
              </w:rPr>
              <w:t>不写成投稿稿，也不写成文件清单。</w:t>
            </w:r>
          </w:p>
        </w:tc>
      </w:tr>
      <w:tr w14:paraId="20AB2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4DD3476">
            <w:pPr>
              <w:spacing w:after="0" w:line="276" w:lineRule="auto"/>
              <w:jc w:val="center"/>
            </w:pPr>
            <w:r>
              <w:rPr>
                <w:rFonts w:ascii="微软雅黑" w:hAnsi="微软雅黑" w:eastAsia="微软雅黑"/>
                <w:b w:val="0"/>
                <w:color w:val="000000"/>
                <w:sz w:val="18"/>
              </w:rPr>
              <w:t>展示准备</w:t>
            </w:r>
          </w:p>
        </w:tc>
        <w:tc>
          <w:tcPr>
            <w:tcW w:w="4422" w:type="dxa"/>
            <w:vAlign w:val="center"/>
          </w:tcPr>
          <w:p w14:paraId="4D447D4C">
            <w:pPr>
              <w:spacing w:after="0" w:line="276" w:lineRule="auto"/>
              <w:jc w:val="center"/>
            </w:pPr>
            <w:r>
              <w:rPr>
                <w:rFonts w:ascii="微软雅黑" w:hAnsi="微软雅黑" w:eastAsia="微软雅黑"/>
                <w:b w:val="0"/>
                <w:color w:val="000000"/>
                <w:sz w:val="18"/>
              </w:rPr>
              <w:t>梳理18页小组PPT逻辑和证据映射。</w:t>
            </w:r>
          </w:p>
        </w:tc>
        <w:tc>
          <w:tcPr>
            <w:tcW w:w="2268" w:type="dxa"/>
            <w:vAlign w:val="center"/>
          </w:tcPr>
          <w:p w14:paraId="241AA43B">
            <w:pPr>
              <w:spacing w:after="0" w:line="276" w:lineRule="auto"/>
              <w:jc w:val="center"/>
            </w:pPr>
            <w:r>
              <w:rPr>
                <w:rFonts w:ascii="微软雅黑" w:hAnsi="微软雅黑" w:eastAsia="微软雅黑"/>
                <w:b w:val="0"/>
                <w:color w:val="000000"/>
                <w:sz w:val="18"/>
              </w:rPr>
              <w:t>每页PPT有数据、表格或报告依据。</w:t>
            </w:r>
          </w:p>
        </w:tc>
      </w:tr>
    </w:tbl>
    <w:p w14:paraId="36252A4A"/>
    <w:p w14:paraId="6DED8412">
      <w:pPr>
        <w:keepNext/>
        <w:spacing w:before="240" w:after="120"/>
      </w:pPr>
      <w:r>
        <w:rPr>
          <w:rFonts w:ascii="微软雅黑" w:hAnsi="微软雅黑" w:eastAsia="微软雅黑"/>
          <w:b/>
          <w:color w:val="000000"/>
          <w:sz w:val="32"/>
        </w:rPr>
        <w:t>三、数据来源和清洗工作</w:t>
      </w:r>
    </w:p>
    <w:p w14:paraId="7A4BF981">
      <w:pPr>
        <w:spacing w:before="0" w:after="0" w:line="360" w:lineRule="auto"/>
        <w:ind w:firstLine="420"/>
        <w:jc w:val="left"/>
      </w:pPr>
      <w:r>
        <w:rPr>
          <w:rFonts w:ascii="微软雅黑" w:hAnsi="微软雅黑" w:eastAsia="微软雅黑"/>
          <w:b w:val="0"/>
          <w:color w:val="000000"/>
          <w:sz w:val="21"/>
        </w:rPr>
        <w:t>数据工作是这次项目里最容易被低估的部分。Eurostat企业ICT数据来源可靠，但不同数据表的国家、年份、行业、规模和指标编码并不完全一致。我的任务不是简单下载文件，而是把它们整理成能进入机器学习模型的面板数据，并在报告里保留每一步的边界。</w:t>
      </w:r>
    </w:p>
    <w:p w14:paraId="69F78BD3">
      <w:pPr>
        <w:spacing w:before="0" w:after="0" w:line="360" w:lineRule="auto"/>
        <w:ind w:firstLine="420"/>
        <w:jc w:val="left"/>
      </w:pPr>
      <w:r>
        <w:rPr>
          <w:rFonts w:ascii="微软雅黑" w:hAnsi="微软雅黑" w:eastAsia="微软雅黑"/>
          <w:b w:val="0"/>
          <w:color w:val="000000"/>
          <w:sz w:val="21"/>
        </w:rPr>
        <w:t>Stage 1使用企业规模组口径，官方多源数据共有134,367行，经过长表转换、目标变量非空过滤、覆盖率筛选和特征泄漏控制后，形成544行建模样本。Stage 2用于外部验证，17个官方源文件共12,770,332行，先扫描出10,453,354条非空观测，再按指标筛选保留856,880行，最后聚合为5,814行行业/区域建模面板。这个过程说明，项目的核心不是“数据很多”，而是把大体量数据清洗到口径一致、可解释、可复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0"/>
        <w:gridCol w:w="1350"/>
        <w:gridCol w:w="1228"/>
        <w:gridCol w:w="1217"/>
        <w:gridCol w:w="1793"/>
      </w:tblGrid>
      <w:tr w14:paraId="54F10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shd w:val="clear" w:color="auto" w:fill="D9D9D9"/>
            <w:vAlign w:val="center"/>
          </w:tcPr>
          <w:p w14:paraId="28C03E0B">
            <w:pPr>
              <w:spacing w:after="0" w:line="276" w:lineRule="auto"/>
              <w:jc w:val="center"/>
            </w:pPr>
            <w:r>
              <w:rPr>
                <w:rFonts w:ascii="微软雅黑" w:hAnsi="微软雅黑" w:eastAsia="微软雅黑"/>
                <w:b/>
                <w:color w:val="000000"/>
                <w:sz w:val="18"/>
              </w:rPr>
              <w:t>清洗阶段</w:t>
            </w:r>
          </w:p>
        </w:tc>
        <w:tc>
          <w:tcPr>
            <w:tcW w:w="1361" w:type="dxa"/>
            <w:shd w:val="clear" w:color="auto" w:fill="D9D9D9"/>
            <w:vAlign w:val="center"/>
          </w:tcPr>
          <w:p w14:paraId="495E032A">
            <w:pPr>
              <w:spacing w:after="0" w:line="276" w:lineRule="auto"/>
              <w:jc w:val="center"/>
            </w:pPr>
            <w:r>
              <w:rPr>
                <w:rFonts w:ascii="微软雅黑" w:hAnsi="微软雅黑" w:eastAsia="微软雅黑"/>
                <w:b/>
                <w:color w:val="000000"/>
                <w:sz w:val="18"/>
              </w:rPr>
              <w:t>原始或长表行数</w:t>
            </w:r>
          </w:p>
        </w:tc>
        <w:tc>
          <w:tcPr>
            <w:tcW w:w="1247" w:type="dxa"/>
            <w:shd w:val="clear" w:color="auto" w:fill="D9D9D9"/>
            <w:vAlign w:val="center"/>
          </w:tcPr>
          <w:p w14:paraId="37F7E990">
            <w:pPr>
              <w:spacing w:after="0" w:line="276" w:lineRule="auto"/>
              <w:jc w:val="center"/>
            </w:pPr>
            <w:r>
              <w:rPr>
                <w:rFonts w:ascii="微软雅黑" w:hAnsi="微软雅黑" w:eastAsia="微软雅黑"/>
                <w:b/>
                <w:color w:val="000000"/>
                <w:sz w:val="18"/>
              </w:rPr>
              <w:t>面板行数</w:t>
            </w:r>
          </w:p>
        </w:tc>
        <w:tc>
          <w:tcPr>
            <w:tcW w:w="1247" w:type="dxa"/>
            <w:shd w:val="clear" w:color="auto" w:fill="D9D9D9"/>
            <w:vAlign w:val="center"/>
          </w:tcPr>
          <w:p w14:paraId="7DF1656E">
            <w:pPr>
              <w:spacing w:after="0" w:line="276" w:lineRule="auto"/>
              <w:jc w:val="center"/>
            </w:pPr>
            <w:r>
              <w:rPr>
                <w:rFonts w:ascii="微软雅黑" w:hAnsi="微软雅黑" w:eastAsia="微软雅黑"/>
                <w:b/>
                <w:color w:val="000000"/>
                <w:sz w:val="18"/>
              </w:rPr>
              <w:t>建模行数</w:t>
            </w:r>
          </w:p>
        </w:tc>
        <w:tc>
          <w:tcPr>
            <w:tcW w:w="1871" w:type="dxa"/>
            <w:shd w:val="clear" w:color="auto" w:fill="D9D9D9"/>
            <w:vAlign w:val="center"/>
          </w:tcPr>
          <w:p w14:paraId="484CA57D">
            <w:pPr>
              <w:spacing w:after="0" w:line="276" w:lineRule="auto"/>
              <w:jc w:val="center"/>
            </w:pPr>
            <w:r>
              <w:rPr>
                <w:rFonts w:ascii="微软雅黑" w:hAnsi="微软雅黑" w:eastAsia="微软雅黑"/>
                <w:b/>
                <w:color w:val="000000"/>
                <w:sz w:val="18"/>
              </w:rPr>
              <w:t>说明</w:t>
            </w:r>
          </w:p>
        </w:tc>
      </w:tr>
      <w:tr w14:paraId="03425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709BCE24">
            <w:pPr>
              <w:spacing w:after="0" w:line="276" w:lineRule="auto"/>
              <w:jc w:val="left"/>
            </w:pPr>
            <w:r>
              <w:rPr>
                <w:rFonts w:ascii="微软雅黑" w:hAnsi="微软雅黑" w:eastAsia="微软雅黑"/>
                <w:b w:val="0"/>
                <w:color w:val="000000"/>
                <w:sz w:val="18"/>
              </w:rPr>
              <w:t>stage1_official_multisource</w:t>
            </w:r>
          </w:p>
        </w:tc>
        <w:tc>
          <w:tcPr>
            <w:tcW w:w="1361" w:type="dxa"/>
            <w:vAlign w:val="center"/>
          </w:tcPr>
          <w:p w14:paraId="30EAC958">
            <w:pPr>
              <w:spacing w:after="0" w:line="276" w:lineRule="auto"/>
              <w:jc w:val="center"/>
            </w:pPr>
            <w:r>
              <w:rPr>
                <w:rFonts w:ascii="微软雅黑" w:hAnsi="微软雅黑" w:eastAsia="微软雅黑"/>
                <w:b w:val="0"/>
                <w:color w:val="000000"/>
                <w:sz w:val="18"/>
              </w:rPr>
              <w:t>134,367</w:t>
            </w:r>
          </w:p>
        </w:tc>
        <w:tc>
          <w:tcPr>
            <w:tcW w:w="1247" w:type="dxa"/>
            <w:vAlign w:val="center"/>
          </w:tcPr>
          <w:p w14:paraId="17405390">
            <w:pPr>
              <w:spacing w:after="0" w:line="276" w:lineRule="auto"/>
              <w:jc w:val="center"/>
            </w:pPr>
            <w:r>
              <w:rPr>
                <w:rFonts w:ascii="微软雅黑" w:hAnsi="微软雅黑" w:eastAsia="微软雅黑"/>
                <w:b w:val="0"/>
                <w:color w:val="000000"/>
                <w:sz w:val="18"/>
              </w:rPr>
              <w:t>2,323</w:t>
            </w:r>
          </w:p>
        </w:tc>
        <w:tc>
          <w:tcPr>
            <w:tcW w:w="1247" w:type="dxa"/>
            <w:vAlign w:val="center"/>
          </w:tcPr>
          <w:p w14:paraId="55AA5E70">
            <w:pPr>
              <w:spacing w:after="0" w:line="276" w:lineRule="auto"/>
              <w:jc w:val="center"/>
            </w:pPr>
            <w:r>
              <w:rPr>
                <w:rFonts w:ascii="微软雅黑" w:hAnsi="微软雅黑" w:eastAsia="微软雅黑"/>
                <w:b w:val="0"/>
                <w:color w:val="000000"/>
                <w:sz w:val="18"/>
              </w:rPr>
              <w:t>544</w:t>
            </w:r>
          </w:p>
        </w:tc>
        <w:tc>
          <w:tcPr>
            <w:tcW w:w="1871" w:type="dxa"/>
            <w:vAlign w:val="center"/>
          </w:tcPr>
          <w:p w14:paraId="5CA97036">
            <w:pPr>
              <w:spacing w:after="0" w:line="276" w:lineRule="auto"/>
              <w:jc w:val="center"/>
            </w:pPr>
            <w:r>
              <w:rPr>
                <w:rFonts w:ascii="微软雅黑" w:hAnsi="微软雅黑" w:eastAsia="微软雅黑"/>
                <w:b w:val="0"/>
                <w:color w:val="000000"/>
                <w:sz w:val="18"/>
              </w:rPr>
              <w:t>用于课程报告的清洗保留率核对</w:t>
            </w:r>
          </w:p>
        </w:tc>
      </w:tr>
      <w:tr w14:paraId="4FFA2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79C37DA6">
            <w:pPr>
              <w:spacing w:after="0" w:line="276" w:lineRule="auto"/>
              <w:jc w:val="left"/>
            </w:pPr>
            <w:r>
              <w:rPr>
                <w:rFonts w:ascii="微软雅黑" w:hAnsi="微软雅黑" w:eastAsia="微软雅黑"/>
                <w:b w:val="0"/>
                <w:color w:val="000000"/>
                <w:sz w:val="18"/>
              </w:rPr>
              <w:t>stage2_large_sources_profiled</w:t>
            </w:r>
          </w:p>
        </w:tc>
        <w:tc>
          <w:tcPr>
            <w:tcW w:w="1361" w:type="dxa"/>
            <w:vAlign w:val="center"/>
          </w:tcPr>
          <w:p w14:paraId="2705DA54">
            <w:pPr>
              <w:spacing w:after="0" w:line="276" w:lineRule="auto"/>
              <w:jc w:val="center"/>
            </w:pPr>
            <w:r>
              <w:rPr>
                <w:rFonts w:ascii="微软雅黑" w:hAnsi="微软雅黑" w:eastAsia="微软雅黑"/>
                <w:b w:val="0"/>
                <w:color w:val="000000"/>
                <w:sz w:val="18"/>
              </w:rPr>
              <w:t>12,770,332</w:t>
            </w:r>
          </w:p>
        </w:tc>
        <w:tc>
          <w:tcPr>
            <w:tcW w:w="1247" w:type="dxa"/>
            <w:vAlign w:val="center"/>
          </w:tcPr>
          <w:p w14:paraId="7419268C">
            <w:pPr>
              <w:spacing w:after="0" w:line="276" w:lineRule="auto"/>
              <w:jc w:val="center"/>
            </w:pPr>
            <w:r>
              <w:rPr>
                <w:rFonts w:ascii="微软雅黑" w:hAnsi="微软雅黑" w:eastAsia="微软雅黑"/>
                <w:b w:val="0"/>
                <w:color w:val="000000"/>
                <w:sz w:val="18"/>
              </w:rPr>
              <w:t>5,814</w:t>
            </w:r>
          </w:p>
        </w:tc>
        <w:tc>
          <w:tcPr>
            <w:tcW w:w="1247" w:type="dxa"/>
            <w:vAlign w:val="center"/>
          </w:tcPr>
          <w:p w14:paraId="24C339AF">
            <w:pPr>
              <w:spacing w:after="0" w:line="276" w:lineRule="auto"/>
              <w:jc w:val="center"/>
            </w:pPr>
            <w:r>
              <w:rPr>
                <w:rFonts w:ascii="微软雅黑" w:hAnsi="微软雅黑" w:eastAsia="微软雅黑"/>
                <w:b w:val="0"/>
                <w:color w:val="000000"/>
                <w:sz w:val="18"/>
              </w:rPr>
              <w:t>5,814</w:t>
            </w:r>
          </w:p>
        </w:tc>
        <w:tc>
          <w:tcPr>
            <w:tcW w:w="1871" w:type="dxa"/>
            <w:vAlign w:val="center"/>
          </w:tcPr>
          <w:p w14:paraId="7592F413">
            <w:pPr>
              <w:spacing w:after="0" w:line="276" w:lineRule="auto"/>
              <w:jc w:val="center"/>
            </w:pPr>
            <w:r>
              <w:rPr>
                <w:rFonts w:ascii="微软雅黑" w:hAnsi="微软雅黑" w:eastAsia="微软雅黑"/>
                <w:b w:val="0"/>
                <w:color w:val="000000"/>
                <w:sz w:val="18"/>
              </w:rPr>
              <w:t>用于课程报告的清洗保留率核对</w:t>
            </w:r>
          </w:p>
        </w:tc>
      </w:tr>
      <w:tr w14:paraId="0AAF4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vAlign w:val="center"/>
          </w:tcPr>
          <w:p w14:paraId="0DE7F7F7">
            <w:pPr>
              <w:spacing w:after="0" w:line="276" w:lineRule="auto"/>
              <w:jc w:val="left"/>
            </w:pPr>
            <w:r>
              <w:rPr>
                <w:rFonts w:ascii="微软雅黑" w:hAnsi="微软雅黑" w:eastAsia="微软雅黑"/>
                <w:b w:val="0"/>
                <w:color w:val="000000"/>
                <w:sz w:val="18"/>
              </w:rPr>
              <w:t>stage2_indicator_filtering</w:t>
            </w:r>
          </w:p>
        </w:tc>
        <w:tc>
          <w:tcPr>
            <w:tcW w:w="1361" w:type="dxa"/>
            <w:vAlign w:val="center"/>
          </w:tcPr>
          <w:p w14:paraId="6084A6C8">
            <w:pPr>
              <w:spacing w:after="0" w:line="276" w:lineRule="auto"/>
              <w:jc w:val="center"/>
            </w:pPr>
            <w:r>
              <w:rPr>
                <w:rFonts w:ascii="微软雅黑" w:hAnsi="微软雅黑" w:eastAsia="微软雅黑"/>
                <w:b w:val="0"/>
                <w:color w:val="000000"/>
                <w:sz w:val="18"/>
              </w:rPr>
              <w:t>12,341,630</w:t>
            </w:r>
          </w:p>
        </w:tc>
        <w:tc>
          <w:tcPr>
            <w:tcW w:w="1247" w:type="dxa"/>
            <w:vAlign w:val="center"/>
          </w:tcPr>
          <w:p w14:paraId="56C0D326">
            <w:pPr>
              <w:spacing w:after="0" w:line="276" w:lineRule="auto"/>
              <w:jc w:val="center"/>
            </w:pPr>
            <w:r>
              <w:rPr>
                <w:rFonts w:ascii="微软雅黑" w:hAnsi="微软雅黑" w:eastAsia="微软雅黑"/>
                <w:b w:val="0"/>
                <w:color w:val="000000"/>
                <w:sz w:val="18"/>
              </w:rPr>
              <w:t>856,880</w:t>
            </w:r>
          </w:p>
        </w:tc>
        <w:tc>
          <w:tcPr>
            <w:tcW w:w="1247" w:type="dxa"/>
            <w:vAlign w:val="center"/>
          </w:tcPr>
          <w:p w14:paraId="136CE5D1">
            <w:pPr>
              <w:spacing w:after="0" w:line="276" w:lineRule="auto"/>
              <w:jc w:val="center"/>
            </w:pPr>
            <w:r>
              <w:rPr>
                <w:rFonts w:ascii="微软雅黑" w:hAnsi="微软雅黑" w:eastAsia="微软雅黑"/>
                <w:b w:val="0"/>
                <w:color w:val="000000"/>
                <w:sz w:val="18"/>
              </w:rPr>
              <w:t>5,814</w:t>
            </w:r>
          </w:p>
        </w:tc>
        <w:tc>
          <w:tcPr>
            <w:tcW w:w="1871" w:type="dxa"/>
            <w:vAlign w:val="center"/>
          </w:tcPr>
          <w:p w14:paraId="528F8B7F">
            <w:pPr>
              <w:spacing w:after="0" w:line="276" w:lineRule="auto"/>
              <w:jc w:val="center"/>
            </w:pPr>
            <w:r>
              <w:rPr>
                <w:rFonts w:ascii="微软雅黑" w:hAnsi="微软雅黑" w:eastAsia="微软雅黑"/>
                <w:b w:val="0"/>
                <w:color w:val="000000"/>
                <w:sz w:val="18"/>
              </w:rPr>
              <w:t>用于课程报告的清洗保留率核对</w:t>
            </w:r>
          </w:p>
        </w:tc>
      </w:tr>
    </w:tbl>
    <w:p w14:paraId="63F37D08"/>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6"/>
        <w:gridCol w:w="911"/>
        <w:gridCol w:w="798"/>
        <w:gridCol w:w="911"/>
        <w:gridCol w:w="923"/>
        <w:gridCol w:w="1065"/>
        <w:gridCol w:w="1864"/>
      </w:tblGrid>
      <w:tr w14:paraId="35479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D9D9D9"/>
            <w:vAlign w:val="center"/>
          </w:tcPr>
          <w:p w14:paraId="17B50893">
            <w:pPr>
              <w:spacing w:after="0" w:line="276" w:lineRule="auto"/>
              <w:jc w:val="center"/>
            </w:pPr>
            <w:r>
              <w:rPr>
                <w:rFonts w:ascii="微软雅黑" w:hAnsi="微软雅黑" w:eastAsia="微软雅黑"/>
                <w:b/>
                <w:color w:val="000000"/>
                <w:sz w:val="18"/>
              </w:rPr>
              <w:t>数据层</w:t>
            </w:r>
          </w:p>
        </w:tc>
        <w:tc>
          <w:tcPr>
            <w:tcW w:w="964" w:type="dxa"/>
            <w:shd w:val="clear" w:color="auto" w:fill="D9D9D9"/>
            <w:vAlign w:val="center"/>
          </w:tcPr>
          <w:p w14:paraId="467E9947">
            <w:pPr>
              <w:spacing w:after="0" w:line="276" w:lineRule="auto"/>
              <w:jc w:val="center"/>
            </w:pPr>
            <w:r>
              <w:rPr>
                <w:rFonts w:ascii="微软雅黑" w:hAnsi="微软雅黑" w:eastAsia="微软雅黑"/>
                <w:b/>
                <w:color w:val="000000"/>
                <w:sz w:val="18"/>
              </w:rPr>
              <w:t>建模行数</w:t>
            </w:r>
          </w:p>
        </w:tc>
        <w:tc>
          <w:tcPr>
            <w:tcW w:w="850" w:type="dxa"/>
            <w:shd w:val="clear" w:color="auto" w:fill="D9D9D9"/>
            <w:vAlign w:val="center"/>
          </w:tcPr>
          <w:p w14:paraId="186F4BD5">
            <w:pPr>
              <w:spacing w:after="0" w:line="276" w:lineRule="auto"/>
              <w:jc w:val="center"/>
            </w:pPr>
            <w:r>
              <w:rPr>
                <w:rFonts w:ascii="微软雅黑" w:hAnsi="微软雅黑" w:eastAsia="微软雅黑"/>
                <w:b/>
                <w:color w:val="000000"/>
                <w:sz w:val="18"/>
              </w:rPr>
              <w:t>列数</w:t>
            </w:r>
          </w:p>
        </w:tc>
        <w:tc>
          <w:tcPr>
            <w:tcW w:w="964" w:type="dxa"/>
            <w:shd w:val="clear" w:color="auto" w:fill="D9D9D9"/>
            <w:vAlign w:val="center"/>
          </w:tcPr>
          <w:p w14:paraId="2BD0C2CE">
            <w:pPr>
              <w:spacing w:after="0" w:line="276" w:lineRule="auto"/>
              <w:jc w:val="center"/>
            </w:pPr>
            <w:r>
              <w:rPr>
                <w:rFonts w:ascii="微软雅黑" w:hAnsi="微软雅黑" w:eastAsia="微软雅黑"/>
                <w:b/>
                <w:color w:val="000000"/>
                <w:sz w:val="18"/>
              </w:rPr>
              <w:t>目标非空</w:t>
            </w:r>
          </w:p>
        </w:tc>
        <w:tc>
          <w:tcPr>
            <w:tcW w:w="1020" w:type="dxa"/>
            <w:shd w:val="clear" w:color="auto" w:fill="D9D9D9"/>
            <w:vAlign w:val="center"/>
          </w:tcPr>
          <w:p w14:paraId="2393370B">
            <w:pPr>
              <w:spacing w:after="0" w:line="276" w:lineRule="auto"/>
              <w:jc w:val="center"/>
            </w:pPr>
            <w:r>
              <w:rPr>
                <w:rFonts w:ascii="微软雅黑" w:hAnsi="微软雅黑" w:eastAsia="微软雅黑"/>
                <w:b/>
                <w:color w:val="000000"/>
                <w:sz w:val="18"/>
              </w:rPr>
              <w:t>国家/地区</w:t>
            </w:r>
          </w:p>
        </w:tc>
        <w:tc>
          <w:tcPr>
            <w:tcW w:w="1134" w:type="dxa"/>
            <w:shd w:val="clear" w:color="auto" w:fill="D9D9D9"/>
            <w:vAlign w:val="center"/>
          </w:tcPr>
          <w:p w14:paraId="1E5D6D13">
            <w:pPr>
              <w:spacing w:after="0" w:line="276" w:lineRule="auto"/>
              <w:jc w:val="center"/>
            </w:pPr>
            <w:r>
              <w:rPr>
                <w:rFonts w:ascii="微软雅黑" w:hAnsi="微软雅黑" w:eastAsia="微软雅黑"/>
                <w:b/>
                <w:color w:val="000000"/>
                <w:sz w:val="18"/>
              </w:rPr>
              <w:t>年份</w:t>
            </w:r>
          </w:p>
        </w:tc>
        <w:tc>
          <w:tcPr>
            <w:tcW w:w="2098" w:type="dxa"/>
            <w:shd w:val="clear" w:color="auto" w:fill="D9D9D9"/>
            <w:vAlign w:val="center"/>
          </w:tcPr>
          <w:p w14:paraId="6408C6B1">
            <w:pPr>
              <w:spacing w:after="0" w:line="276" w:lineRule="auto"/>
              <w:jc w:val="center"/>
            </w:pPr>
            <w:r>
              <w:rPr>
                <w:rFonts w:ascii="微软雅黑" w:hAnsi="微软雅黑" w:eastAsia="微软雅黑"/>
                <w:b/>
                <w:color w:val="000000"/>
                <w:sz w:val="18"/>
              </w:rPr>
              <w:t>用途边界</w:t>
            </w:r>
          </w:p>
        </w:tc>
      </w:tr>
      <w:tr w14:paraId="342D2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795028F2">
            <w:pPr>
              <w:spacing w:after="0" w:line="276" w:lineRule="auto"/>
              <w:jc w:val="center"/>
            </w:pPr>
            <w:r>
              <w:rPr>
                <w:rFonts w:ascii="微软雅黑" w:hAnsi="微软雅黑" w:eastAsia="微软雅黑"/>
                <w:b w:val="0"/>
                <w:color w:val="000000"/>
                <w:sz w:val="18"/>
              </w:rPr>
              <w:t>Stage 1 SME规模组</w:t>
            </w:r>
          </w:p>
        </w:tc>
        <w:tc>
          <w:tcPr>
            <w:tcW w:w="964" w:type="dxa"/>
            <w:vAlign w:val="center"/>
          </w:tcPr>
          <w:p w14:paraId="317DF1E8">
            <w:pPr>
              <w:spacing w:after="0" w:line="276" w:lineRule="auto"/>
              <w:jc w:val="center"/>
            </w:pPr>
            <w:r>
              <w:rPr>
                <w:rFonts w:ascii="微软雅黑" w:hAnsi="微软雅黑" w:eastAsia="微软雅黑"/>
                <w:b w:val="0"/>
                <w:color w:val="000000"/>
                <w:sz w:val="18"/>
              </w:rPr>
              <w:t>544</w:t>
            </w:r>
          </w:p>
        </w:tc>
        <w:tc>
          <w:tcPr>
            <w:tcW w:w="850" w:type="dxa"/>
            <w:vAlign w:val="center"/>
          </w:tcPr>
          <w:p w14:paraId="000B957B">
            <w:pPr>
              <w:spacing w:after="0" w:line="276" w:lineRule="auto"/>
              <w:jc w:val="center"/>
            </w:pPr>
            <w:r>
              <w:rPr>
                <w:rFonts w:ascii="微软雅黑" w:hAnsi="微软雅黑" w:eastAsia="微软雅黑"/>
                <w:b w:val="0"/>
                <w:color w:val="000000"/>
                <w:sz w:val="18"/>
              </w:rPr>
              <w:t>100</w:t>
            </w:r>
          </w:p>
        </w:tc>
        <w:tc>
          <w:tcPr>
            <w:tcW w:w="964" w:type="dxa"/>
            <w:vAlign w:val="center"/>
          </w:tcPr>
          <w:p w14:paraId="733DEAA0">
            <w:pPr>
              <w:spacing w:after="0" w:line="276" w:lineRule="auto"/>
              <w:jc w:val="center"/>
            </w:pPr>
            <w:r>
              <w:rPr>
                <w:rFonts w:ascii="微软雅黑" w:hAnsi="微软雅黑" w:eastAsia="微软雅黑"/>
                <w:b w:val="0"/>
                <w:color w:val="000000"/>
                <w:sz w:val="18"/>
              </w:rPr>
              <w:t>544</w:t>
            </w:r>
          </w:p>
        </w:tc>
        <w:tc>
          <w:tcPr>
            <w:tcW w:w="1020" w:type="dxa"/>
            <w:vAlign w:val="center"/>
          </w:tcPr>
          <w:p w14:paraId="6F687793">
            <w:pPr>
              <w:spacing w:after="0" w:line="276" w:lineRule="auto"/>
              <w:jc w:val="center"/>
            </w:pPr>
            <w:r>
              <w:rPr>
                <w:rFonts w:ascii="微软雅黑" w:hAnsi="微软雅黑" w:eastAsia="微软雅黑"/>
                <w:b w:val="0"/>
                <w:color w:val="000000"/>
                <w:sz w:val="18"/>
              </w:rPr>
              <w:t>36</w:t>
            </w:r>
          </w:p>
        </w:tc>
        <w:tc>
          <w:tcPr>
            <w:tcW w:w="1134" w:type="dxa"/>
            <w:vAlign w:val="center"/>
          </w:tcPr>
          <w:p w14:paraId="5FE994DC">
            <w:pPr>
              <w:spacing w:after="0" w:line="276" w:lineRule="auto"/>
              <w:jc w:val="center"/>
            </w:pPr>
            <w:r>
              <w:rPr>
                <w:rFonts w:ascii="微软雅黑" w:hAnsi="微软雅黑" w:eastAsia="微软雅黑"/>
                <w:b w:val="0"/>
                <w:color w:val="000000"/>
                <w:sz w:val="18"/>
              </w:rPr>
              <w:t>2021-2025</w:t>
            </w:r>
          </w:p>
        </w:tc>
        <w:tc>
          <w:tcPr>
            <w:tcW w:w="2098" w:type="dxa"/>
            <w:vAlign w:val="center"/>
          </w:tcPr>
          <w:p w14:paraId="7B929058">
            <w:pPr>
              <w:spacing w:after="0" w:line="276" w:lineRule="auto"/>
              <w:jc w:val="center"/>
            </w:pPr>
            <w:r>
              <w:rPr>
                <w:rFonts w:ascii="微软雅黑" w:hAnsi="微软雅黑" w:eastAsia="微软雅黑"/>
                <w:b w:val="0"/>
                <w:color w:val="000000"/>
                <w:sz w:val="18"/>
              </w:rPr>
              <w:t>SME机制解释</w:t>
            </w:r>
          </w:p>
        </w:tc>
      </w:tr>
      <w:tr w14:paraId="6AFED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5D43B27A">
            <w:pPr>
              <w:spacing w:after="0" w:line="276" w:lineRule="auto"/>
              <w:jc w:val="center"/>
            </w:pPr>
            <w:r>
              <w:rPr>
                <w:rFonts w:ascii="微软雅黑" w:hAnsi="微软雅黑" w:eastAsia="微软雅黑"/>
                <w:b w:val="0"/>
                <w:color w:val="000000"/>
                <w:sz w:val="18"/>
              </w:rPr>
              <w:t>Stage 2 行业/区域GE10</w:t>
            </w:r>
          </w:p>
        </w:tc>
        <w:tc>
          <w:tcPr>
            <w:tcW w:w="964" w:type="dxa"/>
            <w:vAlign w:val="center"/>
          </w:tcPr>
          <w:p w14:paraId="0730DD72">
            <w:pPr>
              <w:spacing w:after="0" w:line="276" w:lineRule="auto"/>
              <w:jc w:val="center"/>
            </w:pPr>
            <w:r>
              <w:rPr>
                <w:rFonts w:ascii="微软雅黑" w:hAnsi="微软雅黑" w:eastAsia="微软雅黑"/>
                <w:b w:val="0"/>
                <w:color w:val="000000"/>
                <w:sz w:val="18"/>
              </w:rPr>
              <w:t>5814</w:t>
            </w:r>
          </w:p>
        </w:tc>
        <w:tc>
          <w:tcPr>
            <w:tcW w:w="850" w:type="dxa"/>
            <w:vAlign w:val="center"/>
          </w:tcPr>
          <w:p w14:paraId="22543989">
            <w:pPr>
              <w:spacing w:after="0" w:line="276" w:lineRule="auto"/>
              <w:jc w:val="center"/>
            </w:pPr>
            <w:r>
              <w:rPr>
                <w:rFonts w:ascii="微软雅黑" w:hAnsi="微软雅黑" w:eastAsia="微软雅黑"/>
                <w:b w:val="0"/>
                <w:color w:val="000000"/>
                <w:sz w:val="18"/>
              </w:rPr>
              <w:t>80</w:t>
            </w:r>
          </w:p>
        </w:tc>
        <w:tc>
          <w:tcPr>
            <w:tcW w:w="964" w:type="dxa"/>
            <w:vAlign w:val="center"/>
          </w:tcPr>
          <w:p w14:paraId="4466300A">
            <w:pPr>
              <w:spacing w:after="0" w:line="276" w:lineRule="auto"/>
              <w:jc w:val="center"/>
            </w:pPr>
            <w:r>
              <w:rPr>
                <w:rFonts w:ascii="微软雅黑" w:hAnsi="微软雅黑" w:eastAsia="微软雅黑"/>
                <w:b w:val="0"/>
                <w:color w:val="000000"/>
                <w:sz w:val="18"/>
              </w:rPr>
              <w:t>5814</w:t>
            </w:r>
          </w:p>
        </w:tc>
        <w:tc>
          <w:tcPr>
            <w:tcW w:w="1020" w:type="dxa"/>
            <w:vAlign w:val="center"/>
          </w:tcPr>
          <w:p w14:paraId="5B1B150B">
            <w:pPr>
              <w:spacing w:after="0" w:line="276" w:lineRule="auto"/>
              <w:jc w:val="center"/>
            </w:pPr>
            <w:r>
              <w:rPr>
                <w:rFonts w:ascii="微软雅黑" w:hAnsi="微软雅黑" w:eastAsia="微软雅黑"/>
                <w:b w:val="0"/>
                <w:color w:val="000000"/>
                <w:sz w:val="18"/>
              </w:rPr>
              <w:t>36</w:t>
            </w:r>
          </w:p>
        </w:tc>
        <w:tc>
          <w:tcPr>
            <w:tcW w:w="1134" w:type="dxa"/>
            <w:vAlign w:val="center"/>
          </w:tcPr>
          <w:p w14:paraId="53F461D1">
            <w:pPr>
              <w:spacing w:after="0" w:line="276" w:lineRule="auto"/>
              <w:jc w:val="center"/>
            </w:pPr>
            <w:r>
              <w:rPr>
                <w:rFonts w:ascii="微软雅黑" w:hAnsi="微软雅黑" w:eastAsia="微软雅黑"/>
                <w:b w:val="0"/>
                <w:color w:val="000000"/>
                <w:sz w:val="18"/>
              </w:rPr>
              <w:t>2021-2025</w:t>
            </w:r>
          </w:p>
        </w:tc>
        <w:tc>
          <w:tcPr>
            <w:tcW w:w="2098" w:type="dxa"/>
            <w:vAlign w:val="center"/>
          </w:tcPr>
          <w:p w14:paraId="5CA03172">
            <w:pPr>
              <w:spacing w:after="0" w:line="276" w:lineRule="auto"/>
              <w:jc w:val="center"/>
            </w:pPr>
            <w:r>
              <w:rPr>
                <w:rFonts w:ascii="微软雅黑" w:hAnsi="微软雅黑" w:eastAsia="微软雅黑"/>
                <w:b w:val="0"/>
                <w:color w:val="000000"/>
                <w:sz w:val="18"/>
              </w:rPr>
              <w:t>外部验证，不写成SME-only</w:t>
            </w:r>
          </w:p>
        </w:tc>
      </w:tr>
    </w:tbl>
    <w:p w14:paraId="4DB13068"/>
    <w:p w14:paraId="54647C0A">
      <w:pPr>
        <w:jc w:val="center"/>
      </w:pPr>
      <w:r>
        <w:drawing>
          <wp:inline distT="0" distB="0" distL="114300" distR="114300">
            <wp:extent cx="4751705" cy="3288030"/>
            <wp:effectExtent l="0" t="0" r="1079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752000" cy="3288322"/>
                    </a:xfrm>
                    <a:prstGeom prst="rect">
                      <a:avLst/>
                    </a:prstGeom>
                  </pic:spPr>
                </pic:pic>
              </a:graphicData>
            </a:graphic>
          </wp:inline>
        </w:drawing>
      </w:r>
    </w:p>
    <w:p w14:paraId="5F7B72F3">
      <w:pPr>
        <w:spacing w:after="60"/>
        <w:jc w:val="center"/>
      </w:pPr>
      <w:r>
        <w:rPr>
          <w:rFonts w:ascii="微软雅黑" w:hAnsi="微软雅黑" w:eastAsia="微软雅黑"/>
          <w:b w:val="0"/>
          <w:color w:val="000000"/>
          <w:sz w:val="18"/>
        </w:rPr>
        <w:t>图1 数据清洗、筛选与建模流程</w:t>
      </w:r>
    </w:p>
    <w:p w14:paraId="1F17E8EF">
      <w:pPr>
        <w:keepNext/>
        <w:spacing w:before="240" w:after="120"/>
      </w:pPr>
      <w:r>
        <w:rPr>
          <w:rFonts w:ascii="微软雅黑" w:hAnsi="微软雅黑" w:eastAsia="微软雅黑"/>
          <w:b/>
          <w:color w:val="000000"/>
          <w:sz w:val="32"/>
        </w:rPr>
        <w:t>四、变量体系和特征工程</w:t>
      </w:r>
    </w:p>
    <w:p w14:paraId="3B92CF5A">
      <w:pPr>
        <w:spacing w:before="0" w:after="0" w:line="360" w:lineRule="auto"/>
        <w:ind w:firstLine="420"/>
        <w:jc w:val="left"/>
      </w:pPr>
      <w:r>
        <w:rPr>
          <w:rFonts w:ascii="微软雅黑" w:hAnsi="微软雅黑" w:eastAsia="微软雅黑"/>
          <w:b w:val="0"/>
          <w:color w:val="000000"/>
          <w:sz w:val="21"/>
        </w:rPr>
        <w:t>变量设计时，我主要参考投稿稿中的TOE框架和TAM模型，但没有照搬论文写法。课程项目更需要把管理概念转成模型变量。技术维度对应AI能力、云服务能力和数据成熟度；组织维度对应治理成熟度、ICT人才和培训；环境维度对应国家、年份、行业和规模差异。TAM中的感知有用性被转成效率需求，感知易用性被转成部署准备度。</w:t>
      </w:r>
    </w:p>
    <w:p w14:paraId="44EC7937">
      <w:pPr>
        <w:spacing w:before="0" w:after="0" w:line="360" w:lineRule="auto"/>
        <w:ind w:firstLine="420"/>
        <w:jc w:val="left"/>
      </w:pPr>
      <w:r>
        <w:rPr>
          <w:rFonts w:ascii="微软雅黑" w:hAnsi="微软雅黑" w:eastAsia="微软雅黑"/>
          <w:b w:val="0"/>
          <w:color w:val="000000"/>
          <w:sz w:val="21"/>
        </w:rPr>
        <w:t>因变量是E_AI_TPA，即企业使用AI进行工作流自动化或辅助决策的比例。自变量包括机器学习能力、自然语言生成、云开发能力、云数据分析、安全顾虑、部署准备度、数据成熟度、数字基础和治理成熟度。这里有一个重要处理：我在整理模型说明时要求剔除目标变量及其直接派生字段，避免模型用相近指标“偷看答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877"/>
        <w:gridCol w:w="3955"/>
      </w:tblGrid>
      <w:tr w14:paraId="04CB0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D9D9"/>
            <w:vAlign w:val="center"/>
          </w:tcPr>
          <w:p w14:paraId="64B36D6E">
            <w:pPr>
              <w:spacing w:after="0" w:line="276" w:lineRule="auto"/>
              <w:jc w:val="center"/>
            </w:pPr>
            <w:r>
              <w:rPr>
                <w:rFonts w:ascii="微软雅黑" w:hAnsi="微软雅黑" w:eastAsia="微软雅黑"/>
                <w:b/>
                <w:color w:val="000000"/>
                <w:sz w:val="18"/>
              </w:rPr>
              <w:t>变量组</w:t>
            </w:r>
          </w:p>
        </w:tc>
        <w:tc>
          <w:tcPr>
            <w:tcW w:w="2721" w:type="dxa"/>
            <w:shd w:val="clear" w:color="auto" w:fill="D9D9D9"/>
            <w:vAlign w:val="center"/>
          </w:tcPr>
          <w:p w14:paraId="3FCF3C7F">
            <w:pPr>
              <w:spacing w:after="0" w:line="276" w:lineRule="auto"/>
              <w:jc w:val="center"/>
            </w:pPr>
            <w:r>
              <w:rPr>
                <w:rFonts w:ascii="微软雅黑" w:hAnsi="微软雅黑" w:eastAsia="微软雅黑"/>
                <w:b/>
                <w:color w:val="000000"/>
                <w:sz w:val="18"/>
              </w:rPr>
              <w:t>代表字段</w:t>
            </w:r>
          </w:p>
        </w:tc>
        <w:tc>
          <w:tcPr>
            <w:tcW w:w="3969" w:type="dxa"/>
            <w:shd w:val="clear" w:color="auto" w:fill="D9D9D9"/>
            <w:vAlign w:val="center"/>
          </w:tcPr>
          <w:p w14:paraId="18FCE3CE">
            <w:pPr>
              <w:spacing w:after="0" w:line="276" w:lineRule="auto"/>
              <w:jc w:val="center"/>
            </w:pPr>
            <w:r>
              <w:rPr>
                <w:rFonts w:ascii="微软雅黑" w:hAnsi="微软雅黑" w:eastAsia="微软雅黑"/>
                <w:b/>
                <w:color w:val="000000"/>
                <w:sz w:val="18"/>
              </w:rPr>
              <w:t>我在报告中的解释方式</w:t>
            </w:r>
          </w:p>
        </w:tc>
      </w:tr>
      <w:tr w14:paraId="33967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FE5B034">
            <w:pPr>
              <w:spacing w:after="0" w:line="276" w:lineRule="auto"/>
              <w:jc w:val="center"/>
            </w:pPr>
            <w:r>
              <w:rPr>
                <w:rFonts w:ascii="微软雅黑" w:hAnsi="微软雅黑" w:eastAsia="微软雅黑"/>
                <w:b w:val="0"/>
                <w:color w:val="000000"/>
                <w:sz w:val="18"/>
              </w:rPr>
              <w:t>因变量</w:t>
            </w:r>
          </w:p>
        </w:tc>
        <w:tc>
          <w:tcPr>
            <w:tcW w:w="2721" w:type="dxa"/>
            <w:vAlign w:val="center"/>
          </w:tcPr>
          <w:p w14:paraId="6C9411DD">
            <w:pPr>
              <w:spacing w:after="0" w:line="276" w:lineRule="auto"/>
              <w:jc w:val="center"/>
            </w:pPr>
            <w:r>
              <w:rPr>
                <w:rFonts w:ascii="微软雅黑" w:hAnsi="微软雅黑" w:eastAsia="微软雅黑"/>
                <w:b w:val="0"/>
                <w:color w:val="000000"/>
                <w:sz w:val="18"/>
              </w:rPr>
              <w:t>E_AI_TPA</w:t>
            </w:r>
          </w:p>
        </w:tc>
        <w:tc>
          <w:tcPr>
            <w:tcW w:w="3969" w:type="dxa"/>
            <w:vAlign w:val="center"/>
          </w:tcPr>
          <w:p w14:paraId="7D8A49D3">
            <w:pPr>
              <w:spacing w:after="0" w:line="276" w:lineRule="auto"/>
              <w:jc w:val="left"/>
            </w:pPr>
            <w:r>
              <w:rPr>
                <w:rFonts w:ascii="微软雅黑" w:hAnsi="微软雅黑" w:eastAsia="微软雅黑"/>
                <w:b w:val="0"/>
                <w:color w:val="000000"/>
                <w:sz w:val="18"/>
              </w:rPr>
              <w:t>企业是否把AI用于流程自动化和辅助决策。</w:t>
            </w:r>
          </w:p>
        </w:tc>
      </w:tr>
      <w:tr w14:paraId="59363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AEC5A00">
            <w:pPr>
              <w:spacing w:after="0" w:line="276" w:lineRule="auto"/>
              <w:jc w:val="center"/>
            </w:pPr>
            <w:r>
              <w:rPr>
                <w:rFonts w:ascii="微软雅黑" w:hAnsi="微软雅黑" w:eastAsia="微软雅黑"/>
                <w:b w:val="0"/>
                <w:color w:val="000000"/>
                <w:sz w:val="18"/>
              </w:rPr>
              <w:t>AI能力</w:t>
            </w:r>
          </w:p>
        </w:tc>
        <w:tc>
          <w:tcPr>
            <w:tcW w:w="2721" w:type="dxa"/>
            <w:vAlign w:val="center"/>
          </w:tcPr>
          <w:p w14:paraId="670FE5C0">
            <w:pPr>
              <w:spacing w:after="0" w:line="276" w:lineRule="auto"/>
              <w:jc w:val="left"/>
            </w:pPr>
            <w:r>
              <w:rPr>
                <w:rFonts w:ascii="微软雅黑" w:hAnsi="微软雅黑" w:eastAsia="微软雅黑"/>
                <w:b w:val="0"/>
                <w:color w:val="000000"/>
                <w:sz w:val="18"/>
              </w:rPr>
              <w:t>E_AI_TML、E_AI_TNLG、E_AI_CC</w:t>
            </w:r>
          </w:p>
        </w:tc>
        <w:tc>
          <w:tcPr>
            <w:tcW w:w="3969" w:type="dxa"/>
            <w:vAlign w:val="center"/>
          </w:tcPr>
          <w:p w14:paraId="6244FA6D">
            <w:pPr>
              <w:spacing w:after="0" w:line="276" w:lineRule="auto"/>
              <w:jc w:val="left"/>
            </w:pPr>
            <w:r>
              <w:rPr>
                <w:rFonts w:ascii="微软雅黑" w:hAnsi="微软雅黑" w:eastAsia="微软雅黑"/>
                <w:b w:val="0"/>
                <w:color w:val="000000"/>
                <w:sz w:val="18"/>
              </w:rPr>
              <w:t>企业是否具备机器学习、文本生成和AI相关应用基础。</w:t>
            </w:r>
          </w:p>
        </w:tc>
      </w:tr>
      <w:tr w14:paraId="69168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CB32F9F">
            <w:pPr>
              <w:spacing w:after="0" w:line="276" w:lineRule="auto"/>
              <w:jc w:val="center"/>
            </w:pPr>
            <w:r>
              <w:rPr>
                <w:rFonts w:ascii="微软雅黑" w:hAnsi="微软雅黑" w:eastAsia="微软雅黑"/>
                <w:b w:val="0"/>
                <w:color w:val="000000"/>
                <w:sz w:val="18"/>
              </w:rPr>
              <w:t>部署准备度</w:t>
            </w:r>
          </w:p>
        </w:tc>
        <w:tc>
          <w:tcPr>
            <w:tcW w:w="2721" w:type="dxa"/>
            <w:vAlign w:val="center"/>
          </w:tcPr>
          <w:p w14:paraId="008D9C9D">
            <w:pPr>
              <w:spacing w:after="0" w:line="276" w:lineRule="auto"/>
              <w:jc w:val="left"/>
            </w:pPr>
            <w:r>
              <w:rPr>
                <w:rFonts w:ascii="微软雅黑" w:hAnsi="微软雅黑" w:eastAsia="微软雅黑"/>
                <w:b w:val="0"/>
                <w:color w:val="000000"/>
                <w:sz w:val="18"/>
              </w:rPr>
              <w:t>deployment_readiness_index、E_CC_PDEV、E_CC_DA</w:t>
            </w:r>
          </w:p>
        </w:tc>
        <w:tc>
          <w:tcPr>
            <w:tcW w:w="3969" w:type="dxa"/>
            <w:vAlign w:val="center"/>
          </w:tcPr>
          <w:p w14:paraId="3EE00F8D">
            <w:pPr>
              <w:spacing w:after="0" w:line="276" w:lineRule="auto"/>
              <w:jc w:val="left"/>
            </w:pPr>
            <w:r>
              <w:rPr>
                <w:rFonts w:ascii="微软雅黑" w:hAnsi="微软雅黑" w:eastAsia="微软雅黑"/>
                <w:b w:val="0"/>
                <w:color w:val="000000"/>
                <w:sz w:val="18"/>
              </w:rPr>
              <w:t>企业是否具备云开发、数据分析和流程接入能力。</w:t>
            </w:r>
          </w:p>
        </w:tc>
      </w:tr>
      <w:tr w14:paraId="78841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6DB4D94">
            <w:pPr>
              <w:spacing w:after="0" w:line="276" w:lineRule="auto"/>
              <w:jc w:val="center"/>
            </w:pPr>
            <w:r>
              <w:rPr>
                <w:rFonts w:ascii="微软雅黑" w:hAnsi="微软雅黑" w:eastAsia="微软雅黑"/>
                <w:b w:val="0"/>
                <w:color w:val="000000"/>
                <w:sz w:val="18"/>
              </w:rPr>
              <w:t>安全顾虑</w:t>
            </w:r>
          </w:p>
        </w:tc>
        <w:tc>
          <w:tcPr>
            <w:tcW w:w="2721" w:type="dxa"/>
            <w:vAlign w:val="center"/>
          </w:tcPr>
          <w:p w14:paraId="6BA44D0F">
            <w:pPr>
              <w:spacing w:after="0" w:line="276" w:lineRule="auto"/>
              <w:jc w:val="left"/>
            </w:pPr>
            <w:r>
              <w:rPr>
                <w:rFonts w:ascii="微软雅黑" w:hAnsi="微软雅黑" w:eastAsia="微软雅黑"/>
                <w:b w:val="0"/>
                <w:color w:val="000000"/>
                <w:sz w:val="18"/>
              </w:rPr>
              <w:t>security_concern_index、security_x_efficiency</w:t>
            </w:r>
          </w:p>
        </w:tc>
        <w:tc>
          <w:tcPr>
            <w:tcW w:w="3969" w:type="dxa"/>
            <w:vAlign w:val="center"/>
          </w:tcPr>
          <w:p w14:paraId="4428BEC5">
            <w:pPr>
              <w:spacing w:after="0" w:line="276" w:lineRule="auto"/>
              <w:jc w:val="left"/>
            </w:pPr>
            <w:r>
              <w:rPr>
                <w:rFonts w:ascii="微软雅黑" w:hAnsi="微软雅黑" w:eastAsia="微软雅黑"/>
                <w:b w:val="0"/>
                <w:color w:val="000000"/>
                <w:sz w:val="18"/>
              </w:rPr>
              <w:t>安全不是简单阻力，而是影响部署路径的条件。</w:t>
            </w:r>
          </w:p>
        </w:tc>
      </w:tr>
      <w:tr w14:paraId="7AFF7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01ADCE3">
            <w:pPr>
              <w:spacing w:after="0" w:line="276" w:lineRule="auto"/>
              <w:jc w:val="center"/>
            </w:pPr>
            <w:r>
              <w:rPr>
                <w:rFonts w:ascii="微软雅黑" w:hAnsi="微软雅黑" w:eastAsia="微软雅黑"/>
                <w:b w:val="0"/>
                <w:color w:val="000000"/>
                <w:sz w:val="18"/>
              </w:rPr>
              <w:t>治理成熟度</w:t>
            </w:r>
          </w:p>
        </w:tc>
        <w:tc>
          <w:tcPr>
            <w:tcW w:w="2721" w:type="dxa"/>
            <w:vAlign w:val="center"/>
          </w:tcPr>
          <w:p w14:paraId="2B9D5A0C">
            <w:pPr>
              <w:spacing w:after="0" w:line="276" w:lineRule="auto"/>
              <w:jc w:val="left"/>
            </w:pPr>
            <w:r>
              <w:rPr>
                <w:rFonts w:ascii="微软雅黑" w:hAnsi="微软雅黑" w:eastAsia="微软雅黑"/>
                <w:b w:val="0"/>
                <w:color w:val="000000"/>
                <w:sz w:val="18"/>
              </w:rPr>
              <w:t>governance_maturity_proxy</w:t>
            </w:r>
          </w:p>
        </w:tc>
        <w:tc>
          <w:tcPr>
            <w:tcW w:w="3969" w:type="dxa"/>
            <w:vAlign w:val="center"/>
          </w:tcPr>
          <w:p w14:paraId="5F9ECD70">
            <w:pPr>
              <w:spacing w:after="0" w:line="276" w:lineRule="auto"/>
              <w:jc w:val="center"/>
            </w:pPr>
            <w:r>
              <w:rPr>
                <w:rFonts w:ascii="微软雅黑" w:hAnsi="微软雅黑" w:eastAsia="微软雅黑"/>
                <w:b w:val="0"/>
                <w:color w:val="000000"/>
                <w:sz w:val="18"/>
              </w:rPr>
              <w:t>数据管理、ICT培训和流程治理基础。</w:t>
            </w:r>
          </w:p>
        </w:tc>
      </w:tr>
      <w:tr w14:paraId="33FA3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2EE377C">
            <w:pPr>
              <w:spacing w:after="0" w:line="276" w:lineRule="auto"/>
              <w:jc w:val="center"/>
            </w:pPr>
            <w:r>
              <w:rPr>
                <w:rFonts w:ascii="微软雅黑" w:hAnsi="微软雅黑" w:eastAsia="微软雅黑"/>
                <w:b w:val="0"/>
                <w:color w:val="000000"/>
                <w:sz w:val="18"/>
              </w:rPr>
              <w:t>控制变量</w:t>
            </w:r>
          </w:p>
        </w:tc>
        <w:tc>
          <w:tcPr>
            <w:tcW w:w="2721" w:type="dxa"/>
            <w:vAlign w:val="center"/>
          </w:tcPr>
          <w:p w14:paraId="54E9E006">
            <w:pPr>
              <w:spacing w:after="0" w:line="276" w:lineRule="auto"/>
              <w:jc w:val="left"/>
            </w:pPr>
            <w:r>
              <w:rPr>
                <w:rFonts w:ascii="微软雅黑" w:hAnsi="微软雅黑" w:eastAsia="微软雅黑"/>
                <w:b w:val="0"/>
                <w:color w:val="000000"/>
                <w:sz w:val="18"/>
              </w:rPr>
              <w:t>geo、year、nace_r2、size_emp</w:t>
            </w:r>
          </w:p>
        </w:tc>
        <w:tc>
          <w:tcPr>
            <w:tcW w:w="3969" w:type="dxa"/>
            <w:vAlign w:val="center"/>
          </w:tcPr>
          <w:p w14:paraId="7AFEDC47">
            <w:pPr>
              <w:spacing w:after="0" w:line="276" w:lineRule="auto"/>
              <w:jc w:val="center"/>
            </w:pPr>
            <w:r>
              <w:rPr>
                <w:rFonts w:ascii="微软雅黑" w:hAnsi="微软雅黑" w:eastAsia="微软雅黑"/>
                <w:b w:val="0"/>
                <w:color w:val="000000"/>
                <w:sz w:val="18"/>
              </w:rPr>
              <w:t>控制国家、年份、行业和规模差异。</w:t>
            </w:r>
          </w:p>
        </w:tc>
      </w:tr>
    </w:tbl>
    <w:p w14:paraId="00B31FF8"/>
    <w:p w14:paraId="106931BA">
      <w:pPr>
        <w:keepNext/>
        <w:spacing w:before="240" w:after="120"/>
      </w:pPr>
      <w:r>
        <w:rPr>
          <w:rFonts w:ascii="微软雅黑" w:hAnsi="微软雅黑" w:eastAsia="微软雅黑"/>
          <w:b/>
          <w:color w:val="000000"/>
          <w:sz w:val="32"/>
        </w:rPr>
        <w:t>五、模型选择和验证方式</w:t>
      </w:r>
    </w:p>
    <w:p w14:paraId="13C220CB">
      <w:pPr>
        <w:spacing w:before="0" w:after="0" w:line="360" w:lineRule="auto"/>
        <w:ind w:firstLine="420"/>
        <w:jc w:val="left"/>
      </w:pPr>
      <w:r>
        <w:rPr>
          <w:rFonts w:ascii="微软雅黑" w:hAnsi="微软雅黑" w:eastAsia="微软雅黑"/>
          <w:b w:val="0"/>
          <w:color w:val="000000"/>
          <w:sz w:val="21"/>
        </w:rPr>
        <w:t>建模部分我没有只保留一个最好看的分数。OLS用于解释变量方向和显著性，Ridge用于处理共线性，Random Forest和ExtraTrees用于捕捉非线性关系，MLP作为A10 GPU神经网络基线，KMeans用于企业画像。不同模型回答的问题不一样，放在一起才像一个完整的机器学习课程项目。</w:t>
      </w:r>
    </w:p>
    <w:p w14:paraId="5A083F43">
      <w:pPr>
        <w:spacing w:before="0" w:after="0" w:line="360" w:lineRule="auto"/>
        <w:ind w:firstLine="420"/>
        <w:jc w:val="left"/>
      </w:pPr>
      <w:r>
        <w:rPr>
          <w:rFonts w:ascii="微软雅黑" w:hAnsi="微软雅黑" w:eastAsia="微软雅黑"/>
          <w:b w:val="0"/>
          <w:color w:val="000000"/>
          <w:sz w:val="21"/>
        </w:rPr>
        <w:t>我特别重视GroupKFold by country。企业ICT数据天然带有国家结构，同一个国家的企业观测往往共享制度环境、数字基础和产业特点。如果随机拆分训练集和验证集，同一国家的相似观测可能同时出现在两边，模型分数会偏乐观。按国家分组验证更严格，也更适合课堂答辩中说明“为什么结果不是简单记住国家差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1"/>
        <w:gridCol w:w="1294"/>
        <w:gridCol w:w="901"/>
        <w:gridCol w:w="1008"/>
        <w:gridCol w:w="1008"/>
        <w:gridCol w:w="828"/>
        <w:gridCol w:w="1678"/>
      </w:tblGrid>
      <w:tr w14:paraId="2433A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shd w:val="clear" w:color="auto" w:fill="D9D9D9"/>
            <w:vAlign w:val="center"/>
          </w:tcPr>
          <w:p w14:paraId="070F8BBE">
            <w:pPr>
              <w:spacing w:after="0" w:line="276" w:lineRule="auto"/>
              <w:jc w:val="center"/>
            </w:pPr>
            <w:r>
              <w:rPr>
                <w:rFonts w:ascii="微软雅黑" w:hAnsi="微软雅黑" w:eastAsia="微软雅黑"/>
                <w:b/>
                <w:color w:val="000000"/>
                <w:sz w:val="18"/>
              </w:rPr>
              <w:t>数据层</w:t>
            </w:r>
          </w:p>
        </w:tc>
        <w:tc>
          <w:tcPr>
            <w:tcW w:w="1304" w:type="dxa"/>
            <w:shd w:val="clear" w:color="auto" w:fill="D9D9D9"/>
            <w:vAlign w:val="center"/>
          </w:tcPr>
          <w:p w14:paraId="01252FD2">
            <w:pPr>
              <w:spacing w:after="0" w:line="276" w:lineRule="auto"/>
              <w:jc w:val="center"/>
            </w:pPr>
            <w:r>
              <w:rPr>
                <w:rFonts w:ascii="微软雅黑" w:hAnsi="微软雅黑" w:eastAsia="微软雅黑"/>
                <w:b/>
                <w:color w:val="000000"/>
                <w:sz w:val="18"/>
              </w:rPr>
              <w:t>模型</w:t>
            </w:r>
          </w:p>
        </w:tc>
        <w:tc>
          <w:tcPr>
            <w:tcW w:w="907" w:type="dxa"/>
            <w:shd w:val="clear" w:color="auto" w:fill="D9D9D9"/>
            <w:vAlign w:val="center"/>
          </w:tcPr>
          <w:p w14:paraId="6722D19A">
            <w:pPr>
              <w:spacing w:after="0" w:line="276" w:lineRule="auto"/>
              <w:jc w:val="center"/>
            </w:pPr>
            <w:r>
              <w:rPr>
                <w:rFonts w:ascii="微软雅黑" w:hAnsi="微软雅黑" w:eastAsia="微软雅黑"/>
                <w:b/>
                <w:color w:val="000000"/>
                <w:sz w:val="18"/>
              </w:rPr>
              <w:t>R²均值</w:t>
            </w:r>
          </w:p>
        </w:tc>
        <w:tc>
          <w:tcPr>
            <w:tcW w:w="1020" w:type="dxa"/>
            <w:shd w:val="clear" w:color="auto" w:fill="D9D9D9"/>
            <w:vAlign w:val="center"/>
          </w:tcPr>
          <w:p w14:paraId="314EEE77">
            <w:pPr>
              <w:spacing w:after="0" w:line="276" w:lineRule="auto"/>
              <w:jc w:val="center"/>
            </w:pPr>
            <w:r>
              <w:rPr>
                <w:rFonts w:ascii="微软雅黑" w:hAnsi="微软雅黑" w:eastAsia="微软雅黑"/>
                <w:b/>
                <w:color w:val="000000"/>
                <w:sz w:val="18"/>
              </w:rPr>
              <w:t>R²标准差</w:t>
            </w:r>
          </w:p>
        </w:tc>
        <w:tc>
          <w:tcPr>
            <w:tcW w:w="1020" w:type="dxa"/>
            <w:shd w:val="clear" w:color="auto" w:fill="D9D9D9"/>
            <w:vAlign w:val="center"/>
          </w:tcPr>
          <w:p w14:paraId="0F7F364A">
            <w:pPr>
              <w:spacing w:after="0" w:line="276" w:lineRule="auto"/>
              <w:jc w:val="center"/>
            </w:pPr>
            <w:r>
              <w:rPr>
                <w:rFonts w:ascii="微软雅黑" w:hAnsi="微软雅黑" w:eastAsia="微软雅黑"/>
                <w:b/>
                <w:color w:val="000000"/>
                <w:sz w:val="18"/>
              </w:rPr>
              <w:t>MAE均值</w:t>
            </w:r>
          </w:p>
        </w:tc>
        <w:tc>
          <w:tcPr>
            <w:tcW w:w="850" w:type="dxa"/>
            <w:shd w:val="clear" w:color="auto" w:fill="D9D9D9"/>
            <w:vAlign w:val="center"/>
          </w:tcPr>
          <w:p w14:paraId="008BE191">
            <w:pPr>
              <w:spacing w:after="0" w:line="276" w:lineRule="auto"/>
              <w:jc w:val="center"/>
            </w:pPr>
            <w:r>
              <w:rPr>
                <w:rFonts w:ascii="微软雅黑" w:hAnsi="微软雅黑" w:eastAsia="微软雅黑"/>
                <w:b/>
                <w:color w:val="000000"/>
                <w:sz w:val="18"/>
              </w:rPr>
              <w:t>特征数</w:t>
            </w:r>
          </w:p>
        </w:tc>
        <w:tc>
          <w:tcPr>
            <w:tcW w:w="1701" w:type="dxa"/>
            <w:shd w:val="clear" w:color="auto" w:fill="D9D9D9"/>
            <w:vAlign w:val="center"/>
          </w:tcPr>
          <w:p w14:paraId="0C0D079F">
            <w:pPr>
              <w:spacing w:after="0" w:line="276" w:lineRule="auto"/>
              <w:jc w:val="center"/>
            </w:pPr>
            <w:r>
              <w:rPr>
                <w:rFonts w:ascii="微软雅黑" w:hAnsi="微软雅黑" w:eastAsia="微软雅黑"/>
                <w:b/>
                <w:color w:val="000000"/>
                <w:sz w:val="18"/>
              </w:rPr>
              <w:t>验证方式</w:t>
            </w:r>
          </w:p>
        </w:tc>
      </w:tr>
      <w:tr w14:paraId="12F26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0AC1C95F">
            <w:pPr>
              <w:spacing w:after="0" w:line="276" w:lineRule="auto"/>
              <w:jc w:val="center"/>
            </w:pPr>
            <w:r>
              <w:rPr>
                <w:rFonts w:ascii="微软雅黑" w:hAnsi="微软雅黑" w:eastAsia="微软雅黑"/>
                <w:b w:val="0"/>
                <w:color w:val="000000"/>
                <w:sz w:val="18"/>
              </w:rPr>
              <w:t>Stage 1 SME规模层</w:t>
            </w:r>
          </w:p>
        </w:tc>
        <w:tc>
          <w:tcPr>
            <w:tcW w:w="1304" w:type="dxa"/>
            <w:vAlign w:val="center"/>
          </w:tcPr>
          <w:p w14:paraId="7C6AC355">
            <w:pPr>
              <w:spacing w:after="0" w:line="276" w:lineRule="auto"/>
              <w:jc w:val="center"/>
            </w:pPr>
            <w:r>
              <w:rPr>
                <w:rFonts w:ascii="微软雅黑" w:hAnsi="微软雅黑" w:eastAsia="微软雅黑"/>
                <w:b w:val="0"/>
                <w:color w:val="000000"/>
                <w:sz w:val="18"/>
              </w:rPr>
              <w:t>多元线性回归</w:t>
            </w:r>
          </w:p>
        </w:tc>
        <w:tc>
          <w:tcPr>
            <w:tcW w:w="907" w:type="dxa"/>
            <w:vAlign w:val="center"/>
          </w:tcPr>
          <w:p w14:paraId="2D97D7E3">
            <w:pPr>
              <w:spacing w:after="0" w:line="276" w:lineRule="auto"/>
              <w:jc w:val="center"/>
            </w:pPr>
            <w:r>
              <w:rPr>
                <w:rFonts w:ascii="微软雅黑" w:hAnsi="微软雅黑" w:eastAsia="微软雅黑"/>
                <w:b w:val="0"/>
                <w:color w:val="000000"/>
                <w:sz w:val="18"/>
              </w:rPr>
              <w:t>0.8729</w:t>
            </w:r>
          </w:p>
        </w:tc>
        <w:tc>
          <w:tcPr>
            <w:tcW w:w="1020" w:type="dxa"/>
            <w:vAlign w:val="center"/>
          </w:tcPr>
          <w:p w14:paraId="2F68FB0B">
            <w:pPr>
              <w:spacing w:after="0" w:line="276" w:lineRule="auto"/>
              <w:jc w:val="center"/>
            </w:pPr>
            <w:r>
              <w:rPr>
                <w:rFonts w:ascii="微软雅黑" w:hAnsi="微软雅黑" w:eastAsia="微软雅黑"/>
                <w:b w:val="0"/>
                <w:color w:val="000000"/>
                <w:sz w:val="18"/>
              </w:rPr>
              <w:t>0.0421</w:t>
            </w:r>
          </w:p>
        </w:tc>
        <w:tc>
          <w:tcPr>
            <w:tcW w:w="1020" w:type="dxa"/>
            <w:vAlign w:val="center"/>
          </w:tcPr>
          <w:p w14:paraId="6215ACE4">
            <w:pPr>
              <w:spacing w:after="0" w:line="276" w:lineRule="auto"/>
              <w:jc w:val="center"/>
            </w:pPr>
            <w:r>
              <w:rPr>
                <w:rFonts w:ascii="微软雅黑" w:hAnsi="微软雅黑" w:eastAsia="微软雅黑"/>
                <w:b w:val="0"/>
                <w:color w:val="000000"/>
                <w:sz w:val="18"/>
              </w:rPr>
              <w:t>1.7700</w:t>
            </w:r>
          </w:p>
        </w:tc>
        <w:tc>
          <w:tcPr>
            <w:tcW w:w="850" w:type="dxa"/>
            <w:vAlign w:val="center"/>
          </w:tcPr>
          <w:p w14:paraId="23FF5A56">
            <w:pPr>
              <w:spacing w:after="0" w:line="276" w:lineRule="auto"/>
              <w:jc w:val="center"/>
            </w:pPr>
            <w:r>
              <w:rPr>
                <w:rFonts w:ascii="微软雅黑" w:hAnsi="微软雅黑" w:eastAsia="微软雅黑"/>
                <w:b w:val="0"/>
                <w:color w:val="000000"/>
                <w:sz w:val="18"/>
              </w:rPr>
              <w:t>10</w:t>
            </w:r>
          </w:p>
        </w:tc>
        <w:tc>
          <w:tcPr>
            <w:tcW w:w="1701" w:type="dxa"/>
            <w:vAlign w:val="center"/>
          </w:tcPr>
          <w:p w14:paraId="561CD535">
            <w:pPr>
              <w:spacing w:after="0" w:line="276" w:lineRule="auto"/>
              <w:jc w:val="left"/>
            </w:pPr>
            <w:r>
              <w:rPr>
                <w:rFonts w:ascii="微软雅黑" w:hAnsi="微软雅黑" w:eastAsia="微软雅黑"/>
                <w:b w:val="0"/>
                <w:color w:val="000000"/>
                <w:sz w:val="18"/>
              </w:rPr>
              <w:t>GroupKFold by country</w:t>
            </w:r>
          </w:p>
        </w:tc>
      </w:tr>
      <w:tr w14:paraId="25AE8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6110339D">
            <w:pPr>
              <w:spacing w:after="0" w:line="276" w:lineRule="auto"/>
              <w:jc w:val="center"/>
            </w:pPr>
            <w:r>
              <w:rPr>
                <w:rFonts w:ascii="微软雅黑" w:hAnsi="微软雅黑" w:eastAsia="微软雅黑"/>
                <w:b w:val="0"/>
                <w:color w:val="000000"/>
                <w:sz w:val="18"/>
              </w:rPr>
              <w:t>Stage 1 SME规模层</w:t>
            </w:r>
          </w:p>
        </w:tc>
        <w:tc>
          <w:tcPr>
            <w:tcW w:w="1304" w:type="dxa"/>
            <w:vAlign w:val="center"/>
          </w:tcPr>
          <w:p w14:paraId="290F15E8">
            <w:pPr>
              <w:spacing w:after="0" w:line="276" w:lineRule="auto"/>
              <w:jc w:val="center"/>
            </w:pPr>
            <w:r>
              <w:rPr>
                <w:rFonts w:ascii="微软雅黑" w:hAnsi="微软雅黑" w:eastAsia="微软雅黑"/>
                <w:b w:val="0"/>
                <w:color w:val="000000"/>
                <w:sz w:val="18"/>
              </w:rPr>
              <w:t>岭回归</w:t>
            </w:r>
          </w:p>
        </w:tc>
        <w:tc>
          <w:tcPr>
            <w:tcW w:w="907" w:type="dxa"/>
            <w:vAlign w:val="center"/>
          </w:tcPr>
          <w:p w14:paraId="420D0D96">
            <w:pPr>
              <w:spacing w:after="0" w:line="276" w:lineRule="auto"/>
              <w:jc w:val="center"/>
            </w:pPr>
            <w:r>
              <w:rPr>
                <w:rFonts w:ascii="微软雅黑" w:hAnsi="微软雅黑" w:eastAsia="微软雅黑"/>
                <w:b w:val="0"/>
                <w:color w:val="000000"/>
                <w:sz w:val="18"/>
              </w:rPr>
              <w:t>0.8743</w:t>
            </w:r>
          </w:p>
        </w:tc>
        <w:tc>
          <w:tcPr>
            <w:tcW w:w="1020" w:type="dxa"/>
            <w:vAlign w:val="center"/>
          </w:tcPr>
          <w:p w14:paraId="301FEB6C">
            <w:pPr>
              <w:spacing w:after="0" w:line="276" w:lineRule="auto"/>
              <w:jc w:val="center"/>
            </w:pPr>
            <w:r>
              <w:rPr>
                <w:rFonts w:ascii="微软雅黑" w:hAnsi="微软雅黑" w:eastAsia="微软雅黑"/>
                <w:b w:val="0"/>
                <w:color w:val="000000"/>
                <w:sz w:val="18"/>
              </w:rPr>
              <w:t>0.0386</w:t>
            </w:r>
          </w:p>
        </w:tc>
        <w:tc>
          <w:tcPr>
            <w:tcW w:w="1020" w:type="dxa"/>
            <w:vAlign w:val="center"/>
          </w:tcPr>
          <w:p w14:paraId="0DAE482E">
            <w:pPr>
              <w:spacing w:after="0" w:line="276" w:lineRule="auto"/>
              <w:jc w:val="center"/>
            </w:pPr>
            <w:r>
              <w:rPr>
                <w:rFonts w:ascii="微软雅黑" w:hAnsi="微软雅黑" w:eastAsia="微软雅黑"/>
                <w:b w:val="0"/>
                <w:color w:val="000000"/>
                <w:sz w:val="18"/>
              </w:rPr>
              <w:t>1.7730</w:t>
            </w:r>
          </w:p>
        </w:tc>
        <w:tc>
          <w:tcPr>
            <w:tcW w:w="850" w:type="dxa"/>
            <w:vAlign w:val="center"/>
          </w:tcPr>
          <w:p w14:paraId="250A5CB9">
            <w:pPr>
              <w:spacing w:after="0" w:line="276" w:lineRule="auto"/>
              <w:jc w:val="center"/>
            </w:pPr>
            <w:r>
              <w:rPr>
                <w:rFonts w:ascii="微软雅黑" w:hAnsi="微软雅黑" w:eastAsia="微软雅黑"/>
                <w:b w:val="0"/>
                <w:color w:val="000000"/>
                <w:sz w:val="18"/>
              </w:rPr>
              <w:t>10</w:t>
            </w:r>
          </w:p>
        </w:tc>
        <w:tc>
          <w:tcPr>
            <w:tcW w:w="1701" w:type="dxa"/>
            <w:vAlign w:val="center"/>
          </w:tcPr>
          <w:p w14:paraId="1D9F419E">
            <w:pPr>
              <w:spacing w:after="0" w:line="276" w:lineRule="auto"/>
              <w:jc w:val="left"/>
            </w:pPr>
            <w:r>
              <w:rPr>
                <w:rFonts w:ascii="微软雅黑" w:hAnsi="微软雅黑" w:eastAsia="微软雅黑"/>
                <w:b w:val="0"/>
                <w:color w:val="000000"/>
                <w:sz w:val="18"/>
              </w:rPr>
              <w:t>GroupKFold by country</w:t>
            </w:r>
          </w:p>
        </w:tc>
      </w:tr>
      <w:tr w14:paraId="61969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342151FC">
            <w:pPr>
              <w:spacing w:after="0" w:line="276" w:lineRule="auto"/>
              <w:jc w:val="center"/>
            </w:pPr>
            <w:r>
              <w:rPr>
                <w:rFonts w:ascii="微软雅黑" w:hAnsi="微软雅黑" w:eastAsia="微软雅黑"/>
                <w:b w:val="0"/>
                <w:color w:val="000000"/>
                <w:sz w:val="18"/>
              </w:rPr>
              <w:t>Stage 1 SME规模层</w:t>
            </w:r>
          </w:p>
        </w:tc>
        <w:tc>
          <w:tcPr>
            <w:tcW w:w="1304" w:type="dxa"/>
            <w:vAlign w:val="center"/>
          </w:tcPr>
          <w:p w14:paraId="2624A9F7">
            <w:pPr>
              <w:spacing w:after="0" w:line="276" w:lineRule="auto"/>
              <w:jc w:val="center"/>
            </w:pPr>
            <w:r>
              <w:rPr>
                <w:rFonts w:ascii="微软雅黑" w:hAnsi="微软雅黑" w:eastAsia="微软雅黑"/>
                <w:b w:val="0"/>
                <w:color w:val="000000"/>
                <w:sz w:val="18"/>
              </w:rPr>
              <w:t>随机森林</w:t>
            </w:r>
          </w:p>
        </w:tc>
        <w:tc>
          <w:tcPr>
            <w:tcW w:w="907" w:type="dxa"/>
            <w:vAlign w:val="center"/>
          </w:tcPr>
          <w:p w14:paraId="6DE3B587">
            <w:pPr>
              <w:spacing w:after="0" w:line="276" w:lineRule="auto"/>
              <w:jc w:val="center"/>
            </w:pPr>
            <w:r>
              <w:rPr>
                <w:rFonts w:ascii="微软雅黑" w:hAnsi="微软雅黑" w:eastAsia="微软雅黑"/>
                <w:b w:val="0"/>
                <w:color w:val="000000"/>
                <w:sz w:val="18"/>
              </w:rPr>
              <w:t>0.8607</w:t>
            </w:r>
          </w:p>
        </w:tc>
        <w:tc>
          <w:tcPr>
            <w:tcW w:w="1020" w:type="dxa"/>
            <w:vAlign w:val="center"/>
          </w:tcPr>
          <w:p w14:paraId="6508CE4F">
            <w:pPr>
              <w:spacing w:after="0" w:line="276" w:lineRule="auto"/>
              <w:jc w:val="center"/>
            </w:pPr>
            <w:r>
              <w:rPr>
                <w:rFonts w:ascii="微软雅黑" w:hAnsi="微软雅黑" w:eastAsia="微软雅黑"/>
                <w:b w:val="0"/>
                <w:color w:val="000000"/>
                <w:sz w:val="18"/>
              </w:rPr>
              <w:t>0.0459</w:t>
            </w:r>
          </w:p>
        </w:tc>
        <w:tc>
          <w:tcPr>
            <w:tcW w:w="1020" w:type="dxa"/>
            <w:vAlign w:val="center"/>
          </w:tcPr>
          <w:p w14:paraId="18992815">
            <w:pPr>
              <w:spacing w:after="0" w:line="276" w:lineRule="auto"/>
              <w:jc w:val="center"/>
            </w:pPr>
            <w:r>
              <w:rPr>
                <w:rFonts w:ascii="微软雅黑" w:hAnsi="微软雅黑" w:eastAsia="微软雅黑"/>
                <w:b w:val="0"/>
                <w:color w:val="000000"/>
                <w:sz w:val="18"/>
              </w:rPr>
              <w:t>1.7978</w:t>
            </w:r>
          </w:p>
        </w:tc>
        <w:tc>
          <w:tcPr>
            <w:tcW w:w="850" w:type="dxa"/>
            <w:vAlign w:val="center"/>
          </w:tcPr>
          <w:p w14:paraId="5471D2CB">
            <w:pPr>
              <w:spacing w:after="0" w:line="276" w:lineRule="auto"/>
              <w:jc w:val="center"/>
            </w:pPr>
            <w:r>
              <w:rPr>
                <w:rFonts w:ascii="微软雅黑" w:hAnsi="微软雅黑" w:eastAsia="微软雅黑"/>
                <w:b w:val="0"/>
                <w:color w:val="000000"/>
                <w:sz w:val="18"/>
              </w:rPr>
              <w:t>10</w:t>
            </w:r>
          </w:p>
        </w:tc>
        <w:tc>
          <w:tcPr>
            <w:tcW w:w="1701" w:type="dxa"/>
            <w:vAlign w:val="center"/>
          </w:tcPr>
          <w:p w14:paraId="5DA8AA44">
            <w:pPr>
              <w:spacing w:after="0" w:line="276" w:lineRule="auto"/>
              <w:jc w:val="left"/>
            </w:pPr>
            <w:r>
              <w:rPr>
                <w:rFonts w:ascii="微软雅黑" w:hAnsi="微软雅黑" w:eastAsia="微软雅黑"/>
                <w:b w:val="0"/>
                <w:color w:val="000000"/>
                <w:sz w:val="18"/>
              </w:rPr>
              <w:t>GroupKFold by country</w:t>
            </w:r>
          </w:p>
        </w:tc>
      </w:tr>
      <w:tr w14:paraId="5FBA2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0015FE6F">
            <w:pPr>
              <w:spacing w:after="0" w:line="276" w:lineRule="auto"/>
              <w:jc w:val="center"/>
            </w:pPr>
            <w:r>
              <w:rPr>
                <w:rFonts w:ascii="微软雅黑" w:hAnsi="微软雅黑" w:eastAsia="微软雅黑"/>
                <w:b w:val="0"/>
                <w:color w:val="000000"/>
                <w:sz w:val="18"/>
              </w:rPr>
              <w:t>Stage 1 SME规模层</w:t>
            </w:r>
          </w:p>
        </w:tc>
        <w:tc>
          <w:tcPr>
            <w:tcW w:w="1304" w:type="dxa"/>
            <w:vAlign w:val="center"/>
          </w:tcPr>
          <w:p w14:paraId="28AE4611">
            <w:pPr>
              <w:spacing w:after="0" w:line="276" w:lineRule="auto"/>
              <w:jc w:val="center"/>
            </w:pPr>
            <w:r>
              <w:rPr>
                <w:rFonts w:ascii="微软雅黑" w:hAnsi="微软雅黑" w:eastAsia="微软雅黑"/>
                <w:b w:val="0"/>
                <w:color w:val="000000"/>
                <w:sz w:val="18"/>
              </w:rPr>
              <w:t>ExtraTrees</w:t>
            </w:r>
          </w:p>
        </w:tc>
        <w:tc>
          <w:tcPr>
            <w:tcW w:w="907" w:type="dxa"/>
            <w:vAlign w:val="center"/>
          </w:tcPr>
          <w:p w14:paraId="4788C1AE">
            <w:pPr>
              <w:spacing w:after="0" w:line="276" w:lineRule="auto"/>
              <w:jc w:val="center"/>
            </w:pPr>
            <w:r>
              <w:rPr>
                <w:rFonts w:ascii="微软雅黑" w:hAnsi="微软雅黑" w:eastAsia="微软雅黑"/>
                <w:b w:val="0"/>
                <w:color w:val="000000"/>
                <w:sz w:val="18"/>
              </w:rPr>
              <w:t>0.8630</w:t>
            </w:r>
          </w:p>
        </w:tc>
        <w:tc>
          <w:tcPr>
            <w:tcW w:w="1020" w:type="dxa"/>
            <w:vAlign w:val="center"/>
          </w:tcPr>
          <w:p w14:paraId="2A668654">
            <w:pPr>
              <w:spacing w:after="0" w:line="276" w:lineRule="auto"/>
              <w:jc w:val="center"/>
            </w:pPr>
            <w:r>
              <w:rPr>
                <w:rFonts w:ascii="微软雅黑" w:hAnsi="微软雅黑" w:eastAsia="微软雅黑"/>
                <w:b w:val="0"/>
                <w:color w:val="000000"/>
                <w:sz w:val="18"/>
              </w:rPr>
              <w:t>0.0561</w:t>
            </w:r>
          </w:p>
        </w:tc>
        <w:tc>
          <w:tcPr>
            <w:tcW w:w="1020" w:type="dxa"/>
            <w:vAlign w:val="center"/>
          </w:tcPr>
          <w:p w14:paraId="6F722AAF">
            <w:pPr>
              <w:spacing w:after="0" w:line="276" w:lineRule="auto"/>
              <w:jc w:val="center"/>
            </w:pPr>
            <w:r>
              <w:rPr>
                <w:rFonts w:ascii="微软雅黑" w:hAnsi="微软雅黑" w:eastAsia="微软雅黑"/>
                <w:b w:val="0"/>
                <w:color w:val="000000"/>
                <w:sz w:val="18"/>
              </w:rPr>
              <w:t>1.7425</w:t>
            </w:r>
          </w:p>
        </w:tc>
        <w:tc>
          <w:tcPr>
            <w:tcW w:w="850" w:type="dxa"/>
            <w:vAlign w:val="center"/>
          </w:tcPr>
          <w:p w14:paraId="7E0B04B6">
            <w:pPr>
              <w:spacing w:after="0" w:line="276" w:lineRule="auto"/>
              <w:jc w:val="center"/>
            </w:pPr>
            <w:r>
              <w:rPr>
                <w:rFonts w:ascii="微软雅黑" w:hAnsi="微软雅黑" w:eastAsia="微软雅黑"/>
                <w:b w:val="0"/>
                <w:color w:val="000000"/>
                <w:sz w:val="18"/>
              </w:rPr>
              <w:t>10</w:t>
            </w:r>
          </w:p>
        </w:tc>
        <w:tc>
          <w:tcPr>
            <w:tcW w:w="1701" w:type="dxa"/>
            <w:vAlign w:val="center"/>
          </w:tcPr>
          <w:p w14:paraId="054D5E1E">
            <w:pPr>
              <w:spacing w:after="0" w:line="276" w:lineRule="auto"/>
              <w:jc w:val="left"/>
            </w:pPr>
            <w:r>
              <w:rPr>
                <w:rFonts w:ascii="微软雅黑" w:hAnsi="微软雅黑" w:eastAsia="微软雅黑"/>
                <w:b w:val="0"/>
                <w:color w:val="000000"/>
                <w:sz w:val="18"/>
              </w:rPr>
              <w:t>GroupKFold by country</w:t>
            </w:r>
          </w:p>
        </w:tc>
      </w:tr>
      <w:tr w14:paraId="212FF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0F2F02C2">
            <w:pPr>
              <w:spacing w:after="0" w:line="276" w:lineRule="auto"/>
              <w:jc w:val="center"/>
            </w:pPr>
            <w:r>
              <w:rPr>
                <w:rFonts w:ascii="微软雅黑" w:hAnsi="微软雅黑" w:eastAsia="微软雅黑"/>
                <w:b w:val="0"/>
                <w:color w:val="000000"/>
                <w:sz w:val="18"/>
              </w:rPr>
              <w:t>Stage 2 行业验证层</w:t>
            </w:r>
          </w:p>
        </w:tc>
        <w:tc>
          <w:tcPr>
            <w:tcW w:w="1304" w:type="dxa"/>
            <w:vAlign w:val="center"/>
          </w:tcPr>
          <w:p w14:paraId="5229FCEB">
            <w:pPr>
              <w:spacing w:after="0" w:line="276" w:lineRule="auto"/>
              <w:jc w:val="center"/>
            </w:pPr>
            <w:r>
              <w:rPr>
                <w:rFonts w:ascii="微软雅黑" w:hAnsi="微软雅黑" w:eastAsia="微软雅黑"/>
                <w:b w:val="0"/>
                <w:color w:val="000000"/>
                <w:sz w:val="18"/>
              </w:rPr>
              <w:t>多元线性回归</w:t>
            </w:r>
          </w:p>
        </w:tc>
        <w:tc>
          <w:tcPr>
            <w:tcW w:w="907" w:type="dxa"/>
            <w:vAlign w:val="center"/>
          </w:tcPr>
          <w:p w14:paraId="23881983">
            <w:pPr>
              <w:spacing w:after="0" w:line="276" w:lineRule="auto"/>
              <w:jc w:val="center"/>
            </w:pPr>
            <w:r>
              <w:rPr>
                <w:rFonts w:ascii="微软雅黑" w:hAnsi="微软雅黑" w:eastAsia="微软雅黑"/>
                <w:b w:val="0"/>
                <w:color w:val="000000"/>
                <w:sz w:val="18"/>
              </w:rPr>
              <w:t>0.6974</w:t>
            </w:r>
          </w:p>
        </w:tc>
        <w:tc>
          <w:tcPr>
            <w:tcW w:w="1020" w:type="dxa"/>
            <w:vAlign w:val="center"/>
          </w:tcPr>
          <w:p w14:paraId="71D86CFB">
            <w:pPr>
              <w:spacing w:after="0" w:line="276" w:lineRule="auto"/>
              <w:jc w:val="center"/>
            </w:pPr>
            <w:r>
              <w:rPr>
                <w:rFonts w:ascii="微软雅黑" w:hAnsi="微软雅黑" w:eastAsia="微软雅黑"/>
                <w:b w:val="0"/>
                <w:color w:val="000000"/>
                <w:sz w:val="18"/>
              </w:rPr>
              <w:t>0.0382</w:t>
            </w:r>
          </w:p>
        </w:tc>
        <w:tc>
          <w:tcPr>
            <w:tcW w:w="1020" w:type="dxa"/>
            <w:vAlign w:val="center"/>
          </w:tcPr>
          <w:p w14:paraId="7875CB57">
            <w:pPr>
              <w:spacing w:after="0" w:line="276" w:lineRule="auto"/>
              <w:jc w:val="center"/>
            </w:pPr>
            <w:r>
              <w:rPr>
                <w:rFonts w:ascii="微软雅黑" w:hAnsi="微软雅黑" w:eastAsia="微软雅黑"/>
                <w:b w:val="0"/>
                <w:color w:val="000000"/>
                <w:sz w:val="18"/>
              </w:rPr>
              <w:t>2.1046</w:t>
            </w:r>
          </w:p>
        </w:tc>
        <w:tc>
          <w:tcPr>
            <w:tcW w:w="850" w:type="dxa"/>
            <w:vAlign w:val="center"/>
          </w:tcPr>
          <w:p w14:paraId="1E3E208D">
            <w:pPr>
              <w:spacing w:after="0" w:line="276" w:lineRule="auto"/>
              <w:jc w:val="center"/>
            </w:pPr>
            <w:r>
              <w:rPr>
                <w:rFonts w:ascii="微软雅黑" w:hAnsi="微软雅黑" w:eastAsia="微软雅黑"/>
                <w:b w:val="0"/>
                <w:color w:val="000000"/>
                <w:sz w:val="18"/>
              </w:rPr>
              <w:t>10</w:t>
            </w:r>
          </w:p>
        </w:tc>
        <w:tc>
          <w:tcPr>
            <w:tcW w:w="1701" w:type="dxa"/>
            <w:vAlign w:val="center"/>
          </w:tcPr>
          <w:p w14:paraId="7DE05A7A">
            <w:pPr>
              <w:spacing w:after="0" w:line="276" w:lineRule="auto"/>
              <w:jc w:val="left"/>
            </w:pPr>
            <w:r>
              <w:rPr>
                <w:rFonts w:ascii="微软雅黑" w:hAnsi="微软雅黑" w:eastAsia="微软雅黑"/>
                <w:b w:val="0"/>
                <w:color w:val="000000"/>
                <w:sz w:val="18"/>
              </w:rPr>
              <w:t>GroupKFold by country</w:t>
            </w:r>
          </w:p>
        </w:tc>
      </w:tr>
      <w:tr w14:paraId="567DC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3AFEE83A">
            <w:pPr>
              <w:spacing w:after="0" w:line="276" w:lineRule="auto"/>
              <w:jc w:val="center"/>
            </w:pPr>
            <w:r>
              <w:rPr>
                <w:rFonts w:ascii="微软雅黑" w:hAnsi="微软雅黑" w:eastAsia="微软雅黑"/>
                <w:b w:val="0"/>
                <w:color w:val="000000"/>
                <w:sz w:val="18"/>
              </w:rPr>
              <w:t>Stage 2 行业验证层</w:t>
            </w:r>
          </w:p>
        </w:tc>
        <w:tc>
          <w:tcPr>
            <w:tcW w:w="1304" w:type="dxa"/>
            <w:vAlign w:val="center"/>
          </w:tcPr>
          <w:p w14:paraId="45CBAA70">
            <w:pPr>
              <w:spacing w:after="0" w:line="276" w:lineRule="auto"/>
              <w:jc w:val="center"/>
            </w:pPr>
            <w:r>
              <w:rPr>
                <w:rFonts w:ascii="微软雅黑" w:hAnsi="微软雅黑" w:eastAsia="微软雅黑"/>
                <w:b w:val="0"/>
                <w:color w:val="000000"/>
                <w:sz w:val="18"/>
              </w:rPr>
              <w:t>岭回归</w:t>
            </w:r>
          </w:p>
        </w:tc>
        <w:tc>
          <w:tcPr>
            <w:tcW w:w="907" w:type="dxa"/>
            <w:vAlign w:val="center"/>
          </w:tcPr>
          <w:p w14:paraId="44386BD9">
            <w:pPr>
              <w:spacing w:after="0" w:line="276" w:lineRule="auto"/>
              <w:jc w:val="center"/>
            </w:pPr>
            <w:r>
              <w:rPr>
                <w:rFonts w:ascii="微软雅黑" w:hAnsi="微软雅黑" w:eastAsia="微软雅黑"/>
                <w:b w:val="0"/>
                <w:color w:val="000000"/>
                <w:sz w:val="18"/>
              </w:rPr>
              <w:t>0.6974</w:t>
            </w:r>
          </w:p>
        </w:tc>
        <w:tc>
          <w:tcPr>
            <w:tcW w:w="1020" w:type="dxa"/>
            <w:vAlign w:val="center"/>
          </w:tcPr>
          <w:p w14:paraId="1C3BA92A">
            <w:pPr>
              <w:spacing w:after="0" w:line="276" w:lineRule="auto"/>
              <w:jc w:val="center"/>
            </w:pPr>
            <w:r>
              <w:rPr>
                <w:rFonts w:ascii="微软雅黑" w:hAnsi="微软雅黑" w:eastAsia="微软雅黑"/>
                <w:b w:val="0"/>
                <w:color w:val="000000"/>
                <w:sz w:val="18"/>
              </w:rPr>
              <w:t>0.0382</w:t>
            </w:r>
          </w:p>
        </w:tc>
        <w:tc>
          <w:tcPr>
            <w:tcW w:w="1020" w:type="dxa"/>
            <w:vAlign w:val="center"/>
          </w:tcPr>
          <w:p w14:paraId="29F3D592">
            <w:pPr>
              <w:spacing w:after="0" w:line="276" w:lineRule="auto"/>
              <w:jc w:val="center"/>
            </w:pPr>
            <w:r>
              <w:rPr>
                <w:rFonts w:ascii="微软雅黑" w:hAnsi="微软雅黑" w:eastAsia="微软雅黑"/>
                <w:b w:val="0"/>
                <w:color w:val="000000"/>
                <w:sz w:val="18"/>
              </w:rPr>
              <w:t>2.1051</w:t>
            </w:r>
          </w:p>
        </w:tc>
        <w:tc>
          <w:tcPr>
            <w:tcW w:w="850" w:type="dxa"/>
            <w:vAlign w:val="center"/>
          </w:tcPr>
          <w:p w14:paraId="13C1348E">
            <w:pPr>
              <w:spacing w:after="0" w:line="276" w:lineRule="auto"/>
              <w:jc w:val="center"/>
            </w:pPr>
            <w:r>
              <w:rPr>
                <w:rFonts w:ascii="微软雅黑" w:hAnsi="微软雅黑" w:eastAsia="微软雅黑"/>
                <w:b w:val="0"/>
                <w:color w:val="000000"/>
                <w:sz w:val="18"/>
              </w:rPr>
              <w:t>10</w:t>
            </w:r>
          </w:p>
        </w:tc>
        <w:tc>
          <w:tcPr>
            <w:tcW w:w="1701" w:type="dxa"/>
            <w:vAlign w:val="center"/>
          </w:tcPr>
          <w:p w14:paraId="13F13042">
            <w:pPr>
              <w:spacing w:after="0" w:line="276" w:lineRule="auto"/>
              <w:jc w:val="left"/>
            </w:pPr>
            <w:r>
              <w:rPr>
                <w:rFonts w:ascii="微软雅黑" w:hAnsi="微软雅黑" w:eastAsia="微软雅黑"/>
                <w:b w:val="0"/>
                <w:color w:val="000000"/>
                <w:sz w:val="18"/>
              </w:rPr>
              <w:t>GroupKFold by country</w:t>
            </w:r>
          </w:p>
        </w:tc>
      </w:tr>
      <w:tr w14:paraId="64766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64C9B030">
            <w:pPr>
              <w:spacing w:after="0" w:line="276" w:lineRule="auto"/>
              <w:jc w:val="center"/>
            </w:pPr>
            <w:r>
              <w:rPr>
                <w:rFonts w:ascii="微软雅黑" w:hAnsi="微软雅黑" w:eastAsia="微软雅黑"/>
                <w:b w:val="0"/>
                <w:color w:val="000000"/>
                <w:sz w:val="18"/>
              </w:rPr>
              <w:t>Stage 2 行业验证层</w:t>
            </w:r>
          </w:p>
        </w:tc>
        <w:tc>
          <w:tcPr>
            <w:tcW w:w="1304" w:type="dxa"/>
            <w:vAlign w:val="center"/>
          </w:tcPr>
          <w:p w14:paraId="595BF20C">
            <w:pPr>
              <w:spacing w:after="0" w:line="276" w:lineRule="auto"/>
              <w:jc w:val="center"/>
            </w:pPr>
            <w:r>
              <w:rPr>
                <w:rFonts w:ascii="微软雅黑" w:hAnsi="微软雅黑" w:eastAsia="微软雅黑"/>
                <w:b w:val="0"/>
                <w:color w:val="000000"/>
                <w:sz w:val="18"/>
              </w:rPr>
              <w:t>随机森林</w:t>
            </w:r>
          </w:p>
        </w:tc>
        <w:tc>
          <w:tcPr>
            <w:tcW w:w="907" w:type="dxa"/>
            <w:vAlign w:val="center"/>
          </w:tcPr>
          <w:p w14:paraId="09301C24">
            <w:pPr>
              <w:spacing w:after="0" w:line="276" w:lineRule="auto"/>
              <w:jc w:val="center"/>
            </w:pPr>
            <w:r>
              <w:rPr>
                <w:rFonts w:ascii="微软雅黑" w:hAnsi="微软雅黑" w:eastAsia="微软雅黑"/>
                <w:b w:val="0"/>
                <w:color w:val="000000"/>
                <w:sz w:val="18"/>
              </w:rPr>
              <w:t>0.6831</w:t>
            </w:r>
          </w:p>
        </w:tc>
        <w:tc>
          <w:tcPr>
            <w:tcW w:w="1020" w:type="dxa"/>
            <w:vAlign w:val="center"/>
          </w:tcPr>
          <w:p w14:paraId="62B5C0FF">
            <w:pPr>
              <w:spacing w:after="0" w:line="276" w:lineRule="auto"/>
              <w:jc w:val="center"/>
            </w:pPr>
            <w:r>
              <w:rPr>
                <w:rFonts w:ascii="微软雅黑" w:hAnsi="微软雅黑" w:eastAsia="微软雅黑"/>
                <w:b w:val="0"/>
                <w:color w:val="000000"/>
                <w:sz w:val="18"/>
              </w:rPr>
              <w:t>0.0363</w:t>
            </w:r>
          </w:p>
        </w:tc>
        <w:tc>
          <w:tcPr>
            <w:tcW w:w="1020" w:type="dxa"/>
            <w:vAlign w:val="center"/>
          </w:tcPr>
          <w:p w14:paraId="22606A1B">
            <w:pPr>
              <w:spacing w:after="0" w:line="276" w:lineRule="auto"/>
              <w:jc w:val="center"/>
            </w:pPr>
            <w:r>
              <w:rPr>
                <w:rFonts w:ascii="微软雅黑" w:hAnsi="微软雅黑" w:eastAsia="微软雅黑"/>
                <w:b w:val="0"/>
                <w:color w:val="000000"/>
                <w:sz w:val="18"/>
              </w:rPr>
              <w:t>2.1441</w:t>
            </w:r>
          </w:p>
        </w:tc>
        <w:tc>
          <w:tcPr>
            <w:tcW w:w="850" w:type="dxa"/>
            <w:vAlign w:val="center"/>
          </w:tcPr>
          <w:p w14:paraId="3F7E10B6">
            <w:pPr>
              <w:spacing w:after="0" w:line="276" w:lineRule="auto"/>
              <w:jc w:val="center"/>
            </w:pPr>
            <w:r>
              <w:rPr>
                <w:rFonts w:ascii="微软雅黑" w:hAnsi="微软雅黑" w:eastAsia="微软雅黑"/>
                <w:b w:val="0"/>
                <w:color w:val="000000"/>
                <w:sz w:val="18"/>
              </w:rPr>
              <w:t>10</w:t>
            </w:r>
          </w:p>
        </w:tc>
        <w:tc>
          <w:tcPr>
            <w:tcW w:w="1701" w:type="dxa"/>
            <w:vAlign w:val="center"/>
          </w:tcPr>
          <w:p w14:paraId="0A2B3EA3">
            <w:pPr>
              <w:spacing w:after="0" w:line="276" w:lineRule="auto"/>
              <w:jc w:val="left"/>
            </w:pPr>
            <w:r>
              <w:rPr>
                <w:rFonts w:ascii="微软雅黑" w:hAnsi="微软雅黑" w:eastAsia="微软雅黑"/>
                <w:b w:val="0"/>
                <w:color w:val="000000"/>
                <w:sz w:val="18"/>
              </w:rPr>
              <w:t>GroupKFold by country</w:t>
            </w:r>
          </w:p>
        </w:tc>
      </w:tr>
      <w:tr w14:paraId="1DE34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1" w:type="dxa"/>
            <w:vAlign w:val="center"/>
          </w:tcPr>
          <w:p w14:paraId="17A638AA">
            <w:pPr>
              <w:spacing w:after="0" w:line="276" w:lineRule="auto"/>
              <w:jc w:val="center"/>
            </w:pPr>
            <w:r>
              <w:rPr>
                <w:rFonts w:ascii="微软雅黑" w:hAnsi="微软雅黑" w:eastAsia="微软雅黑"/>
                <w:b w:val="0"/>
                <w:color w:val="000000"/>
                <w:sz w:val="18"/>
              </w:rPr>
              <w:t>Stage 2 行业验证层</w:t>
            </w:r>
          </w:p>
        </w:tc>
        <w:tc>
          <w:tcPr>
            <w:tcW w:w="1304" w:type="dxa"/>
            <w:vAlign w:val="center"/>
          </w:tcPr>
          <w:p w14:paraId="7F563FDD">
            <w:pPr>
              <w:spacing w:after="0" w:line="276" w:lineRule="auto"/>
              <w:jc w:val="center"/>
            </w:pPr>
            <w:r>
              <w:rPr>
                <w:rFonts w:ascii="微软雅黑" w:hAnsi="微软雅黑" w:eastAsia="微软雅黑"/>
                <w:b w:val="0"/>
                <w:color w:val="000000"/>
                <w:sz w:val="18"/>
              </w:rPr>
              <w:t>ExtraTrees</w:t>
            </w:r>
          </w:p>
        </w:tc>
        <w:tc>
          <w:tcPr>
            <w:tcW w:w="907" w:type="dxa"/>
            <w:vAlign w:val="center"/>
          </w:tcPr>
          <w:p w14:paraId="693F059A">
            <w:pPr>
              <w:spacing w:after="0" w:line="276" w:lineRule="auto"/>
              <w:jc w:val="center"/>
            </w:pPr>
            <w:r>
              <w:rPr>
                <w:rFonts w:ascii="微软雅黑" w:hAnsi="微软雅黑" w:eastAsia="微软雅黑"/>
                <w:b w:val="0"/>
                <w:color w:val="000000"/>
                <w:sz w:val="18"/>
              </w:rPr>
              <w:t>0.7073</w:t>
            </w:r>
          </w:p>
        </w:tc>
        <w:tc>
          <w:tcPr>
            <w:tcW w:w="1020" w:type="dxa"/>
            <w:vAlign w:val="center"/>
          </w:tcPr>
          <w:p w14:paraId="239BF67C">
            <w:pPr>
              <w:spacing w:after="0" w:line="276" w:lineRule="auto"/>
              <w:jc w:val="center"/>
            </w:pPr>
            <w:r>
              <w:rPr>
                <w:rFonts w:ascii="微软雅黑" w:hAnsi="微软雅黑" w:eastAsia="微软雅黑"/>
                <w:b w:val="0"/>
                <w:color w:val="000000"/>
                <w:sz w:val="18"/>
              </w:rPr>
              <w:t>0.0298</w:t>
            </w:r>
          </w:p>
        </w:tc>
        <w:tc>
          <w:tcPr>
            <w:tcW w:w="1020" w:type="dxa"/>
            <w:vAlign w:val="center"/>
          </w:tcPr>
          <w:p w14:paraId="2DBCAE8D">
            <w:pPr>
              <w:spacing w:after="0" w:line="276" w:lineRule="auto"/>
              <w:jc w:val="center"/>
            </w:pPr>
            <w:r>
              <w:rPr>
                <w:rFonts w:ascii="微软雅黑" w:hAnsi="微软雅黑" w:eastAsia="微软雅黑"/>
                <w:b w:val="0"/>
                <w:color w:val="000000"/>
                <w:sz w:val="18"/>
              </w:rPr>
              <w:t>2.1060</w:t>
            </w:r>
          </w:p>
        </w:tc>
        <w:tc>
          <w:tcPr>
            <w:tcW w:w="850" w:type="dxa"/>
            <w:vAlign w:val="center"/>
          </w:tcPr>
          <w:p w14:paraId="7F0AA271">
            <w:pPr>
              <w:spacing w:after="0" w:line="276" w:lineRule="auto"/>
              <w:jc w:val="center"/>
            </w:pPr>
            <w:r>
              <w:rPr>
                <w:rFonts w:ascii="微软雅黑" w:hAnsi="微软雅黑" w:eastAsia="微软雅黑"/>
                <w:b w:val="0"/>
                <w:color w:val="000000"/>
                <w:sz w:val="18"/>
              </w:rPr>
              <w:t>10</w:t>
            </w:r>
          </w:p>
        </w:tc>
        <w:tc>
          <w:tcPr>
            <w:tcW w:w="1701" w:type="dxa"/>
            <w:vAlign w:val="center"/>
          </w:tcPr>
          <w:p w14:paraId="5F291663">
            <w:pPr>
              <w:spacing w:after="0" w:line="276" w:lineRule="auto"/>
              <w:jc w:val="left"/>
            </w:pPr>
            <w:r>
              <w:rPr>
                <w:rFonts w:ascii="微软雅黑" w:hAnsi="微软雅黑" w:eastAsia="微软雅黑"/>
                <w:b w:val="0"/>
                <w:color w:val="000000"/>
                <w:sz w:val="18"/>
              </w:rPr>
              <w:t>GroupKFold by country</w:t>
            </w:r>
          </w:p>
        </w:tc>
      </w:tr>
    </w:tbl>
    <w:p w14:paraId="284FDDFA"/>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020"/>
        <w:gridCol w:w="1020"/>
        <w:gridCol w:w="1020"/>
        <w:gridCol w:w="964"/>
        <w:gridCol w:w="1417"/>
      </w:tblGrid>
      <w:tr w14:paraId="089D8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D9D9"/>
            <w:vAlign w:val="center"/>
          </w:tcPr>
          <w:p w14:paraId="7DD35B82">
            <w:pPr>
              <w:spacing w:after="0" w:line="276" w:lineRule="auto"/>
              <w:jc w:val="center"/>
            </w:pPr>
            <w:r>
              <w:rPr>
                <w:rFonts w:ascii="微软雅黑" w:hAnsi="微软雅黑" w:eastAsia="微软雅黑"/>
                <w:b/>
                <w:color w:val="000000"/>
                <w:sz w:val="18"/>
              </w:rPr>
              <w:t>数据层</w:t>
            </w:r>
          </w:p>
        </w:tc>
        <w:tc>
          <w:tcPr>
            <w:tcW w:w="1020" w:type="dxa"/>
            <w:shd w:val="clear" w:color="auto" w:fill="D9D9D9"/>
            <w:vAlign w:val="center"/>
          </w:tcPr>
          <w:p w14:paraId="17FA4827">
            <w:pPr>
              <w:spacing w:after="0" w:line="276" w:lineRule="auto"/>
              <w:jc w:val="center"/>
            </w:pPr>
            <w:r>
              <w:rPr>
                <w:rFonts w:ascii="微软雅黑" w:hAnsi="微软雅黑" w:eastAsia="微软雅黑"/>
                <w:b/>
                <w:color w:val="000000"/>
                <w:sz w:val="18"/>
              </w:rPr>
              <w:t>样本量</w:t>
            </w:r>
          </w:p>
        </w:tc>
        <w:tc>
          <w:tcPr>
            <w:tcW w:w="1020" w:type="dxa"/>
            <w:shd w:val="clear" w:color="auto" w:fill="D9D9D9"/>
            <w:vAlign w:val="center"/>
          </w:tcPr>
          <w:p w14:paraId="4DE9BC00">
            <w:pPr>
              <w:spacing w:after="0" w:line="276" w:lineRule="auto"/>
              <w:jc w:val="center"/>
            </w:pPr>
            <w:r>
              <w:rPr>
                <w:rFonts w:ascii="微软雅黑" w:hAnsi="微软雅黑" w:eastAsia="微软雅黑"/>
                <w:b/>
                <w:color w:val="000000"/>
                <w:sz w:val="18"/>
              </w:rPr>
              <w:t>R²</w:t>
            </w:r>
          </w:p>
        </w:tc>
        <w:tc>
          <w:tcPr>
            <w:tcW w:w="1020" w:type="dxa"/>
            <w:shd w:val="clear" w:color="auto" w:fill="D9D9D9"/>
            <w:vAlign w:val="center"/>
          </w:tcPr>
          <w:p w14:paraId="5BF879C8">
            <w:pPr>
              <w:spacing w:after="0" w:line="276" w:lineRule="auto"/>
              <w:jc w:val="center"/>
            </w:pPr>
            <w:r>
              <w:rPr>
                <w:rFonts w:ascii="微软雅黑" w:hAnsi="微软雅黑" w:eastAsia="微软雅黑"/>
                <w:b/>
                <w:color w:val="000000"/>
                <w:sz w:val="18"/>
              </w:rPr>
              <w:t>调整R²</w:t>
            </w:r>
          </w:p>
        </w:tc>
        <w:tc>
          <w:tcPr>
            <w:tcW w:w="964" w:type="dxa"/>
            <w:shd w:val="clear" w:color="auto" w:fill="D9D9D9"/>
            <w:vAlign w:val="center"/>
          </w:tcPr>
          <w:p w14:paraId="5A46F213">
            <w:pPr>
              <w:spacing w:after="0" w:line="276" w:lineRule="auto"/>
              <w:jc w:val="center"/>
            </w:pPr>
            <w:r>
              <w:rPr>
                <w:rFonts w:ascii="微软雅黑" w:hAnsi="微软雅黑" w:eastAsia="微软雅黑"/>
                <w:b/>
                <w:color w:val="000000"/>
                <w:sz w:val="18"/>
              </w:rPr>
              <w:t>特征数</w:t>
            </w:r>
          </w:p>
        </w:tc>
        <w:tc>
          <w:tcPr>
            <w:tcW w:w="1417" w:type="dxa"/>
            <w:shd w:val="clear" w:color="auto" w:fill="D9D9D9"/>
            <w:vAlign w:val="center"/>
          </w:tcPr>
          <w:p w14:paraId="170269BC">
            <w:pPr>
              <w:spacing w:after="0" w:line="276" w:lineRule="auto"/>
              <w:jc w:val="center"/>
            </w:pPr>
            <w:r>
              <w:rPr>
                <w:rFonts w:ascii="微软雅黑" w:hAnsi="微软雅黑" w:eastAsia="微软雅黑"/>
                <w:b/>
                <w:color w:val="000000"/>
                <w:sz w:val="18"/>
              </w:rPr>
              <w:t>p&lt;0.05变量数</w:t>
            </w:r>
          </w:p>
        </w:tc>
      </w:tr>
      <w:tr w14:paraId="50E59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47A0376">
            <w:pPr>
              <w:spacing w:after="0" w:line="276" w:lineRule="auto"/>
              <w:jc w:val="center"/>
            </w:pPr>
            <w:r>
              <w:rPr>
                <w:rFonts w:ascii="微软雅黑" w:hAnsi="微软雅黑" w:eastAsia="微软雅黑"/>
                <w:b w:val="0"/>
                <w:color w:val="000000"/>
                <w:sz w:val="18"/>
              </w:rPr>
              <w:t>Stage 1 SME规模层</w:t>
            </w:r>
          </w:p>
        </w:tc>
        <w:tc>
          <w:tcPr>
            <w:tcW w:w="1020" w:type="dxa"/>
            <w:vAlign w:val="center"/>
          </w:tcPr>
          <w:p w14:paraId="44A2ADA5">
            <w:pPr>
              <w:spacing w:after="0" w:line="276" w:lineRule="auto"/>
              <w:jc w:val="center"/>
            </w:pPr>
            <w:r>
              <w:rPr>
                <w:rFonts w:ascii="微软雅黑" w:hAnsi="微软雅黑" w:eastAsia="微软雅黑"/>
                <w:b w:val="0"/>
                <w:color w:val="000000"/>
                <w:sz w:val="18"/>
              </w:rPr>
              <w:t>544</w:t>
            </w:r>
          </w:p>
        </w:tc>
        <w:tc>
          <w:tcPr>
            <w:tcW w:w="1020" w:type="dxa"/>
            <w:vAlign w:val="center"/>
          </w:tcPr>
          <w:p w14:paraId="198CFE4E">
            <w:pPr>
              <w:spacing w:after="0" w:line="276" w:lineRule="auto"/>
              <w:jc w:val="center"/>
            </w:pPr>
            <w:r>
              <w:rPr>
                <w:rFonts w:ascii="微软雅黑" w:hAnsi="微软雅黑" w:eastAsia="微软雅黑"/>
                <w:b w:val="0"/>
                <w:color w:val="000000"/>
                <w:sz w:val="18"/>
              </w:rPr>
              <w:t>0.9186</w:t>
            </w:r>
          </w:p>
        </w:tc>
        <w:tc>
          <w:tcPr>
            <w:tcW w:w="1020" w:type="dxa"/>
            <w:vAlign w:val="center"/>
          </w:tcPr>
          <w:p w14:paraId="32985BBE">
            <w:pPr>
              <w:spacing w:after="0" w:line="276" w:lineRule="auto"/>
              <w:jc w:val="center"/>
            </w:pPr>
            <w:r>
              <w:rPr>
                <w:rFonts w:ascii="微软雅黑" w:hAnsi="微软雅黑" w:eastAsia="微软雅黑"/>
                <w:b w:val="0"/>
                <w:color w:val="000000"/>
                <w:sz w:val="18"/>
              </w:rPr>
              <w:t>0.9170</w:t>
            </w:r>
          </w:p>
        </w:tc>
        <w:tc>
          <w:tcPr>
            <w:tcW w:w="964" w:type="dxa"/>
            <w:vAlign w:val="center"/>
          </w:tcPr>
          <w:p w14:paraId="66AC7F90">
            <w:pPr>
              <w:spacing w:after="0" w:line="276" w:lineRule="auto"/>
              <w:jc w:val="center"/>
            </w:pPr>
            <w:r>
              <w:rPr>
                <w:rFonts w:ascii="微软雅黑" w:hAnsi="微软雅黑" w:eastAsia="微软雅黑"/>
                <w:b w:val="0"/>
                <w:color w:val="000000"/>
                <w:sz w:val="18"/>
              </w:rPr>
              <w:t>10</w:t>
            </w:r>
          </w:p>
        </w:tc>
        <w:tc>
          <w:tcPr>
            <w:tcW w:w="1417" w:type="dxa"/>
            <w:vAlign w:val="center"/>
          </w:tcPr>
          <w:p w14:paraId="5A8A919D">
            <w:pPr>
              <w:spacing w:after="0" w:line="276" w:lineRule="auto"/>
              <w:jc w:val="center"/>
            </w:pPr>
            <w:r>
              <w:rPr>
                <w:rFonts w:ascii="微软雅黑" w:hAnsi="微软雅黑" w:eastAsia="微软雅黑"/>
                <w:b w:val="0"/>
                <w:color w:val="000000"/>
                <w:sz w:val="18"/>
              </w:rPr>
              <w:t>3</w:t>
            </w:r>
          </w:p>
        </w:tc>
      </w:tr>
      <w:tr w14:paraId="17B40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3064494">
            <w:pPr>
              <w:spacing w:after="0" w:line="276" w:lineRule="auto"/>
              <w:jc w:val="center"/>
            </w:pPr>
            <w:r>
              <w:rPr>
                <w:rFonts w:ascii="微软雅黑" w:hAnsi="微软雅黑" w:eastAsia="微软雅黑"/>
                <w:b w:val="0"/>
                <w:color w:val="000000"/>
                <w:sz w:val="18"/>
              </w:rPr>
              <w:t>Stage 2 行业验证层</w:t>
            </w:r>
          </w:p>
        </w:tc>
        <w:tc>
          <w:tcPr>
            <w:tcW w:w="1020" w:type="dxa"/>
            <w:vAlign w:val="center"/>
          </w:tcPr>
          <w:p w14:paraId="21A0E28F">
            <w:pPr>
              <w:spacing w:after="0" w:line="276" w:lineRule="auto"/>
              <w:jc w:val="center"/>
            </w:pPr>
            <w:r>
              <w:rPr>
                <w:rFonts w:ascii="微软雅黑" w:hAnsi="微软雅黑" w:eastAsia="微软雅黑"/>
                <w:b w:val="0"/>
                <w:color w:val="000000"/>
                <w:sz w:val="18"/>
              </w:rPr>
              <w:t>5814</w:t>
            </w:r>
          </w:p>
        </w:tc>
        <w:tc>
          <w:tcPr>
            <w:tcW w:w="1020" w:type="dxa"/>
            <w:vAlign w:val="center"/>
          </w:tcPr>
          <w:p w14:paraId="04A56B1F">
            <w:pPr>
              <w:spacing w:after="0" w:line="276" w:lineRule="auto"/>
              <w:jc w:val="center"/>
            </w:pPr>
            <w:r>
              <w:rPr>
                <w:rFonts w:ascii="微软雅黑" w:hAnsi="微软雅黑" w:eastAsia="微软雅黑"/>
                <w:b w:val="0"/>
                <w:color w:val="000000"/>
                <w:sz w:val="18"/>
              </w:rPr>
              <w:t>0.7120</w:t>
            </w:r>
          </w:p>
        </w:tc>
        <w:tc>
          <w:tcPr>
            <w:tcW w:w="1020" w:type="dxa"/>
            <w:vAlign w:val="center"/>
          </w:tcPr>
          <w:p w14:paraId="4E142D9A">
            <w:pPr>
              <w:spacing w:after="0" w:line="276" w:lineRule="auto"/>
              <w:jc w:val="center"/>
            </w:pPr>
            <w:r>
              <w:rPr>
                <w:rFonts w:ascii="微软雅黑" w:hAnsi="微软雅黑" w:eastAsia="微软雅黑"/>
                <w:b w:val="0"/>
                <w:color w:val="000000"/>
                <w:sz w:val="18"/>
              </w:rPr>
              <w:t>0.7115</w:t>
            </w:r>
          </w:p>
        </w:tc>
        <w:tc>
          <w:tcPr>
            <w:tcW w:w="964" w:type="dxa"/>
            <w:vAlign w:val="center"/>
          </w:tcPr>
          <w:p w14:paraId="238ECD47">
            <w:pPr>
              <w:spacing w:after="0" w:line="276" w:lineRule="auto"/>
              <w:jc w:val="center"/>
            </w:pPr>
            <w:r>
              <w:rPr>
                <w:rFonts w:ascii="微软雅黑" w:hAnsi="微软雅黑" w:eastAsia="微软雅黑"/>
                <w:b w:val="0"/>
                <w:color w:val="000000"/>
                <w:sz w:val="18"/>
              </w:rPr>
              <w:t>10</w:t>
            </w:r>
          </w:p>
        </w:tc>
        <w:tc>
          <w:tcPr>
            <w:tcW w:w="1417" w:type="dxa"/>
            <w:vAlign w:val="center"/>
          </w:tcPr>
          <w:p w14:paraId="3D8A4287">
            <w:pPr>
              <w:spacing w:after="0" w:line="276" w:lineRule="auto"/>
              <w:jc w:val="center"/>
            </w:pPr>
            <w:r>
              <w:rPr>
                <w:rFonts w:ascii="微软雅黑" w:hAnsi="微软雅黑" w:eastAsia="微软雅黑"/>
                <w:b w:val="0"/>
                <w:color w:val="000000"/>
                <w:sz w:val="18"/>
              </w:rPr>
              <w:t>6</w:t>
            </w:r>
          </w:p>
        </w:tc>
      </w:tr>
    </w:tbl>
    <w:p w14:paraId="5024D055"/>
    <w:p w14:paraId="2073C354">
      <w:pPr>
        <w:jc w:val="center"/>
      </w:pPr>
      <w:r>
        <w:drawing>
          <wp:inline distT="0" distB="0" distL="114300" distR="114300">
            <wp:extent cx="4535805" cy="2524760"/>
            <wp:effectExtent l="0" t="0" r="1079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536000" cy="2524966"/>
                    </a:xfrm>
                    <a:prstGeom prst="rect">
                      <a:avLst/>
                    </a:prstGeom>
                  </pic:spPr>
                </pic:pic>
              </a:graphicData>
            </a:graphic>
          </wp:inline>
        </w:drawing>
      </w:r>
    </w:p>
    <w:p w14:paraId="30422D27">
      <w:pPr>
        <w:spacing w:after="60"/>
        <w:jc w:val="center"/>
      </w:pPr>
      <w:r>
        <w:rPr>
          <w:rFonts w:ascii="微软雅黑" w:hAnsi="微软雅黑" w:eastAsia="微软雅黑"/>
          <w:b w:val="0"/>
          <w:color w:val="000000"/>
          <w:sz w:val="18"/>
        </w:rPr>
        <w:t>图2 Stage 1和Stage 2模型交叉验证比较</w:t>
      </w:r>
    </w:p>
    <w:p w14:paraId="5BC74830">
      <w:pPr>
        <w:keepNext/>
        <w:spacing w:before="240" w:after="120"/>
      </w:pPr>
      <w:r>
        <w:rPr>
          <w:rFonts w:ascii="微软雅黑" w:hAnsi="微软雅黑" w:eastAsia="微软雅黑"/>
          <w:b/>
          <w:color w:val="000000"/>
          <w:sz w:val="32"/>
        </w:rPr>
        <w:t>六、模型结果和我的理解</w:t>
      </w:r>
    </w:p>
    <w:p w14:paraId="66FE2D5F">
      <w:pPr>
        <w:spacing w:before="0" w:after="0" w:line="360" w:lineRule="auto"/>
        <w:ind w:firstLine="420"/>
        <w:jc w:val="left"/>
      </w:pPr>
      <w:r>
        <w:rPr>
          <w:rFonts w:ascii="微软雅黑" w:hAnsi="微软雅黑" w:eastAsia="微软雅黑"/>
          <w:b w:val="0"/>
          <w:color w:val="000000"/>
          <w:sz w:val="21"/>
        </w:rPr>
        <w:t>从课程诊断结果看，Stage 1中岭回归在GroupKFold by country下R²均值为0.8743，MAE均值为1.7730；Stage 2中ExtraTreesR²均值为0.7073，MAE均值为2.1060。这个结果和投稿稿中的完整训练口径并不完全相同，我在报告里把两套口径分开写，避免把全样本拟合、交叉验证和留出验证混在一起。</w:t>
      </w:r>
    </w:p>
    <w:p w14:paraId="5FEE1ED8">
      <w:pPr>
        <w:spacing w:before="0" w:after="0" w:line="360" w:lineRule="auto"/>
        <w:ind w:firstLine="420"/>
        <w:jc w:val="left"/>
      </w:pPr>
      <w:r>
        <w:rPr>
          <w:rFonts w:ascii="微软雅黑" w:hAnsi="微软雅黑" w:eastAsia="微软雅黑"/>
          <w:b w:val="0"/>
          <w:color w:val="000000"/>
          <w:sz w:val="21"/>
        </w:rPr>
        <w:t>特征重要性结果比较稳定。Stage 1中E_AI_TML的重要性最高，Stage 2中ai_industry__E_AI_TML也排在第一。这说明机器学习能力是解释AI流程自动化采纳的核心线索。部署准备度、数字基础、自然语言生成、云服务能力和安全顾虑也进入前列，但它们的含义不能被简单写成因果影响。我的表述是：这些变量提供了采纳差异的可解释线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6"/>
        <w:gridCol w:w="2379"/>
        <w:gridCol w:w="1243"/>
        <w:gridCol w:w="3550"/>
      </w:tblGrid>
      <w:tr w14:paraId="4C896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D9D9D9"/>
            <w:vAlign w:val="center"/>
          </w:tcPr>
          <w:p w14:paraId="7F468026">
            <w:pPr>
              <w:spacing w:after="0" w:line="276" w:lineRule="auto"/>
              <w:jc w:val="center"/>
            </w:pPr>
            <w:r>
              <w:rPr>
                <w:rFonts w:ascii="微软雅黑" w:hAnsi="微软雅黑" w:eastAsia="微软雅黑"/>
                <w:b/>
                <w:color w:val="000000"/>
                <w:sz w:val="18"/>
              </w:rPr>
              <w:t>层次</w:t>
            </w:r>
          </w:p>
        </w:tc>
        <w:tc>
          <w:tcPr>
            <w:tcW w:w="2381" w:type="dxa"/>
            <w:shd w:val="clear" w:color="auto" w:fill="D9D9D9"/>
            <w:vAlign w:val="center"/>
          </w:tcPr>
          <w:p w14:paraId="545D7D55">
            <w:pPr>
              <w:spacing w:after="0" w:line="276" w:lineRule="auto"/>
              <w:jc w:val="center"/>
            </w:pPr>
            <w:r>
              <w:rPr>
                <w:rFonts w:ascii="微软雅黑" w:hAnsi="微软雅黑" w:eastAsia="微软雅黑"/>
                <w:b/>
                <w:color w:val="000000"/>
                <w:sz w:val="18"/>
              </w:rPr>
              <w:t>Top1特征</w:t>
            </w:r>
          </w:p>
        </w:tc>
        <w:tc>
          <w:tcPr>
            <w:tcW w:w="1247" w:type="dxa"/>
            <w:shd w:val="clear" w:color="auto" w:fill="D9D9D9"/>
            <w:vAlign w:val="center"/>
          </w:tcPr>
          <w:p w14:paraId="5D167F78">
            <w:pPr>
              <w:spacing w:after="0" w:line="276" w:lineRule="auto"/>
              <w:jc w:val="center"/>
            </w:pPr>
            <w:r>
              <w:rPr>
                <w:rFonts w:ascii="微软雅黑" w:hAnsi="微软雅黑" w:eastAsia="微软雅黑"/>
                <w:b/>
                <w:color w:val="000000"/>
                <w:sz w:val="18"/>
              </w:rPr>
              <w:t>重要性均值</w:t>
            </w:r>
          </w:p>
        </w:tc>
        <w:tc>
          <w:tcPr>
            <w:tcW w:w="3572" w:type="dxa"/>
            <w:shd w:val="clear" w:color="auto" w:fill="D9D9D9"/>
            <w:vAlign w:val="center"/>
          </w:tcPr>
          <w:p w14:paraId="5EDF097F">
            <w:pPr>
              <w:spacing w:after="0" w:line="276" w:lineRule="auto"/>
              <w:jc w:val="center"/>
            </w:pPr>
            <w:r>
              <w:rPr>
                <w:rFonts w:ascii="微软雅黑" w:hAnsi="微软雅黑" w:eastAsia="微软雅黑"/>
                <w:b/>
                <w:color w:val="000000"/>
                <w:sz w:val="18"/>
              </w:rPr>
              <w:t>我的解释</w:t>
            </w:r>
          </w:p>
        </w:tc>
      </w:tr>
      <w:tr w14:paraId="6DC8C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58ACAFEC">
            <w:pPr>
              <w:spacing w:after="0" w:line="276" w:lineRule="auto"/>
              <w:jc w:val="center"/>
            </w:pPr>
            <w:r>
              <w:rPr>
                <w:rFonts w:ascii="微软雅黑" w:hAnsi="微软雅黑" w:eastAsia="微软雅黑"/>
                <w:b w:val="0"/>
                <w:color w:val="000000"/>
                <w:sz w:val="18"/>
              </w:rPr>
              <w:t>Stage 1</w:t>
            </w:r>
          </w:p>
        </w:tc>
        <w:tc>
          <w:tcPr>
            <w:tcW w:w="2381" w:type="dxa"/>
            <w:vAlign w:val="center"/>
          </w:tcPr>
          <w:p w14:paraId="77F4813C">
            <w:pPr>
              <w:spacing w:after="0" w:line="276" w:lineRule="auto"/>
              <w:jc w:val="center"/>
            </w:pPr>
            <w:r>
              <w:rPr>
                <w:rFonts w:ascii="微软雅黑" w:hAnsi="微软雅黑" w:eastAsia="微软雅黑"/>
                <w:b w:val="0"/>
                <w:color w:val="000000"/>
                <w:sz w:val="18"/>
              </w:rPr>
              <w:t>E_AI_TML</w:t>
            </w:r>
          </w:p>
        </w:tc>
        <w:tc>
          <w:tcPr>
            <w:tcW w:w="1247" w:type="dxa"/>
            <w:vAlign w:val="center"/>
          </w:tcPr>
          <w:p w14:paraId="627D6761">
            <w:pPr>
              <w:spacing w:after="0" w:line="276" w:lineRule="auto"/>
              <w:jc w:val="center"/>
            </w:pPr>
            <w:r>
              <w:rPr>
                <w:rFonts w:ascii="微软雅黑" w:hAnsi="微软雅黑" w:eastAsia="微软雅黑"/>
                <w:b w:val="0"/>
                <w:color w:val="000000"/>
                <w:sz w:val="18"/>
              </w:rPr>
              <w:t>0.449</w:t>
            </w:r>
          </w:p>
        </w:tc>
        <w:tc>
          <w:tcPr>
            <w:tcW w:w="3572" w:type="dxa"/>
            <w:vAlign w:val="center"/>
          </w:tcPr>
          <w:p w14:paraId="2D9D1DA1">
            <w:pPr>
              <w:spacing w:after="0" w:line="276" w:lineRule="auto"/>
              <w:jc w:val="left"/>
            </w:pPr>
            <w:r>
              <w:rPr>
                <w:rFonts w:ascii="微软雅黑" w:hAnsi="微软雅黑" w:eastAsia="微软雅黑"/>
                <w:b w:val="0"/>
                <w:color w:val="000000"/>
                <w:sz w:val="18"/>
              </w:rPr>
              <w:t>SME规模组中，机器学习能力最能解释流程自动化采纳差异。</w:t>
            </w:r>
          </w:p>
        </w:tc>
      </w:tr>
      <w:tr w14:paraId="5B6B0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64EB75FC">
            <w:pPr>
              <w:spacing w:after="0" w:line="276" w:lineRule="auto"/>
              <w:jc w:val="center"/>
            </w:pPr>
            <w:r>
              <w:rPr>
                <w:rFonts w:ascii="微软雅黑" w:hAnsi="微软雅黑" w:eastAsia="微软雅黑"/>
                <w:b w:val="0"/>
                <w:color w:val="000000"/>
                <w:sz w:val="18"/>
              </w:rPr>
              <w:t>Stage 2</w:t>
            </w:r>
          </w:p>
        </w:tc>
        <w:tc>
          <w:tcPr>
            <w:tcW w:w="2381" w:type="dxa"/>
            <w:vAlign w:val="center"/>
          </w:tcPr>
          <w:p w14:paraId="2238D1B9">
            <w:pPr>
              <w:spacing w:after="0" w:line="276" w:lineRule="auto"/>
              <w:jc w:val="left"/>
            </w:pPr>
            <w:r>
              <w:rPr>
                <w:rFonts w:ascii="微软雅黑" w:hAnsi="微软雅黑" w:eastAsia="微软雅黑"/>
                <w:b w:val="0"/>
                <w:color w:val="000000"/>
                <w:sz w:val="18"/>
              </w:rPr>
              <w:t>ai_industry__E_AI_TML</w:t>
            </w:r>
          </w:p>
        </w:tc>
        <w:tc>
          <w:tcPr>
            <w:tcW w:w="1247" w:type="dxa"/>
            <w:vAlign w:val="center"/>
          </w:tcPr>
          <w:p w14:paraId="199365B5">
            <w:pPr>
              <w:spacing w:after="0" w:line="276" w:lineRule="auto"/>
              <w:jc w:val="center"/>
            </w:pPr>
            <w:r>
              <w:rPr>
                <w:rFonts w:ascii="微软雅黑" w:hAnsi="微软雅黑" w:eastAsia="微软雅黑"/>
                <w:b w:val="0"/>
                <w:color w:val="000000"/>
                <w:sz w:val="18"/>
              </w:rPr>
              <w:t>0.438</w:t>
            </w:r>
          </w:p>
        </w:tc>
        <w:tc>
          <w:tcPr>
            <w:tcW w:w="3572" w:type="dxa"/>
            <w:vAlign w:val="center"/>
          </w:tcPr>
          <w:p w14:paraId="043906DB">
            <w:pPr>
              <w:spacing w:after="0" w:line="276" w:lineRule="auto"/>
              <w:jc w:val="left"/>
            </w:pPr>
            <w:r>
              <w:rPr>
                <w:rFonts w:ascii="微软雅黑" w:hAnsi="微软雅黑" w:eastAsia="微软雅黑"/>
                <w:b w:val="0"/>
                <w:color w:val="000000"/>
                <w:sz w:val="18"/>
              </w:rPr>
              <w:t>行业/区域外部验证中，AI机器学习能力仍是最强特征。</w:t>
            </w:r>
          </w:p>
        </w:tc>
      </w:tr>
    </w:tbl>
    <w:p w14:paraId="350E5B19"/>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7"/>
        <w:gridCol w:w="1920"/>
        <w:gridCol w:w="1018"/>
        <w:gridCol w:w="3613"/>
      </w:tblGrid>
      <w:tr w14:paraId="30FD0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9D9D9"/>
            <w:vAlign w:val="center"/>
          </w:tcPr>
          <w:p w14:paraId="0E7C18F2">
            <w:pPr>
              <w:spacing w:after="0" w:line="276" w:lineRule="auto"/>
              <w:jc w:val="center"/>
            </w:pPr>
            <w:r>
              <w:rPr>
                <w:rFonts w:ascii="微软雅黑" w:hAnsi="微软雅黑" w:eastAsia="微软雅黑"/>
                <w:b/>
                <w:color w:val="000000"/>
                <w:sz w:val="18"/>
              </w:rPr>
              <w:t>数据层</w:t>
            </w:r>
          </w:p>
        </w:tc>
        <w:tc>
          <w:tcPr>
            <w:tcW w:w="1928" w:type="dxa"/>
            <w:shd w:val="clear" w:color="auto" w:fill="D9D9D9"/>
            <w:vAlign w:val="center"/>
          </w:tcPr>
          <w:p w14:paraId="460D4D31">
            <w:pPr>
              <w:spacing w:after="0" w:line="276" w:lineRule="auto"/>
              <w:jc w:val="center"/>
            </w:pPr>
            <w:r>
              <w:rPr>
                <w:rFonts w:ascii="微软雅黑" w:hAnsi="微软雅黑" w:eastAsia="微软雅黑"/>
                <w:b/>
                <w:color w:val="000000"/>
                <w:sz w:val="18"/>
              </w:rPr>
              <w:t>变量</w:t>
            </w:r>
          </w:p>
        </w:tc>
        <w:tc>
          <w:tcPr>
            <w:tcW w:w="1020" w:type="dxa"/>
            <w:shd w:val="clear" w:color="auto" w:fill="D9D9D9"/>
            <w:vAlign w:val="center"/>
          </w:tcPr>
          <w:p w14:paraId="7717D1EE">
            <w:pPr>
              <w:spacing w:after="0" w:line="276" w:lineRule="auto"/>
              <w:jc w:val="center"/>
            </w:pPr>
            <w:r>
              <w:rPr>
                <w:rFonts w:ascii="微软雅黑" w:hAnsi="微软雅黑" w:eastAsia="微软雅黑"/>
                <w:b/>
                <w:color w:val="000000"/>
                <w:sz w:val="18"/>
              </w:rPr>
              <w:t>VIF</w:t>
            </w:r>
          </w:p>
        </w:tc>
        <w:tc>
          <w:tcPr>
            <w:tcW w:w="3628" w:type="dxa"/>
            <w:shd w:val="clear" w:color="auto" w:fill="D9D9D9"/>
            <w:vAlign w:val="center"/>
          </w:tcPr>
          <w:p w14:paraId="63FB6844">
            <w:pPr>
              <w:spacing w:after="0" w:line="276" w:lineRule="auto"/>
              <w:jc w:val="center"/>
            </w:pPr>
            <w:r>
              <w:rPr>
                <w:rFonts w:ascii="微软雅黑" w:hAnsi="微软雅黑" w:eastAsia="微软雅黑"/>
                <w:b/>
                <w:color w:val="000000"/>
                <w:sz w:val="18"/>
              </w:rPr>
              <w:t>处理态度</w:t>
            </w:r>
          </w:p>
        </w:tc>
      </w:tr>
      <w:tr w14:paraId="4E875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0D9BCD10">
            <w:pPr>
              <w:spacing w:after="0" w:line="276" w:lineRule="auto"/>
              <w:jc w:val="center"/>
            </w:pPr>
            <w:r>
              <w:rPr>
                <w:rFonts w:ascii="微软雅黑" w:hAnsi="微软雅黑" w:eastAsia="微软雅黑"/>
                <w:b w:val="0"/>
                <w:color w:val="000000"/>
                <w:sz w:val="18"/>
              </w:rPr>
              <w:t>Stage 1 SME规模层</w:t>
            </w:r>
          </w:p>
        </w:tc>
        <w:tc>
          <w:tcPr>
            <w:tcW w:w="1928" w:type="dxa"/>
            <w:vAlign w:val="center"/>
          </w:tcPr>
          <w:p w14:paraId="33EAF098">
            <w:pPr>
              <w:spacing w:after="0" w:line="276" w:lineRule="auto"/>
              <w:jc w:val="center"/>
            </w:pPr>
            <w:r>
              <w:rPr>
                <w:rFonts w:ascii="微软雅黑" w:hAnsi="微软雅黑" w:eastAsia="微软雅黑"/>
                <w:b w:val="0"/>
                <w:color w:val="000000"/>
                <w:sz w:val="18"/>
              </w:rPr>
              <w:t>云数据分析</w:t>
            </w:r>
          </w:p>
        </w:tc>
        <w:tc>
          <w:tcPr>
            <w:tcW w:w="1020" w:type="dxa"/>
            <w:vAlign w:val="center"/>
          </w:tcPr>
          <w:p w14:paraId="243AE36A">
            <w:pPr>
              <w:spacing w:after="0" w:line="276" w:lineRule="auto"/>
              <w:jc w:val="center"/>
            </w:pPr>
            <w:r>
              <w:rPr>
                <w:rFonts w:ascii="微软雅黑" w:hAnsi="微软雅黑" w:eastAsia="微软雅黑"/>
                <w:b w:val="0"/>
                <w:color w:val="000000"/>
                <w:sz w:val="18"/>
              </w:rPr>
              <w:t>14.40</w:t>
            </w:r>
          </w:p>
        </w:tc>
        <w:tc>
          <w:tcPr>
            <w:tcW w:w="3628" w:type="dxa"/>
            <w:vAlign w:val="center"/>
          </w:tcPr>
          <w:p w14:paraId="43183806">
            <w:pPr>
              <w:spacing w:after="0" w:line="276" w:lineRule="auto"/>
              <w:jc w:val="left"/>
            </w:pPr>
            <w:r>
              <w:rPr>
                <w:rFonts w:ascii="微软雅黑" w:hAnsi="微软雅黑" w:eastAsia="微软雅黑"/>
                <w:b w:val="0"/>
                <w:color w:val="000000"/>
                <w:sz w:val="18"/>
              </w:rPr>
              <w:t>不孤立解释单个OLS系数，结合Ridge和树模型判断。</w:t>
            </w:r>
          </w:p>
        </w:tc>
      </w:tr>
      <w:tr w14:paraId="59B9A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3735DF2D">
            <w:pPr>
              <w:spacing w:after="0" w:line="276" w:lineRule="auto"/>
              <w:jc w:val="center"/>
            </w:pPr>
            <w:r>
              <w:rPr>
                <w:rFonts w:ascii="微软雅黑" w:hAnsi="微软雅黑" w:eastAsia="微软雅黑"/>
                <w:b w:val="0"/>
                <w:color w:val="000000"/>
                <w:sz w:val="18"/>
              </w:rPr>
              <w:t>Stage 1 SME规模层</w:t>
            </w:r>
          </w:p>
        </w:tc>
        <w:tc>
          <w:tcPr>
            <w:tcW w:w="1928" w:type="dxa"/>
            <w:vAlign w:val="center"/>
          </w:tcPr>
          <w:p w14:paraId="64C2E96C">
            <w:pPr>
              <w:spacing w:after="0" w:line="276" w:lineRule="auto"/>
              <w:jc w:val="center"/>
            </w:pPr>
            <w:r>
              <w:rPr>
                <w:rFonts w:ascii="微软雅黑" w:hAnsi="微软雅黑" w:eastAsia="微软雅黑"/>
                <w:b w:val="0"/>
                <w:color w:val="000000"/>
                <w:sz w:val="18"/>
              </w:rPr>
              <w:t>数据成熟度</w:t>
            </w:r>
          </w:p>
        </w:tc>
        <w:tc>
          <w:tcPr>
            <w:tcW w:w="1020" w:type="dxa"/>
            <w:vAlign w:val="center"/>
          </w:tcPr>
          <w:p w14:paraId="74F41564">
            <w:pPr>
              <w:spacing w:after="0" w:line="276" w:lineRule="auto"/>
              <w:jc w:val="center"/>
            </w:pPr>
            <w:r>
              <w:rPr>
                <w:rFonts w:ascii="微软雅黑" w:hAnsi="微软雅黑" w:eastAsia="微软雅黑"/>
                <w:b w:val="0"/>
                <w:color w:val="000000"/>
                <w:sz w:val="18"/>
              </w:rPr>
              <w:t>10.93</w:t>
            </w:r>
          </w:p>
        </w:tc>
        <w:tc>
          <w:tcPr>
            <w:tcW w:w="3628" w:type="dxa"/>
            <w:vAlign w:val="center"/>
          </w:tcPr>
          <w:p w14:paraId="786BFCC3">
            <w:pPr>
              <w:spacing w:after="0" w:line="276" w:lineRule="auto"/>
              <w:jc w:val="left"/>
            </w:pPr>
            <w:r>
              <w:rPr>
                <w:rFonts w:ascii="微软雅黑" w:hAnsi="微软雅黑" w:eastAsia="微软雅黑"/>
                <w:b w:val="0"/>
                <w:color w:val="000000"/>
                <w:sz w:val="18"/>
              </w:rPr>
              <w:t>不孤立解释单个OLS系数，结合Ridge和树模型判断。</w:t>
            </w:r>
          </w:p>
        </w:tc>
      </w:tr>
      <w:tr w14:paraId="76464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3B4B85B6">
            <w:pPr>
              <w:spacing w:after="0" w:line="276" w:lineRule="auto"/>
              <w:jc w:val="center"/>
            </w:pPr>
            <w:r>
              <w:rPr>
                <w:rFonts w:ascii="微软雅黑" w:hAnsi="微软雅黑" w:eastAsia="微软雅黑"/>
                <w:b w:val="0"/>
                <w:color w:val="000000"/>
                <w:sz w:val="18"/>
              </w:rPr>
              <w:t>Stage 1 SME规模层</w:t>
            </w:r>
          </w:p>
        </w:tc>
        <w:tc>
          <w:tcPr>
            <w:tcW w:w="1928" w:type="dxa"/>
            <w:vAlign w:val="center"/>
          </w:tcPr>
          <w:p w14:paraId="3BDAE451">
            <w:pPr>
              <w:spacing w:after="0" w:line="276" w:lineRule="auto"/>
              <w:jc w:val="center"/>
            </w:pPr>
            <w:r>
              <w:rPr>
                <w:rFonts w:ascii="微软雅黑" w:hAnsi="微软雅黑" w:eastAsia="微软雅黑"/>
                <w:b w:val="0"/>
                <w:color w:val="000000"/>
                <w:sz w:val="18"/>
              </w:rPr>
              <w:t>机器学习能力</w:t>
            </w:r>
          </w:p>
        </w:tc>
        <w:tc>
          <w:tcPr>
            <w:tcW w:w="1020" w:type="dxa"/>
            <w:vAlign w:val="center"/>
          </w:tcPr>
          <w:p w14:paraId="6C470385">
            <w:pPr>
              <w:spacing w:after="0" w:line="276" w:lineRule="auto"/>
              <w:jc w:val="center"/>
            </w:pPr>
            <w:r>
              <w:rPr>
                <w:rFonts w:ascii="微软雅黑" w:hAnsi="微软雅黑" w:eastAsia="微软雅黑"/>
                <w:b w:val="0"/>
                <w:color w:val="000000"/>
                <w:sz w:val="18"/>
              </w:rPr>
              <w:t>6.96</w:t>
            </w:r>
          </w:p>
        </w:tc>
        <w:tc>
          <w:tcPr>
            <w:tcW w:w="3628" w:type="dxa"/>
            <w:vAlign w:val="center"/>
          </w:tcPr>
          <w:p w14:paraId="51A5E30C">
            <w:pPr>
              <w:spacing w:after="0" w:line="276" w:lineRule="auto"/>
              <w:jc w:val="left"/>
            </w:pPr>
            <w:r>
              <w:rPr>
                <w:rFonts w:ascii="微软雅黑" w:hAnsi="微软雅黑" w:eastAsia="微软雅黑"/>
                <w:b w:val="0"/>
                <w:color w:val="000000"/>
                <w:sz w:val="18"/>
              </w:rPr>
              <w:t>不孤立解释单个OLS系数，结合Ridge和树模型判断。</w:t>
            </w:r>
          </w:p>
        </w:tc>
      </w:tr>
      <w:tr w14:paraId="03327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10144015">
            <w:pPr>
              <w:spacing w:after="0" w:line="276" w:lineRule="auto"/>
              <w:jc w:val="center"/>
            </w:pPr>
            <w:r>
              <w:rPr>
                <w:rFonts w:ascii="微软雅黑" w:hAnsi="微软雅黑" w:eastAsia="微软雅黑"/>
                <w:b w:val="0"/>
                <w:color w:val="000000"/>
                <w:sz w:val="18"/>
              </w:rPr>
              <w:t>Stage 2 行业验证层</w:t>
            </w:r>
          </w:p>
        </w:tc>
        <w:tc>
          <w:tcPr>
            <w:tcW w:w="1928" w:type="dxa"/>
            <w:vAlign w:val="center"/>
          </w:tcPr>
          <w:p w14:paraId="3D714D9C">
            <w:pPr>
              <w:spacing w:after="0" w:line="276" w:lineRule="auto"/>
              <w:jc w:val="center"/>
            </w:pPr>
            <w:r>
              <w:rPr>
                <w:rFonts w:ascii="微软雅黑" w:hAnsi="微软雅黑" w:eastAsia="微软雅黑"/>
                <w:b w:val="0"/>
                <w:color w:val="000000"/>
                <w:sz w:val="18"/>
              </w:rPr>
              <w:t>部署准备度</w:t>
            </w:r>
          </w:p>
        </w:tc>
        <w:tc>
          <w:tcPr>
            <w:tcW w:w="1020" w:type="dxa"/>
            <w:vAlign w:val="center"/>
          </w:tcPr>
          <w:p w14:paraId="43EBE871">
            <w:pPr>
              <w:spacing w:after="0" w:line="276" w:lineRule="auto"/>
              <w:jc w:val="center"/>
            </w:pPr>
            <w:r>
              <w:rPr>
                <w:rFonts w:ascii="微软雅黑" w:hAnsi="微软雅黑" w:eastAsia="微软雅黑"/>
                <w:b w:val="0"/>
                <w:color w:val="000000"/>
                <w:sz w:val="18"/>
              </w:rPr>
              <w:t>5.60</w:t>
            </w:r>
          </w:p>
        </w:tc>
        <w:tc>
          <w:tcPr>
            <w:tcW w:w="3628" w:type="dxa"/>
            <w:vAlign w:val="center"/>
          </w:tcPr>
          <w:p w14:paraId="39EC5F45">
            <w:pPr>
              <w:spacing w:after="0" w:line="276" w:lineRule="auto"/>
              <w:jc w:val="left"/>
            </w:pPr>
            <w:r>
              <w:rPr>
                <w:rFonts w:ascii="微软雅黑" w:hAnsi="微软雅黑" w:eastAsia="微软雅黑"/>
                <w:b w:val="0"/>
                <w:color w:val="000000"/>
                <w:sz w:val="18"/>
              </w:rPr>
              <w:t>不孤立解释单个OLS系数，结合Ridge和树模型判断。</w:t>
            </w:r>
          </w:p>
        </w:tc>
      </w:tr>
    </w:tbl>
    <w:p w14:paraId="01574F2E"/>
    <w:p w14:paraId="30D29508">
      <w:pPr>
        <w:jc w:val="center"/>
      </w:pPr>
      <w:r>
        <w:drawing>
          <wp:inline distT="0" distB="0" distL="114300" distR="114300">
            <wp:extent cx="4535805" cy="2589530"/>
            <wp:effectExtent l="0" t="0" r="1079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536000" cy="2589582"/>
                    </a:xfrm>
                    <a:prstGeom prst="rect">
                      <a:avLst/>
                    </a:prstGeom>
                  </pic:spPr>
                </pic:pic>
              </a:graphicData>
            </a:graphic>
          </wp:inline>
        </w:drawing>
      </w:r>
    </w:p>
    <w:p w14:paraId="0ED218F1">
      <w:pPr>
        <w:spacing w:after="60"/>
        <w:jc w:val="center"/>
      </w:pPr>
      <w:r>
        <w:rPr>
          <w:rFonts w:ascii="微软雅黑" w:hAnsi="微软雅黑" w:eastAsia="微软雅黑"/>
          <w:b w:val="0"/>
          <w:color w:val="000000"/>
          <w:sz w:val="18"/>
        </w:rPr>
        <w:t>图3 Stage 2外部验证特征重要性</w:t>
      </w:r>
    </w:p>
    <w:p w14:paraId="7133B0EF">
      <w:pPr>
        <w:keepNext/>
        <w:spacing w:before="240" w:after="120"/>
      </w:pPr>
      <w:r>
        <w:rPr>
          <w:rFonts w:ascii="微软雅黑" w:hAnsi="微软雅黑" w:eastAsia="微软雅黑"/>
          <w:b/>
          <w:color w:val="000000"/>
          <w:sz w:val="32"/>
        </w:rPr>
        <w:t>七、企业画像和部署路径解释</w:t>
      </w:r>
    </w:p>
    <w:p w14:paraId="3396323E">
      <w:pPr>
        <w:spacing w:before="0" w:after="0" w:line="360" w:lineRule="auto"/>
        <w:ind w:firstLine="420"/>
        <w:jc w:val="left"/>
      </w:pPr>
      <w:r>
        <w:rPr>
          <w:rFonts w:ascii="微软雅黑" w:hAnsi="微软雅黑" w:eastAsia="微软雅黑"/>
          <w:b w:val="0"/>
          <w:color w:val="000000"/>
          <w:sz w:val="21"/>
        </w:rPr>
        <w:t>聚类结果帮助我把模型输出转成企业可以理解的部署路径。Stage 1形成四类SME画像，工作流自动化比例最高的一类平均达到14.66，最低的一类为2.61。Stage 2形成六类行业/区域画像，最高的一类工作流自动化比例为17.18，最低的一类为2.04。这个差异说明，企业AI采纳不是一个统一速度，而是被能力基础、治理条件和行业环境共同拉开。</w:t>
      </w:r>
    </w:p>
    <w:p w14:paraId="7843D0CD">
      <w:pPr>
        <w:spacing w:before="0" w:after="0" w:line="360" w:lineRule="auto"/>
        <w:ind w:firstLine="420"/>
        <w:jc w:val="left"/>
      </w:pPr>
      <w:r>
        <w:rPr>
          <w:rFonts w:ascii="微软雅黑" w:hAnsi="微软雅黑" w:eastAsia="微软雅黑"/>
          <w:b w:val="0"/>
          <w:color w:val="000000"/>
          <w:sz w:val="21"/>
        </w:rPr>
        <w:t>我的解释重点是“安全顾虑改变路径”，而不是“安全顾虑越高越不用AI”。安全敏感型企业可能不适合直接上公共SaaS，但可以选择私有云、本地化试点或混合部署；效率需求高但治理基础一般的企业，可以从低风险流程、标准SaaS或API接入开始；治理成熟度较高的企业，才更适合流程级自动化和跨系统集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907"/>
        <w:gridCol w:w="1304"/>
        <w:gridCol w:w="1304"/>
        <w:gridCol w:w="3005"/>
      </w:tblGrid>
      <w:tr w14:paraId="34939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9D9D9"/>
            <w:vAlign w:val="center"/>
          </w:tcPr>
          <w:p w14:paraId="6B0F7172">
            <w:pPr>
              <w:spacing w:after="0" w:line="276" w:lineRule="auto"/>
              <w:jc w:val="center"/>
            </w:pPr>
            <w:r>
              <w:rPr>
                <w:rFonts w:ascii="微软雅黑" w:hAnsi="微软雅黑" w:eastAsia="微软雅黑"/>
                <w:b/>
                <w:color w:val="000000"/>
                <w:sz w:val="18"/>
              </w:rPr>
              <w:t>画像层</w:t>
            </w:r>
          </w:p>
        </w:tc>
        <w:tc>
          <w:tcPr>
            <w:tcW w:w="907" w:type="dxa"/>
            <w:shd w:val="clear" w:color="auto" w:fill="D9D9D9"/>
            <w:vAlign w:val="center"/>
          </w:tcPr>
          <w:p w14:paraId="712C9F62">
            <w:pPr>
              <w:spacing w:after="0" w:line="276" w:lineRule="auto"/>
              <w:jc w:val="center"/>
            </w:pPr>
            <w:r>
              <w:rPr>
                <w:rFonts w:ascii="微软雅黑" w:hAnsi="微软雅黑" w:eastAsia="微软雅黑"/>
                <w:b/>
                <w:color w:val="000000"/>
                <w:sz w:val="18"/>
              </w:rPr>
              <w:t>类别数</w:t>
            </w:r>
          </w:p>
        </w:tc>
        <w:tc>
          <w:tcPr>
            <w:tcW w:w="1304" w:type="dxa"/>
            <w:shd w:val="clear" w:color="auto" w:fill="D9D9D9"/>
            <w:vAlign w:val="center"/>
          </w:tcPr>
          <w:p w14:paraId="65D2781A">
            <w:pPr>
              <w:spacing w:after="0" w:line="276" w:lineRule="auto"/>
              <w:jc w:val="center"/>
            </w:pPr>
            <w:r>
              <w:rPr>
                <w:rFonts w:ascii="微软雅黑" w:hAnsi="微软雅黑" w:eastAsia="微软雅黑"/>
                <w:b/>
                <w:color w:val="000000"/>
                <w:sz w:val="18"/>
              </w:rPr>
              <w:t>最高自动化比例</w:t>
            </w:r>
          </w:p>
        </w:tc>
        <w:tc>
          <w:tcPr>
            <w:tcW w:w="1304" w:type="dxa"/>
            <w:shd w:val="clear" w:color="auto" w:fill="D9D9D9"/>
            <w:vAlign w:val="center"/>
          </w:tcPr>
          <w:p w14:paraId="066CEEC1">
            <w:pPr>
              <w:spacing w:after="0" w:line="276" w:lineRule="auto"/>
              <w:jc w:val="center"/>
            </w:pPr>
            <w:r>
              <w:rPr>
                <w:rFonts w:ascii="微软雅黑" w:hAnsi="微软雅黑" w:eastAsia="微软雅黑"/>
                <w:b/>
                <w:color w:val="000000"/>
                <w:sz w:val="18"/>
              </w:rPr>
              <w:t>最低自动化比例</w:t>
            </w:r>
          </w:p>
        </w:tc>
        <w:tc>
          <w:tcPr>
            <w:tcW w:w="3005" w:type="dxa"/>
            <w:shd w:val="clear" w:color="auto" w:fill="D9D9D9"/>
            <w:vAlign w:val="center"/>
          </w:tcPr>
          <w:p w14:paraId="6CBE247C">
            <w:pPr>
              <w:spacing w:after="0" w:line="276" w:lineRule="auto"/>
              <w:jc w:val="center"/>
            </w:pPr>
            <w:r>
              <w:rPr>
                <w:rFonts w:ascii="微软雅黑" w:hAnsi="微软雅黑" w:eastAsia="微软雅黑"/>
                <w:b/>
                <w:color w:val="000000"/>
                <w:sz w:val="18"/>
              </w:rPr>
              <w:t>报告中的用途</w:t>
            </w:r>
          </w:p>
        </w:tc>
      </w:tr>
      <w:tr w14:paraId="173A8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7387BDB3">
            <w:pPr>
              <w:spacing w:after="0" w:line="276" w:lineRule="auto"/>
              <w:jc w:val="center"/>
            </w:pPr>
            <w:r>
              <w:rPr>
                <w:rFonts w:ascii="微软雅黑" w:hAnsi="微软雅黑" w:eastAsia="微软雅黑"/>
                <w:b w:val="0"/>
                <w:color w:val="000000"/>
                <w:sz w:val="18"/>
              </w:rPr>
              <w:t>Stage 1 SME</w:t>
            </w:r>
          </w:p>
        </w:tc>
        <w:tc>
          <w:tcPr>
            <w:tcW w:w="907" w:type="dxa"/>
            <w:vAlign w:val="center"/>
          </w:tcPr>
          <w:p w14:paraId="1F03C6D0">
            <w:pPr>
              <w:spacing w:after="0" w:line="276" w:lineRule="auto"/>
              <w:jc w:val="center"/>
            </w:pPr>
            <w:r>
              <w:rPr>
                <w:rFonts w:ascii="微软雅黑" w:hAnsi="微软雅黑" w:eastAsia="微软雅黑"/>
                <w:b w:val="0"/>
                <w:color w:val="000000"/>
                <w:sz w:val="18"/>
              </w:rPr>
              <w:t>4</w:t>
            </w:r>
          </w:p>
        </w:tc>
        <w:tc>
          <w:tcPr>
            <w:tcW w:w="1304" w:type="dxa"/>
            <w:vAlign w:val="center"/>
          </w:tcPr>
          <w:p w14:paraId="5A7DA7B0">
            <w:pPr>
              <w:spacing w:after="0" w:line="276" w:lineRule="auto"/>
              <w:jc w:val="center"/>
            </w:pPr>
            <w:r>
              <w:rPr>
                <w:rFonts w:ascii="微软雅黑" w:hAnsi="微软雅黑" w:eastAsia="微软雅黑"/>
                <w:b w:val="0"/>
                <w:color w:val="000000"/>
                <w:sz w:val="18"/>
              </w:rPr>
              <w:t>14.66</w:t>
            </w:r>
          </w:p>
        </w:tc>
        <w:tc>
          <w:tcPr>
            <w:tcW w:w="1304" w:type="dxa"/>
            <w:vAlign w:val="center"/>
          </w:tcPr>
          <w:p w14:paraId="721C521E">
            <w:pPr>
              <w:spacing w:after="0" w:line="276" w:lineRule="auto"/>
              <w:jc w:val="center"/>
            </w:pPr>
            <w:r>
              <w:rPr>
                <w:rFonts w:ascii="微软雅黑" w:hAnsi="微软雅黑" w:eastAsia="微软雅黑"/>
                <w:b w:val="0"/>
                <w:color w:val="000000"/>
                <w:sz w:val="18"/>
              </w:rPr>
              <w:t>2.61</w:t>
            </w:r>
          </w:p>
        </w:tc>
        <w:tc>
          <w:tcPr>
            <w:tcW w:w="3005" w:type="dxa"/>
            <w:vAlign w:val="center"/>
          </w:tcPr>
          <w:p w14:paraId="3B537DAE">
            <w:pPr>
              <w:spacing w:after="0" w:line="276" w:lineRule="auto"/>
              <w:jc w:val="center"/>
            </w:pPr>
            <w:r>
              <w:rPr>
                <w:rFonts w:ascii="微软雅黑" w:hAnsi="微软雅黑" w:eastAsia="微软雅黑"/>
                <w:b w:val="0"/>
                <w:color w:val="000000"/>
                <w:sz w:val="18"/>
              </w:rPr>
              <w:t>解释中小企业分层部署路径。</w:t>
            </w:r>
          </w:p>
        </w:tc>
      </w:tr>
      <w:tr w14:paraId="0F427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273C6CED">
            <w:pPr>
              <w:spacing w:after="0" w:line="276" w:lineRule="auto"/>
              <w:jc w:val="center"/>
            </w:pPr>
            <w:r>
              <w:rPr>
                <w:rFonts w:ascii="微软雅黑" w:hAnsi="微软雅黑" w:eastAsia="微软雅黑"/>
                <w:b w:val="0"/>
                <w:color w:val="000000"/>
                <w:sz w:val="18"/>
              </w:rPr>
              <w:t>Stage 2 行业/区域</w:t>
            </w:r>
          </w:p>
        </w:tc>
        <w:tc>
          <w:tcPr>
            <w:tcW w:w="907" w:type="dxa"/>
            <w:vAlign w:val="center"/>
          </w:tcPr>
          <w:p w14:paraId="7D159590">
            <w:pPr>
              <w:spacing w:after="0" w:line="276" w:lineRule="auto"/>
              <w:jc w:val="center"/>
            </w:pPr>
            <w:r>
              <w:rPr>
                <w:rFonts w:ascii="微软雅黑" w:hAnsi="微软雅黑" w:eastAsia="微软雅黑"/>
                <w:b w:val="0"/>
                <w:color w:val="000000"/>
                <w:sz w:val="18"/>
              </w:rPr>
              <w:t>6</w:t>
            </w:r>
          </w:p>
        </w:tc>
        <w:tc>
          <w:tcPr>
            <w:tcW w:w="1304" w:type="dxa"/>
            <w:vAlign w:val="center"/>
          </w:tcPr>
          <w:p w14:paraId="65A93292">
            <w:pPr>
              <w:spacing w:after="0" w:line="276" w:lineRule="auto"/>
              <w:jc w:val="center"/>
            </w:pPr>
            <w:r>
              <w:rPr>
                <w:rFonts w:ascii="微软雅黑" w:hAnsi="微软雅黑" w:eastAsia="微软雅黑"/>
                <w:b w:val="0"/>
                <w:color w:val="000000"/>
                <w:sz w:val="18"/>
              </w:rPr>
              <w:t>17.18</w:t>
            </w:r>
          </w:p>
        </w:tc>
        <w:tc>
          <w:tcPr>
            <w:tcW w:w="1304" w:type="dxa"/>
            <w:vAlign w:val="center"/>
          </w:tcPr>
          <w:p w14:paraId="4AA1A766">
            <w:pPr>
              <w:spacing w:after="0" w:line="276" w:lineRule="auto"/>
              <w:jc w:val="center"/>
            </w:pPr>
            <w:r>
              <w:rPr>
                <w:rFonts w:ascii="微软雅黑" w:hAnsi="微软雅黑" w:eastAsia="微软雅黑"/>
                <w:b w:val="0"/>
                <w:color w:val="000000"/>
                <w:sz w:val="18"/>
              </w:rPr>
              <w:t>2.04</w:t>
            </w:r>
          </w:p>
        </w:tc>
        <w:tc>
          <w:tcPr>
            <w:tcW w:w="3005" w:type="dxa"/>
            <w:vAlign w:val="center"/>
          </w:tcPr>
          <w:p w14:paraId="3920AB13">
            <w:pPr>
              <w:spacing w:after="0" w:line="276" w:lineRule="auto"/>
              <w:jc w:val="center"/>
            </w:pPr>
            <w:r>
              <w:rPr>
                <w:rFonts w:ascii="微软雅黑" w:hAnsi="微软雅黑" w:eastAsia="微软雅黑"/>
                <w:b w:val="0"/>
                <w:color w:val="000000"/>
                <w:sz w:val="18"/>
              </w:rPr>
              <w:t>验证行业和地区异质性。</w:t>
            </w:r>
          </w:p>
        </w:tc>
      </w:tr>
    </w:tbl>
    <w:p w14:paraId="6F771EED"/>
    <w:p w14:paraId="3A9E5157">
      <w:pPr>
        <w:jc w:val="center"/>
      </w:pPr>
      <w:r>
        <w:drawing>
          <wp:inline distT="0" distB="0" distL="114300" distR="114300">
            <wp:extent cx="4535805" cy="2795270"/>
            <wp:effectExtent l="0" t="0" r="10795"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4536000" cy="2795847"/>
                    </a:xfrm>
                    <a:prstGeom prst="rect">
                      <a:avLst/>
                    </a:prstGeom>
                  </pic:spPr>
                </pic:pic>
              </a:graphicData>
            </a:graphic>
          </wp:inline>
        </w:drawing>
      </w:r>
    </w:p>
    <w:p w14:paraId="25220E27">
      <w:pPr>
        <w:spacing w:after="60"/>
        <w:jc w:val="center"/>
      </w:pPr>
      <w:r>
        <w:rPr>
          <w:rFonts w:ascii="微软雅黑" w:hAnsi="微软雅黑" w:eastAsia="微软雅黑"/>
          <w:b w:val="0"/>
          <w:color w:val="000000"/>
          <w:sz w:val="18"/>
        </w:rPr>
        <w:t>图4 SME机制解释图表</w:t>
      </w:r>
    </w:p>
    <w:p w14:paraId="58DBA936">
      <w:pPr>
        <w:keepNext/>
        <w:spacing w:before="240" w:after="120"/>
      </w:pPr>
      <w:r>
        <w:rPr>
          <w:rFonts w:ascii="微软雅黑" w:hAnsi="微软雅黑" w:eastAsia="微软雅黑"/>
          <w:b/>
          <w:color w:val="000000"/>
          <w:sz w:val="32"/>
        </w:rPr>
        <w:t>八、A10训练、Agent原型和复现整理</w:t>
      </w:r>
    </w:p>
    <w:p w14:paraId="5A1459C5">
      <w:pPr>
        <w:spacing w:before="0" w:after="0" w:line="360" w:lineRule="auto"/>
        <w:ind w:firstLine="420"/>
        <w:jc w:val="left"/>
      </w:pPr>
      <w:r>
        <w:rPr>
          <w:rFonts w:ascii="微软雅黑" w:hAnsi="微软雅黑" w:eastAsia="微软雅黑"/>
          <w:b w:val="0"/>
          <w:color w:val="000000"/>
          <w:sz w:val="21"/>
        </w:rPr>
        <w:t>为了让项目更像完整的数据挖掘流程，我还把A10 GPU基线和Agent原型纳入整理。A10上的MLP不是为了超过树模型，而是作为神经网络基线，说明在表格数据任务中，复杂模型不一定比结构化特征加树模型更合适。Stage 1的torch_mlp R²为0.8060，Stage 2为0.6621，都低于对应的树模型或Ridge基线。这个结果对课程汇报很有用，因为它提醒我们不能只因为模型听起来复杂就认为它更好。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4"/>
        <w:gridCol w:w="1102"/>
        <w:gridCol w:w="1247"/>
        <w:gridCol w:w="813"/>
        <w:gridCol w:w="813"/>
        <w:gridCol w:w="735"/>
        <w:gridCol w:w="1084"/>
      </w:tblGrid>
      <w:tr w14:paraId="2F2EA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D9D9"/>
            <w:vAlign w:val="center"/>
          </w:tcPr>
          <w:p w14:paraId="2C1223D7">
            <w:pPr>
              <w:spacing w:after="0" w:line="276" w:lineRule="auto"/>
              <w:jc w:val="center"/>
            </w:pPr>
            <w:r>
              <w:rPr>
                <w:rFonts w:ascii="微软雅黑" w:hAnsi="微软雅黑" w:eastAsia="微软雅黑"/>
                <w:b/>
                <w:color w:val="000000"/>
                <w:sz w:val="18"/>
              </w:rPr>
              <w:t>数据层</w:t>
            </w:r>
          </w:p>
        </w:tc>
        <w:tc>
          <w:tcPr>
            <w:tcW w:w="1134" w:type="dxa"/>
            <w:shd w:val="clear" w:color="auto" w:fill="D9D9D9"/>
            <w:vAlign w:val="center"/>
          </w:tcPr>
          <w:p w14:paraId="56C7A202">
            <w:pPr>
              <w:spacing w:after="0" w:line="276" w:lineRule="auto"/>
              <w:jc w:val="center"/>
            </w:pPr>
            <w:r>
              <w:rPr>
                <w:rFonts w:ascii="微软雅黑" w:hAnsi="微软雅黑" w:eastAsia="微软雅黑"/>
                <w:b/>
                <w:color w:val="000000"/>
                <w:sz w:val="18"/>
              </w:rPr>
              <w:t>GPU模型</w:t>
            </w:r>
          </w:p>
        </w:tc>
        <w:tc>
          <w:tcPr>
            <w:tcW w:w="1814" w:type="dxa"/>
            <w:shd w:val="clear" w:color="auto" w:fill="D9D9D9"/>
            <w:vAlign w:val="center"/>
          </w:tcPr>
          <w:p w14:paraId="043C3CA0">
            <w:pPr>
              <w:spacing w:after="0" w:line="276" w:lineRule="auto"/>
              <w:jc w:val="center"/>
            </w:pPr>
            <w:r>
              <w:rPr>
                <w:rFonts w:ascii="微软雅黑" w:hAnsi="微软雅黑" w:eastAsia="微软雅黑"/>
                <w:b/>
                <w:color w:val="000000"/>
                <w:sz w:val="18"/>
              </w:rPr>
              <w:t>设备</w:t>
            </w:r>
          </w:p>
        </w:tc>
        <w:tc>
          <w:tcPr>
            <w:tcW w:w="850" w:type="dxa"/>
            <w:shd w:val="clear" w:color="auto" w:fill="D9D9D9"/>
            <w:vAlign w:val="center"/>
          </w:tcPr>
          <w:p w14:paraId="0499812B">
            <w:pPr>
              <w:spacing w:after="0" w:line="276" w:lineRule="auto"/>
              <w:jc w:val="center"/>
            </w:pPr>
            <w:r>
              <w:rPr>
                <w:rFonts w:ascii="微软雅黑" w:hAnsi="微软雅黑" w:eastAsia="微软雅黑"/>
                <w:b/>
                <w:color w:val="000000"/>
                <w:sz w:val="18"/>
              </w:rPr>
              <w:t>R²</w:t>
            </w:r>
          </w:p>
        </w:tc>
        <w:tc>
          <w:tcPr>
            <w:tcW w:w="850" w:type="dxa"/>
            <w:shd w:val="clear" w:color="auto" w:fill="D9D9D9"/>
            <w:vAlign w:val="center"/>
          </w:tcPr>
          <w:p w14:paraId="42475F99">
            <w:pPr>
              <w:spacing w:after="0" w:line="276" w:lineRule="auto"/>
              <w:jc w:val="center"/>
            </w:pPr>
            <w:r>
              <w:rPr>
                <w:rFonts w:ascii="微软雅黑" w:hAnsi="微软雅黑" w:eastAsia="微软雅黑"/>
                <w:b/>
                <w:color w:val="000000"/>
                <w:sz w:val="18"/>
              </w:rPr>
              <w:t>MAE</w:t>
            </w:r>
          </w:p>
        </w:tc>
        <w:tc>
          <w:tcPr>
            <w:tcW w:w="964" w:type="dxa"/>
            <w:shd w:val="clear" w:color="auto" w:fill="D9D9D9"/>
            <w:vAlign w:val="center"/>
          </w:tcPr>
          <w:p w14:paraId="0028F023">
            <w:pPr>
              <w:spacing w:after="0" w:line="276" w:lineRule="auto"/>
              <w:jc w:val="center"/>
            </w:pPr>
            <w:r>
              <w:rPr>
                <w:rFonts w:ascii="微软雅黑" w:hAnsi="微软雅黑" w:eastAsia="微软雅黑"/>
                <w:b/>
                <w:color w:val="000000"/>
                <w:sz w:val="18"/>
              </w:rPr>
              <w:t>训练秒数</w:t>
            </w:r>
          </w:p>
        </w:tc>
        <w:tc>
          <w:tcPr>
            <w:tcW w:w="1814" w:type="dxa"/>
            <w:shd w:val="clear" w:color="auto" w:fill="D9D9D9"/>
            <w:vAlign w:val="center"/>
          </w:tcPr>
          <w:p w14:paraId="6C183A9F">
            <w:pPr>
              <w:spacing w:after="0" w:line="276" w:lineRule="auto"/>
              <w:jc w:val="center"/>
            </w:pPr>
            <w:r>
              <w:rPr>
                <w:rFonts w:ascii="微软雅黑" w:hAnsi="微软雅黑" w:eastAsia="微软雅黑"/>
                <w:b/>
                <w:color w:val="000000"/>
                <w:sz w:val="18"/>
              </w:rPr>
              <w:t>结论</w:t>
            </w:r>
          </w:p>
        </w:tc>
      </w:tr>
      <w:tr w14:paraId="3F358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F35DD3A">
            <w:pPr>
              <w:spacing w:after="0" w:line="276" w:lineRule="auto"/>
              <w:jc w:val="left"/>
            </w:pPr>
            <w:r>
              <w:rPr>
                <w:rFonts w:ascii="微软雅黑" w:hAnsi="微软雅黑" w:eastAsia="微软雅黑"/>
                <w:b w:val="0"/>
                <w:color w:val="000000"/>
                <w:sz w:val="18"/>
              </w:rPr>
              <w:t>stage1_sme_size_class</w:t>
            </w:r>
          </w:p>
        </w:tc>
        <w:tc>
          <w:tcPr>
            <w:tcW w:w="1134" w:type="dxa"/>
            <w:vAlign w:val="center"/>
          </w:tcPr>
          <w:p w14:paraId="4C54A8D4">
            <w:pPr>
              <w:spacing w:after="0" w:line="276" w:lineRule="auto"/>
              <w:jc w:val="center"/>
            </w:pPr>
            <w:r>
              <w:rPr>
                <w:rFonts w:ascii="微软雅黑" w:hAnsi="微软雅黑" w:eastAsia="微软雅黑"/>
                <w:b w:val="0"/>
                <w:color w:val="000000"/>
                <w:sz w:val="18"/>
              </w:rPr>
              <w:t>torch_mlp</w:t>
            </w:r>
          </w:p>
        </w:tc>
        <w:tc>
          <w:tcPr>
            <w:tcW w:w="1814" w:type="dxa"/>
            <w:vAlign w:val="center"/>
          </w:tcPr>
          <w:p w14:paraId="1FB5F112">
            <w:pPr>
              <w:spacing w:after="0" w:line="276" w:lineRule="auto"/>
              <w:jc w:val="center"/>
            </w:pPr>
            <w:r>
              <w:rPr>
                <w:rFonts w:ascii="微软雅黑" w:hAnsi="微软雅黑" w:eastAsia="微软雅黑"/>
                <w:b w:val="0"/>
                <w:color w:val="000000"/>
                <w:sz w:val="18"/>
              </w:rPr>
              <w:t>cuda NVIDIA A10</w:t>
            </w:r>
          </w:p>
        </w:tc>
        <w:tc>
          <w:tcPr>
            <w:tcW w:w="850" w:type="dxa"/>
            <w:vAlign w:val="center"/>
          </w:tcPr>
          <w:p w14:paraId="22032BBE">
            <w:pPr>
              <w:spacing w:after="0" w:line="276" w:lineRule="auto"/>
              <w:jc w:val="center"/>
            </w:pPr>
            <w:r>
              <w:rPr>
                <w:rFonts w:ascii="微软雅黑" w:hAnsi="微软雅黑" w:eastAsia="微软雅黑"/>
                <w:b w:val="0"/>
                <w:color w:val="000000"/>
                <w:sz w:val="18"/>
              </w:rPr>
              <w:t>0.8060</w:t>
            </w:r>
          </w:p>
        </w:tc>
        <w:tc>
          <w:tcPr>
            <w:tcW w:w="850" w:type="dxa"/>
            <w:vAlign w:val="center"/>
          </w:tcPr>
          <w:p w14:paraId="0A8CC434">
            <w:pPr>
              <w:spacing w:after="0" w:line="276" w:lineRule="auto"/>
              <w:jc w:val="center"/>
            </w:pPr>
            <w:r>
              <w:rPr>
                <w:rFonts w:ascii="微软雅黑" w:hAnsi="微软雅黑" w:eastAsia="微软雅黑"/>
                <w:b w:val="0"/>
                <w:color w:val="000000"/>
                <w:sz w:val="18"/>
              </w:rPr>
              <w:t>2.5227</w:t>
            </w:r>
          </w:p>
        </w:tc>
        <w:tc>
          <w:tcPr>
            <w:tcW w:w="964" w:type="dxa"/>
            <w:vAlign w:val="center"/>
          </w:tcPr>
          <w:p w14:paraId="0B869FEF">
            <w:pPr>
              <w:spacing w:after="0" w:line="276" w:lineRule="auto"/>
              <w:jc w:val="center"/>
            </w:pPr>
            <w:r>
              <w:rPr>
                <w:rFonts w:ascii="微软雅黑" w:hAnsi="微软雅黑" w:eastAsia="微软雅黑"/>
                <w:b w:val="0"/>
                <w:color w:val="000000"/>
                <w:sz w:val="18"/>
              </w:rPr>
              <w:t>1.98</w:t>
            </w:r>
          </w:p>
        </w:tc>
        <w:tc>
          <w:tcPr>
            <w:tcW w:w="1814" w:type="dxa"/>
            <w:vAlign w:val="center"/>
          </w:tcPr>
          <w:p w14:paraId="0FB4F979">
            <w:pPr>
              <w:spacing w:after="0" w:line="276" w:lineRule="auto"/>
              <w:jc w:val="center"/>
            </w:pPr>
            <w:r>
              <w:rPr>
                <w:rFonts w:ascii="微软雅黑" w:hAnsi="微软雅黑" w:eastAsia="微软雅黑"/>
                <w:b w:val="0"/>
                <w:color w:val="000000"/>
                <w:sz w:val="18"/>
              </w:rPr>
              <w:t>作为神经网络基线，不替代主模型。</w:t>
            </w:r>
          </w:p>
        </w:tc>
      </w:tr>
      <w:tr w14:paraId="6E986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6491A8F">
            <w:pPr>
              <w:spacing w:after="0" w:line="276" w:lineRule="auto"/>
              <w:jc w:val="left"/>
            </w:pPr>
            <w:r>
              <w:rPr>
                <w:rFonts w:ascii="微软雅黑" w:hAnsi="微软雅黑" w:eastAsia="微软雅黑"/>
                <w:b w:val="0"/>
                <w:color w:val="000000"/>
                <w:sz w:val="18"/>
              </w:rPr>
              <w:t>stage2_industry_region_GE10</w:t>
            </w:r>
          </w:p>
        </w:tc>
        <w:tc>
          <w:tcPr>
            <w:tcW w:w="1134" w:type="dxa"/>
            <w:vAlign w:val="center"/>
          </w:tcPr>
          <w:p w14:paraId="39988551">
            <w:pPr>
              <w:spacing w:after="0" w:line="276" w:lineRule="auto"/>
              <w:jc w:val="center"/>
            </w:pPr>
            <w:r>
              <w:rPr>
                <w:rFonts w:ascii="微软雅黑" w:hAnsi="微软雅黑" w:eastAsia="微软雅黑"/>
                <w:b w:val="0"/>
                <w:color w:val="000000"/>
                <w:sz w:val="18"/>
              </w:rPr>
              <w:t>torch_mlp</w:t>
            </w:r>
          </w:p>
        </w:tc>
        <w:tc>
          <w:tcPr>
            <w:tcW w:w="1814" w:type="dxa"/>
            <w:vAlign w:val="center"/>
          </w:tcPr>
          <w:p w14:paraId="67FBA0B6">
            <w:pPr>
              <w:spacing w:after="0" w:line="276" w:lineRule="auto"/>
              <w:jc w:val="center"/>
            </w:pPr>
            <w:r>
              <w:rPr>
                <w:rFonts w:ascii="微软雅黑" w:hAnsi="微软雅黑" w:eastAsia="微软雅黑"/>
                <w:b w:val="0"/>
                <w:color w:val="000000"/>
                <w:sz w:val="18"/>
              </w:rPr>
              <w:t>cuda NVIDIA A10</w:t>
            </w:r>
          </w:p>
        </w:tc>
        <w:tc>
          <w:tcPr>
            <w:tcW w:w="850" w:type="dxa"/>
            <w:vAlign w:val="center"/>
          </w:tcPr>
          <w:p w14:paraId="41736C8D">
            <w:pPr>
              <w:spacing w:after="0" w:line="276" w:lineRule="auto"/>
              <w:jc w:val="center"/>
            </w:pPr>
            <w:r>
              <w:rPr>
                <w:rFonts w:ascii="微软雅黑" w:hAnsi="微软雅黑" w:eastAsia="微软雅黑"/>
                <w:b w:val="0"/>
                <w:color w:val="000000"/>
                <w:sz w:val="18"/>
              </w:rPr>
              <w:t>0.6621</w:t>
            </w:r>
          </w:p>
        </w:tc>
        <w:tc>
          <w:tcPr>
            <w:tcW w:w="850" w:type="dxa"/>
            <w:vAlign w:val="center"/>
          </w:tcPr>
          <w:p w14:paraId="4D74556E">
            <w:pPr>
              <w:spacing w:after="0" w:line="276" w:lineRule="auto"/>
              <w:jc w:val="center"/>
            </w:pPr>
            <w:r>
              <w:rPr>
                <w:rFonts w:ascii="微软雅黑" w:hAnsi="微软雅黑" w:eastAsia="微软雅黑"/>
                <w:b w:val="0"/>
                <w:color w:val="000000"/>
                <w:sz w:val="18"/>
              </w:rPr>
              <w:t>2.5287</w:t>
            </w:r>
          </w:p>
        </w:tc>
        <w:tc>
          <w:tcPr>
            <w:tcW w:w="964" w:type="dxa"/>
            <w:vAlign w:val="center"/>
          </w:tcPr>
          <w:p w14:paraId="73CCFA00">
            <w:pPr>
              <w:spacing w:after="0" w:line="276" w:lineRule="auto"/>
              <w:jc w:val="center"/>
            </w:pPr>
            <w:r>
              <w:rPr>
                <w:rFonts w:ascii="微软雅黑" w:hAnsi="微软雅黑" w:eastAsia="微软雅黑"/>
                <w:b w:val="0"/>
                <w:color w:val="000000"/>
                <w:sz w:val="18"/>
              </w:rPr>
              <w:t>8.17</w:t>
            </w:r>
          </w:p>
        </w:tc>
        <w:tc>
          <w:tcPr>
            <w:tcW w:w="1814" w:type="dxa"/>
            <w:vAlign w:val="center"/>
          </w:tcPr>
          <w:p w14:paraId="6E4174C3">
            <w:pPr>
              <w:spacing w:after="0" w:line="276" w:lineRule="auto"/>
              <w:jc w:val="center"/>
            </w:pPr>
            <w:r>
              <w:rPr>
                <w:rFonts w:ascii="微软雅黑" w:hAnsi="微软雅黑" w:eastAsia="微软雅黑"/>
                <w:b w:val="0"/>
                <w:color w:val="000000"/>
                <w:sz w:val="18"/>
              </w:rPr>
              <w:t>作为神经网络基线，不替代主模型。</w:t>
            </w:r>
          </w:p>
        </w:tc>
      </w:tr>
    </w:tbl>
    <w:p w14:paraId="7F079D96"/>
    <w:p w14:paraId="19BC950D">
      <w:pPr>
        <w:spacing w:before="0" w:after="0" w:line="360" w:lineRule="auto"/>
        <w:ind w:firstLine="420"/>
        <w:jc w:val="left"/>
      </w:pPr>
      <w:r>
        <w:rPr>
          <w:rFonts w:ascii="微软雅黑" w:hAnsi="微软雅黑" w:eastAsia="微软雅黑"/>
          <w:b w:val="0"/>
          <w:color w:val="000000"/>
          <w:sz w:val="21"/>
        </w:rPr>
        <w:t>Agent原型部分主要用于展示研究成果如何进入企业决策场景。它不是把AI回答写得更花，而是要求回答必须引用来源、不能编造指标、不能把Stage 2写成SME-only结论。最终我把Agent测试、复现说明、数据样本和结果表一起整理进GitHub公开仓库，方便老师顺着代码和输出核对。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2835"/>
        <w:gridCol w:w="3685"/>
      </w:tblGrid>
      <w:tr w14:paraId="13989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9D9D9"/>
            <w:vAlign w:val="center"/>
          </w:tcPr>
          <w:p w14:paraId="296A1109">
            <w:pPr>
              <w:spacing w:after="0" w:line="276" w:lineRule="auto"/>
              <w:jc w:val="center"/>
            </w:pPr>
            <w:r>
              <w:rPr>
                <w:rFonts w:ascii="微软雅黑" w:hAnsi="微软雅黑" w:eastAsia="微软雅黑"/>
                <w:b/>
                <w:color w:val="000000"/>
                <w:sz w:val="18"/>
              </w:rPr>
              <w:t>验证方式</w:t>
            </w:r>
          </w:p>
        </w:tc>
        <w:tc>
          <w:tcPr>
            <w:tcW w:w="2835" w:type="dxa"/>
            <w:shd w:val="clear" w:color="auto" w:fill="D9D9D9"/>
            <w:vAlign w:val="center"/>
          </w:tcPr>
          <w:p w14:paraId="216A769C">
            <w:pPr>
              <w:spacing w:after="0" w:line="276" w:lineRule="auto"/>
              <w:jc w:val="center"/>
            </w:pPr>
            <w:r>
              <w:rPr>
                <w:rFonts w:ascii="微软雅黑" w:hAnsi="微软雅黑" w:eastAsia="微软雅黑"/>
                <w:b/>
                <w:color w:val="000000"/>
                <w:sz w:val="18"/>
              </w:rPr>
              <w:t>代表结果</w:t>
            </w:r>
          </w:p>
        </w:tc>
        <w:tc>
          <w:tcPr>
            <w:tcW w:w="3685" w:type="dxa"/>
            <w:shd w:val="clear" w:color="auto" w:fill="D9D9D9"/>
            <w:vAlign w:val="center"/>
          </w:tcPr>
          <w:p w14:paraId="14B2B76C">
            <w:pPr>
              <w:spacing w:after="0" w:line="276" w:lineRule="auto"/>
              <w:jc w:val="center"/>
            </w:pPr>
            <w:r>
              <w:rPr>
                <w:rFonts w:ascii="微软雅黑" w:hAnsi="微软雅黑" w:eastAsia="微软雅黑"/>
                <w:b/>
                <w:color w:val="000000"/>
                <w:sz w:val="18"/>
              </w:rPr>
              <w:t>我从中得到的判断</w:t>
            </w:r>
          </w:p>
        </w:tc>
      </w:tr>
      <w:tr w14:paraId="64621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7235FF9">
            <w:pPr>
              <w:spacing w:after="0" w:line="276" w:lineRule="auto"/>
              <w:jc w:val="center"/>
            </w:pPr>
            <w:r>
              <w:rPr>
                <w:rFonts w:ascii="微软雅黑" w:hAnsi="微软雅黑" w:eastAsia="微软雅黑"/>
                <w:b w:val="0"/>
                <w:color w:val="000000"/>
                <w:sz w:val="18"/>
              </w:rPr>
              <w:t>按国家留出</w:t>
            </w:r>
          </w:p>
        </w:tc>
        <w:tc>
          <w:tcPr>
            <w:tcW w:w="2835" w:type="dxa"/>
            <w:vAlign w:val="center"/>
          </w:tcPr>
          <w:p w14:paraId="73AEE6D9">
            <w:pPr>
              <w:spacing w:after="0" w:line="276" w:lineRule="auto"/>
              <w:jc w:val="left"/>
            </w:pPr>
            <w:r>
              <w:rPr>
                <w:rFonts w:ascii="微软雅黑" w:hAnsi="微软雅黑" w:eastAsia="微软雅黑"/>
                <w:b w:val="0"/>
                <w:color w:val="000000"/>
                <w:sz w:val="18"/>
              </w:rPr>
              <w:t>Stage 1 ExtraTrees holdout R²=0.8845</w:t>
            </w:r>
          </w:p>
        </w:tc>
        <w:tc>
          <w:tcPr>
            <w:tcW w:w="3685" w:type="dxa"/>
            <w:vAlign w:val="center"/>
          </w:tcPr>
          <w:p w14:paraId="4622C3A0">
            <w:pPr>
              <w:spacing w:after="0" w:line="276" w:lineRule="auto"/>
              <w:jc w:val="center"/>
            </w:pPr>
            <w:r>
              <w:rPr>
                <w:rFonts w:ascii="微软雅黑" w:hAnsi="微软雅黑" w:eastAsia="微软雅黑"/>
                <w:b w:val="0"/>
                <w:color w:val="000000"/>
                <w:sz w:val="18"/>
              </w:rPr>
              <w:t>留出国家后仍有较好解释力。</w:t>
            </w:r>
          </w:p>
        </w:tc>
      </w:tr>
      <w:tr w14:paraId="56F35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8847418">
            <w:pPr>
              <w:spacing w:after="0" w:line="276" w:lineRule="auto"/>
              <w:jc w:val="center"/>
            </w:pPr>
            <w:r>
              <w:rPr>
                <w:rFonts w:ascii="微软雅黑" w:hAnsi="微软雅黑" w:eastAsia="微软雅黑"/>
                <w:b w:val="0"/>
                <w:color w:val="000000"/>
                <w:sz w:val="18"/>
              </w:rPr>
              <w:t>按国家留出</w:t>
            </w:r>
          </w:p>
        </w:tc>
        <w:tc>
          <w:tcPr>
            <w:tcW w:w="2835" w:type="dxa"/>
            <w:vAlign w:val="center"/>
          </w:tcPr>
          <w:p w14:paraId="78E41A43">
            <w:pPr>
              <w:spacing w:after="0" w:line="276" w:lineRule="auto"/>
              <w:jc w:val="left"/>
            </w:pPr>
            <w:r>
              <w:rPr>
                <w:rFonts w:ascii="微软雅黑" w:hAnsi="微软雅黑" w:eastAsia="微软雅黑"/>
                <w:b w:val="0"/>
                <w:color w:val="000000"/>
                <w:sz w:val="18"/>
              </w:rPr>
              <w:t>Stage 2 ExtraTrees holdout R²=0.6968</w:t>
            </w:r>
          </w:p>
        </w:tc>
        <w:tc>
          <w:tcPr>
            <w:tcW w:w="3685" w:type="dxa"/>
            <w:vAlign w:val="center"/>
          </w:tcPr>
          <w:p w14:paraId="5C965CB1">
            <w:pPr>
              <w:spacing w:after="0" w:line="276" w:lineRule="auto"/>
              <w:jc w:val="left"/>
            </w:pPr>
            <w:r>
              <w:rPr>
                <w:rFonts w:ascii="微软雅黑" w:hAnsi="微软雅黑" w:eastAsia="微软雅黑"/>
                <w:b w:val="0"/>
                <w:color w:val="000000"/>
                <w:sz w:val="18"/>
              </w:rPr>
              <w:t>行业/区域层更复杂，分数下降但仍可用。</w:t>
            </w:r>
          </w:p>
        </w:tc>
      </w:tr>
      <w:tr w14:paraId="3C449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0C525ED">
            <w:pPr>
              <w:spacing w:after="0" w:line="276" w:lineRule="auto"/>
              <w:jc w:val="center"/>
            </w:pPr>
            <w:r>
              <w:rPr>
                <w:rFonts w:ascii="微软雅黑" w:hAnsi="微软雅黑" w:eastAsia="微软雅黑"/>
                <w:b w:val="0"/>
                <w:color w:val="000000"/>
                <w:sz w:val="18"/>
              </w:rPr>
              <w:t>Agent测试</w:t>
            </w:r>
          </w:p>
        </w:tc>
        <w:tc>
          <w:tcPr>
            <w:tcW w:w="2835" w:type="dxa"/>
            <w:vAlign w:val="center"/>
          </w:tcPr>
          <w:p w14:paraId="6C2F51CF">
            <w:pPr>
              <w:spacing w:after="0" w:line="276" w:lineRule="auto"/>
              <w:jc w:val="center"/>
            </w:pPr>
            <w:r>
              <w:rPr>
                <w:rFonts w:ascii="微软雅黑" w:hAnsi="微软雅黑" w:eastAsia="微软雅黑"/>
                <w:b w:val="0"/>
                <w:color w:val="000000"/>
                <w:sz w:val="18"/>
              </w:rPr>
              <w:t>公开仓库保留单元测试和证据约束说明</w:t>
            </w:r>
          </w:p>
        </w:tc>
        <w:tc>
          <w:tcPr>
            <w:tcW w:w="3685" w:type="dxa"/>
            <w:vAlign w:val="center"/>
          </w:tcPr>
          <w:p w14:paraId="32F86712">
            <w:pPr>
              <w:spacing w:after="0" w:line="276" w:lineRule="auto"/>
              <w:jc w:val="center"/>
            </w:pPr>
            <w:r>
              <w:rPr>
                <w:rFonts w:ascii="微软雅黑" w:hAnsi="微软雅黑" w:eastAsia="微软雅黑"/>
                <w:b w:val="0"/>
                <w:color w:val="000000"/>
                <w:sz w:val="18"/>
              </w:rPr>
              <w:t>展示材料要能追溯到数据、代码和报告。</w:t>
            </w:r>
          </w:p>
        </w:tc>
      </w:tr>
    </w:tbl>
    <w:p w14:paraId="2B1F7E54"/>
    <w:p w14:paraId="21E90AB0">
      <w:pPr>
        <w:keepNext/>
        <w:spacing w:before="240" w:after="120"/>
      </w:pPr>
      <w:r>
        <w:rPr>
          <w:rFonts w:ascii="微软雅黑" w:hAnsi="微软雅黑" w:eastAsia="微软雅黑"/>
          <w:b/>
          <w:color w:val="000000"/>
          <w:sz w:val="32"/>
        </w:rPr>
        <w:t>九、GitHub整理和最终提交口径</w:t>
      </w:r>
    </w:p>
    <w:p w14:paraId="4E46E777">
      <w:pPr>
        <w:spacing w:before="0" w:after="0" w:line="360" w:lineRule="auto"/>
        <w:ind w:firstLine="420"/>
        <w:jc w:val="left"/>
      </w:pPr>
      <w:r>
        <w:rPr>
          <w:rFonts w:ascii="微软雅黑" w:hAnsi="微软雅黑" w:eastAsia="微软雅黑"/>
          <w:b w:val="0"/>
          <w:color w:val="000000"/>
          <w:sz w:val="21"/>
        </w:rPr>
        <w:t>最后整理GitHub时，我专门把“研究工作区”和“老师检查入口”分开。研究工作区里保留src、configs、notebooks、data、outputs和Agent原型，方便复现；最终提交材料则按老师给的顺序整理成四个目录：数据、源码、小组汇报PPT和报告、小组成员个人作业整理。这样老师不需要在历史草稿、预览图和临时文件里找材料。</w:t>
      </w:r>
    </w:p>
    <w:p w14:paraId="2CA0E767">
      <w:pPr>
        <w:spacing w:before="0" w:after="0" w:line="360" w:lineRule="auto"/>
        <w:ind w:firstLine="420"/>
        <w:jc w:val="left"/>
      </w:pPr>
      <w:r>
        <w:rPr>
          <w:rFonts w:ascii="微软雅黑" w:hAnsi="微软雅黑" w:eastAsia="微软雅黑"/>
          <w:b w:val="0"/>
          <w:color w:val="000000"/>
          <w:sz w:val="21"/>
        </w:rPr>
        <w:t>这一步看起来像文件整理，其实也在检验研究质量。比如数据目录必须能看到processed、samples、raw manifest、模型结果表和图表；源码目录必须能看到数据下载、清洗、建模、图表生成和Agent测试代码；小组汇报目录必须同时有PPTX、PPT导出PDF、15页以上课程报告和证据映射；个人目录必须按成员分别保留平时作业汇总PDF、十次作业PDF和个人总结。</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3515"/>
        <w:gridCol w:w="2721"/>
      </w:tblGrid>
      <w:tr w14:paraId="282F8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D9D9"/>
            <w:vAlign w:val="center"/>
          </w:tcPr>
          <w:p w14:paraId="6FCB48F1">
            <w:pPr>
              <w:spacing w:after="0" w:line="276" w:lineRule="auto"/>
              <w:jc w:val="center"/>
            </w:pPr>
            <w:r>
              <w:rPr>
                <w:rFonts w:ascii="微软雅黑" w:hAnsi="微软雅黑" w:eastAsia="微软雅黑"/>
                <w:b/>
                <w:color w:val="000000"/>
                <w:sz w:val="18"/>
              </w:rPr>
              <w:t>最终目录</w:t>
            </w:r>
          </w:p>
        </w:tc>
        <w:tc>
          <w:tcPr>
            <w:tcW w:w="3515" w:type="dxa"/>
            <w:shd w:val="clear" w:color="auto" w:fill="D9D9D9"/>
            <w:vAlign w:val="center"/>
          </w:tcPr>
          <w:p w14:paraId="41F50AC6">
            <w:pPr>
              <w:spacing w:after="0" w:line="276" w:lineRule="auto"/>
              <w:jc w:val="center"/>
            </w:pPr>
            <w:r>
              <w:rPr>
                <w:rFonts w:ascii="微软雅黑" w:hAnsi="微软雅黑" w:eastAsia="微软雅黑"/>
                <w:b/>
                <w:color w:val="000000"/>
                <w:sz w:val="18"/>
              </w:rPr>
              <w:t>我检查的重点</w:t>
            </w:r>
          </w:p>
        </w:tc>
        <w:tc>
          <w:tcPr>
            <w:tcW w:w="2721" w:type="dxa"/>
            <w:shd w:val="clear" w:color="auto" w:fill="D9D9D9"/>
            <w:vAlign w:val="center"/>
          </w:tcPr>
          <w:p w14:paraId="516D534B">
            <w:pPr>
              <w:spacing w:after="0" w:line="276" w:lineRule="auto"/>
              <w:jc w:val="center"/>
            </w:pPr>
            <w:r>
              <w:rPr>
                <w:rFonts w:ascii="微软雅黑" w:hAnsi="微软雅黑" w:eastAsia="微软雅黑"/>
                <w:b/>
                <w:color w:val="000000"/>
                <w:sz w:val="18"/>
              </w:rPr>
              <w:t>为什么这样整理</w:t>
            </w:r>
          </w:p>
        </w:tc>
      </w:tr>
      <w:tr w14:paraId="60868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67D83DC">
            <w:pPr>
              <w:spacing w:after="0" w:line="276" w:lineRule="auto"/>
              <w:jc w:val="center"/>
            </w:pPr>
            <w:r>
              <w:rPr>
                <w:rFonts w:ascii="微软雅黑" w:hAnsi="微软雅黑" w:eastAsia="微软雅黑"/>
                <w:b w:val="0"/>
                <w:color w:val="000000"/>
                <w:sz w:val="18"/>
              </w:rPr>
              <w:t>01_数据</w:t>
            </w:r>
          </w:p>
        </w:tc>
        <w:tc>
          <w:tcPr>
            <w:tcW w:w="3515" w:type="dxa"/>
            <w:vAlign w:val="center"/>
          </w:tcPr>
          <w:p w14:paraId="60F4063B">
            <w:pPr>
              <w:spacing w:after="0" w:line="276" w:lineRule="auto"/>
              <w:jc w:val="left"/>
            </w:pPr>
            <w:r>
              <w:rPr>
                <w:rFonts w:ascii="微软雅黑" w:hAnsi="微软雅黑" w:eastAsia="微软雅黑"/>
                <w:b w:val="0"/>
                <w:color w:val="000000"/>
                <w:sz w:val="18"/>
              </w:rPr>
              <w:t>processed、samples、raw manifest、模型表、图表和报告是否齐全。</w:t>
            </w:r>
          </w:p>
        </w:tc>
        <w:tc>
          <w:tcPr>
            <w:tcW w:w="2721" w:type="dxa"/>
            <w:vAlign w:val="center"/>
          </w:tcPr>
          <w:p w14:paraId="4178A321">
            <w:pPr>
              <w:spacing w:after="0" w:line="276" w:lineRule="auto"/>
              <w:jc w:val="center"/>
            </w:pPr>
            <w:r>
              <w:rPr>
                <w:rFonts w:ascii="微软雅黑" w:hAnsi="微软雅黑" w:eastAsia="微软雅黑"/>
                <w:b w:val="0"/>
                <w:color w:val="000000"/>
                <w:sz w:val="18"/>
              </w:rPr>
              <w:t>证明数据来源和结果不是只写在报告里。</w:t>
            </w:r>
          </w:p>
        </w:tc>
      </w:tr>
      <w:tr w14:paraId="1B14C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258FBA4">
            <w:pPr>
              <w:spacing w:after="0" w:line="276" w:lineRule="auto"/>
              <w:jc w:val="center"/>
            </w:pPr>
            <w:r>
              <w:rPr>
                <w:rFonts w:ascii="微软雅黑" w:hAnsi="微软雅黑" w:eastAsia="微软雅黑"/>
                <w:b w:val="0"/>
                <w:color w:val="000000"/>
                <w:sz w:val="18"/>
              </w:rPr>
              <w:t>02_源码</w:t>
            </w:r>
          </w:p>
        </w:tc>
        <w:tc>
          <w:tcPr>
            <w:tcW w:w="3515" w:type="dxa"/>
            <w:vAlign w:val="center"/>
          </w:tcPr>
          <w:p w14:paraId="4E98BBF4">
            <w:pPr>
              <w:spacing w:after="0" w:line="276" w:lineRule="auto"/>
              <w:jc w:val="left"/>
            </w:pPr>
            <w:r>
              <w:rPr>
                <w:rFonts w:ascii="微软雅黑" w:hAnsi="微软雅黑" w:eastAsia="微软雅黑"/>
                <w:b w:val="0"/>
                <w:color w:val="000000"/>
                <w:sz w:val="18"/>
              </w:rPr>
              <w:t>下载、清洗、训练、诊断、图表、Agent测试代码是否都在。</w:t>
            </w:r>
          </w:p>
        </w:tc>
        <w:tc>
          <w:tcPr>
            <w:tcW w:w="2721" w:type="dxa"/>
            <w:vAlign w:val="center"/>
          </w:tcPr>
          <w:p w14:paraId="646E9500">
            <w:pPr>
              <w:spacing w:after="0" w:line="276" w:lineRule="auto"/>
              <w:jc w:val="center"/>
            </w:pPr>
            <w:r>
              <w:rPr>
                <w:rFonts w:ascii="微软雅黑" w:hAnsi="微软雅黑" w:eastAsia="微软雅黑"/>
                <w:b w:val="0"/>
                <w:color w:val="000000"/>
                <w:sz w:val="18"/>
              </w:rPr>
              <w:t>让模型结果可以被重新运行和追踪。</w:t>
            </w:r>
          </w:p>
        </w:tc>
      </w:tr>
      <w:tr w14:paraId="5BB2B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0EC96F0C">
            <w:pPr>
              <w:spacing w:after="0" w:line="276" w:lineRule="auto"/>
              <w:jc w:val="center"/>
            </w:pPr>
            <w:r>
              <w:rPr>
                <w:rFonts w:ascii="微软雅黑" w:hAnsi="微软雅黑" w:eastAsia="微软雅黑"/>
                <w:b w:val="0"/>
                <w:color w:val="000000"/>
                <w:sz w:val="18"/>
              </w:rPr>
              <w:t>03_小组汇报PPT和报告</w:t>
            </w:r>
          </w:p>
        </w:tc>
        <w:tc>
          <w:tcPr>
            <w:tcW w:w="3515" w:type="dxa"/>
            <w:vAlign w:val="center"/>
          </w:tcPr>
          <w:p w14:paraId="791C885E">
            <w:pPr>
              <w:spacing w:after="0" w:line="276" w:lineRule="auto"/>
              <w:jc w:val="left"/>
            </w:pPr>
            <w:r>
              <w:rPr>
                <w:rFonts w:ascii="微软雅黑" w:hAnsi="微软雅黑" w:eastAsia="微软雅黑"/>
                <w:b w:val="0"/>
                <w:color w:val="000000"/>
                <w:sz w:val="18"/>
              </w:rPr>
              <w:t>PPTX、PDF、课程报告、质量核验和证据映射是否对应。</w:t>
            </w:r>
          </w:p>
        </w:tc>
        <w:tc>
          <w:tcPr>
            <w:tcW w:w="2721" w:type="dxa"/>
            <w:vAlign w:val="center"/>
          </w:tcPr>
          <w:p w14:paraId="58B298E8">
            <w:pPr>
              <w:spacing w:after="0" w:line="276" w:lineRule="auto"/>
              <w:jc w:val="center"/>
            </w:pPr>
            <w:r>
              <w:rPr>
                <w:rFonts w:ascii="微软雅黑" w:hAnsi="微软雅黑" w:eastAsia="微软雅黑"/>
                <w:b w:val="0"/>
                <w:color w:val="000000"/>
                <w:sz w:val="18"/>
              </w:rPr>
              <w:t>保证课堂展示不是脱离数据的空讲。</w:t>
            </w:r>
          </w:p>
        </w:tc>
      </w:tr>
      <w:tr w14:paraId="662E0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D8EDC64">
            <w:pPr>
              <w:spacing w:after="0" w:line="276" w:lineRule="auto"/>
              <w:jc w:val="center"/>
            </w:pPr>
            <w:r>
              <w:rPr>
                <w:rFonts w:ascii="微软雅黑" w:hAnsi="微软雅黑" w:eastAsia="微软雅黑"/>
                <w:b w:val="0"/>
                <w:color w:val="000000"/>
                <w:sz w:val="18"/>
              </w:rPr>
              <w:t>04_小组成员个人作业整理</w:t>
            </w:r>
          </w:p>
        </w:tc>
        <w:tc>
          <w:tcPr>
            <w:tcW w:w="3515" w:type="dxa"/>
            <w:vAlign w:val="center"/>
          </w:tcPr>
          <w:p w14:paraId="6AAAB759">
            <w:pPr>
              <w:spacing w:after="0" w:line="276" w:lineRule="auto"/>
              <w:jc w:val="left"/>
            </w:pPr>
            <w:r>
              <w:rPr>
                <w:rFonts w:ascii="微软雅黑" w:hAnsi="微软雅黑" w:eastAsia="微软雅黑"/>
                <w:b w:val="0"/>
                <w:color w:val="000000"/>
                <w:sz w:val="18"/>
              </w:rPr>
              <w:t>四名成员是否都有平时作业汇总PDF、10次作业PDF和个人总结。</w:t>
            </w:r>
          </w:p>
        </w:tc>
        <w:tc>
          <w:tcPr>
            <w:tcW w:w="2721" w:type="dxa"/>
            <w:vAlign w:val="center"/>
          </w:tcPr>
          <w:p w14:paraId="0DA2E226">
            <w:pPr>
              <w:spacing w:after="0" w:line="276" w:lineRule="auto"/>
              <w:jc w:val="center"/>
            </w:pPr>
            <w:r>
              <w:rPr>
                <w:rFonts w:ascii="微软雅黑" w:hAnsi="微软雅黑" w:eastAsia="微软雅黑"/>
                <w:b w:val="0"/>
                <w:color w:val="000000"/>
                <w:sz w:val="18"/>
              </w:rPr>
              <w:t>对齐老师最终提交要求。</w:t>
            </w:r>
          </w:p>
        </w:tc>
      </w:tr>
    </w:tbl>
    <w:p w14:paraId="4A9B63F7"/>
    <w:p w14:paraId="7B7D1069">
      <w:pPr>
        <w:spacing w:before="0" w:after="0" w:line="360" w:lineRule="auto"/>
        <w:ind w:firstLine="420"/>
        <w:jc w:val="left"/>
      </w:pPr>
      <w:r>
        <w:rPr>
          <w:rFonts w:ascii="微软雅黑" w:hAnsi="微软雅黑" w:eastAsia="微软雅黑"/>
          <w:b w:val="0"/>
          <w:color w:val="000000"/>
          <w:sz w:val="21"/>
        </w:rPr>
        <w:t>我还检查了一个容易出错的地方：本地材料和GitHub远端不是同一件事。本轮整理是在本地Windows路径下完成的，GitHub地址可以填入共享文档，但没有执行自动提交或推送。因此最终上传前必须由我再审核一次本地目录，并确认哪些文件已经真正进入远端仓库。这个边界如果不写清楚，后面评分时容易出现“本地有、仓库没有”的问题。</w:t>
      </w:r>
    </w:p>
    <w:p w14:paraId="473E411F">
      <w:pPr>
        <w:keepNext/>
        <w:spacing w:before="240" w:after="120"/>
      </w:pPr>
      <w:r>
        <w:rPr>
          <w:rFonts w:ascii="微软雅黑" w:hAnsi="微软雅黑" w:eastAsia="微软雅黑"/>
          <w:b/>
          <w:color w:val="000000"/>
          <w:sz w:val="32"/>
        </w:rPr>
        <w:t>十、PPT汇报逻辑和证据映射</w:t>
      </w:r>
    </w:p>
    <w:p w14:paraId="48CA488C">
      <w:pPr>
        <w:spacing w:before="0" w:after="0" w:line="360" w:lineRule="auto"/>
        <w:ind w:firstLine="420"/>
        <w:jc w:val="left"/>
      </w:pPr>
      <w:r>
        <w:rPr>
          <w:rFonts w:ascii="微软雅黑" w:hAnsi="微软雅黑" w:eastAsia="微软雅黑"/>
          <w:b w:val="0"/>
          <w:color w:val="000000"/>
          <w:sz w:val="21"/>
        </w:rPr>
        <w:t>PPT部分我也做了纠偏。早期版本容易写成“项目很完整、文件很齐全”这种汇报，但老师要看的不是文件清单，而是研究工作本身。最终PPT按18页组织：先讲研究问题和理论框架，再讲数据生命周期和清洗边界，接着讲Stage 1和Stage 2模型结果，最后回到企业部署策略和研究局限。</w:t>
      </w:r>
    </w:p>
    <w:p w14:paraId="213583BC">
      <w:pPr>
        <w:spacing w:before="0" w:after="0" w:line="360" w:lineRule="auto"/>
        <w:ind w:firstLine="420"/>
        <w:jc w:val="left"/>
      </w:pPr>
      <w:r>
        <w:rPr>
          <w:rFonts w:ascii="微软雅黑" w:hAnsi="微软雅黑" w:eastAsia="微软雅黑"/>
          <w:b w:val="0"/>
          <w:color w:val="000000"/>
          <w:sz w:val="21"/>
        </w:rPr>
        <w:t>我在整理PPT时要求每页都有对应证据。讲数据来源时，对应Eurostat源数据和manifest；讲模型结果时，对应course_algorithm_comparison、course_regression_summary、feature_importance等表；讲A10和Agent时，对应GPU基线、测试代码和复现说明；讲部署路径时，对应聚类画像和特征重要性。这样答辩时即使老师追问某个数字，也能回到表格或代码，而不是靠临场解释。</w:t>
      </w:r>
    </w:p>
    <w:p w14:paraId="2EE7852D">
      <w:pPr>
        <w:spacing w:before="0" w:after="0" w:line="360" w:lineRule="auto"/>
        <w:ind w:firstLine="420"/>
        <w:jc w:val="left"/>
      </w:pPr>
      <w:r>
        <w:rPr>
          <w:rFonts w:ascii="微软雅黑" w:hAnsi="微软雅黑" w:eastAsia="微软雅黑"/>
          <w:b w:val="0"/>
          <w:color w:val="000000"/>
          <w:sz w:val="21"/>
        </w:rPr>
        <w:t>我个人在答辩准备中还做了语言压缩。比如“12,770,332行源数据”不能直接说成“模型训练用了1200多万行”，准确说法应该是官方源文件扫描12,770,332行，经过筛选和聚合形成5,814行建模面板。这个改法看似细，但能体现我们懂数据挖掘流程，也避免夸大结果。</w:t>
      </w:r>
    </w:p>
    <w:p w14:paraId="1CCE0C2E">
      <w:pPr>
        <w:keepNext/>
        <w:spacing w:before="240" w:after="120"/>
      </w:pPr>
      <w:r>
        <w:rPr>
          <w:rFonts w:ascii="微软雅黑" w:hAnsi="微软雅黑" w:eastAsia="微软雅黑"/>
          <w:b/>
          <w:color w:val="000000"/>
          <w:sz w:val="32"/>
        </w:rPr>
        <w:t>十</w:t>
      </w:r>
      <w:r>
        <w:rPr>
          <w:rFonts w:hint="eastAsia"/>
          <w:b/>
          <w:color w:val="000000"/>
          <w:sz w:val="32"/>
          <w:lang w:val="en-US" w:eastAsia="zh-CN"/>
        </w:rPr>
        <w:t>一</w:t>
      </w:r>
      <w:bookmarkStart w:id="0" w:name="_GoBack"/>
      <w:bookmarkEnd w:id="0"/>
      <w:r>
        <w:rPr>
          <w:rFonts w:ascii="微软雅黑" w:hAnsi="微软雅黑" w:eastAsia="微软雅黑"/>
          <w:b/>
          <w:color w:val="000000"/>
          <w:sz w:val="32"/>
        </w:rPr>
        <w:t>、个人反思和后续改进</w:t>
      </w:r>
    </w:p>
    <w:p w14:paraId="0763A5C7">
      <w:pPr>
        <w:spacing w:before="0" w:after="0" w:line="360" w:lineRule="auto"/>
        <w:ind w:firstLine="420"/>
        <w:jc w:val="left"/>
      </w:pPr>
      <w:r>
        <w:rPr>
          <w:rFonts w:ascii="微软雅黑" w:hAnsi="微软雅黑" w:eastAsia="微软雅黑"/>
          <w:b w:val="0"/>
          <w:color w:val="000000"/>
          <w:sz w:val="21"/>
        </w:rPr>
        <w:t>这次项目让我对机器学习作业的理解变了。以前单次作业更像“把算法跑通”，结课案例要求我回答更完整的问题：数据从哪里来，清洗规则是否透明，特征为什么这样构建，验证方式有没有泄漏，结果是否能被复核，PPT里的每一个判断能不能找到证据。</w:t>
      </w:r>
    </w:p>
    <w:p w14:paraId="23FF1A62">
      <w:pPr>
        <w:spacing w:before="0" w:after="0" w:line="360" w:lineRule="auto"/>
        <w:ind w:firstLine="420"/>
        <w:jc w:val="left"/>
      </w:pPr>
      <w:r>
        <w:rPr>
          <w:rFonts w:ascii="微软雅黑" w:hAnsi="微软雅黑" w:eastAsia="微软雅黑"/>
          <w:b w:val="0"/>
          <w:color w:val="000000"/>
          <w:sz w:val="21"/>
        </w:rPr>
        <w:t>我也看到了自己的不足。Eurostat指标口径很多，变量解释需要反复对照官方说明；部分变量VIF较高，说明OLS系数不能单独拿出来讲；PPT为了展示效果容易把话写得过满，后期必须把“绝对”“完美”“完全证明”这类词删掉；GitHub公开仓库和本地最终材料也要分清，未推送的内容不能说成远端已经更新。</w:t>
      </w:r>
    </w:p>
    <w:p w14:paraId="09354689">
      <w:pPr>
        <w:spacing w:before="0" w:after="0" w:line="360" w:lineRule="auto"/>
        <w:ind w:firstLine="420"/>
        <w:jc w:val="left"/>
      </w:pPr>
      <w:r>
        <w:rPr>
          <w:rFonts w:ascii="微软雅黑" w:hAnsi="微软雅黑" w:eastAsia="微软雅黑"/>
          <w:b w:val="0"/>
          <w:color w:val="000000"/>
          <w:sz w:val="21"/>
        </w:rPr>
        <w:t>还有一个更具体的教训：文档质量不只是排版。旧版个人总结虽然能打开，也有PDF页数，但正文太短，很多内容只是概括，没有展示我做过的清洗、建模、验证和改写工作。重新整理后，我把每个判断尽量落到数据表、报告、代码或PPT证据上。这个过程让我意识到，课程报告最怕“看上去很整齐，实际上没有内容”。</w:t>
      </w:r>
    </w:p>
    <w:p w14:paraId="521BB79D">
      <w:pPr>
        <w:spacing w:before="0" w:after="0" w:line="360" w:lineRule="auto"/>
        <w:ind w:firstLine="420"/>
        <w:jc w:val="left"/>
      </w:pPr>
      <w:r>
        <w:rPr>
          <w:rFonts w:ascii="微软雅黑" w:hAnsi="微软雅黑" w:eastAsia="微软雅黑"/>
          <w:b w:val="0"/>
          <w:color w:val="000000"/>
          <w:sz w:val="21"/>
        </w:rPr>
        <w:t>在协作上，我也学到一点：组长不能只负责最后合并文件。真正困难的是把不同成员的材料改成同一套研究语言。有人负责数据，有人负责模型，有人负责展示，但最后报告必须能说明同一个问题。后期我花了不少时间处理这个问题，尤其是把投稿稿语言改成课程汇报语言，把文件清单式表达改成研究工作总结。</w:t>
      </w:r>
    </w:p>
    <w:p w14:paraId="65F01E0C">
      <w:pPr>
        <w:spacing w:before="0" w:after="0" w:line="360" w:lineRule="auto"/>
        <w:ind w:firstLine="420"/>
        <w:jc w:val="left"/>
      </w:pPr>
      <w:r>
        <w:rPr>
          <w:rFonts w:ascii="微软雅黑" w:hAnsi="微软雅黑" w:eastAsia="微软雅黑"/>
          <w:b w:val="0"/>
          <w:color w:val="000000"/>
          <w:sz w:val="21"/>
        </w:rPr>
        <w:t>如果继续完善这个项目，我会优先补三件事。第一，补充中国本土企业公开数据或更规范的问卷数据，检验欧洲样本结论能否迁移。第二，增加时间留出和行业留出验证，让模型评价更严格。第三，把Agent原型和真实业务流程连接起来，验证它能不能帮助企业在SaaS、API、本地化和混合部署之间做选择。</w:t>
      </w:r>
    </w:p>
    <w:p w14:paraId="1D9CCF8A">
      <w:pPr>
        <w:keepNext/>
        <w:spacing w:before="240" w:after="120"/>
      </w:pPr>
      <w:r>
        <w:rPr>
          <w:rFonts w:ascii="微软雅黑" w:hAnsi="微软雅黑" w:eastAsia="微软雅黑"/>
          <w:b/>
          <w:color w:val="000000"/>
          <w:sz w:val="32"/>
        </w:rPr>
        <w:t>十三、个人总结</w:t>
      </w:r>
    </w:p>
    <w:p w14:paraId="1ACBDDD5">
      <w:pPr>
        <w:spacing w:before="0" w:after="0" w:line="360" w:lineRule="auto"/>
        <w:ind w:firstLine="420"/>
        <w:jc w:val="left"/>
      </w:pPr>
      <w:r>
        <w:rPr>
          <w:rFonts w:ascii="微软雅黑" w:hAnsi="微软雅黑" w:eastAsia="微软雅黑"/>
          <w:b w:val="0"/>
          <w:color w:val="000000"/>
          <w:sz w:val="21"/>
        </w:rPr>
        <w:t>我在本次小组案例中的核心贡献，是把一个偏论文的研究主题整理成机器学习课程可以检查的完整项目。这个项目有数据来源，有清洗代码，有模型比较，有图表输出，有小组PPT，也有最终PDF报告。我的个人总结不只是写“我参与了小组合作”，而是把我实际承担的工作讲清楚：我怎样把研究问题拆成建模任务，怎样控制数据边界，怎样解释模型结果，怎样把投稿稿内容改成课程展示，怎样把最终文件整理到老师要求的提交结构里。</w:t>
      </w:r>
    </w:p>
    <w:p w14:paraId="7F41E26C">
      <w:pPr>
        <w:spacing w:before="0" w:after="0" w:line="360" w:lineRule="auto"/>
        <w:ind w:firstLine="420"/>
        <w:jc w:val="left"/>
      </w:pPr>
      <w:r>
        <w:rPr>
          <w:rFonts w:ascii="微软雅黑" w:hAnsi="微软雅黑" w:eastAsia="微软雅黑"/>
          <w:b w:val="0"/>
          <w:color w:val="000000"/>
          <w:sz w:val="21"/>
        </w:rPr>
        <w:t>从课程角度看，我最大的收获不是某一个模型分数，而是形成了比较完整的数据挖掘工作习惯。模型结果必须能追溯到数据和代码，报告结论必须能对应模型和图表，展示材料必须知道哪些能说、哪些不能说。这个过程比写一份漂亮但空的总结更慢，也更麻烦，但它更接近这门课真正要考查的能力。</w:t>
      </w:r>
    </w:p>
    <w:sectPr>
      <w:footerReference r:id="rId5" w:type="default"/>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与墨 W04"/>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仓耳与墨 W04">
    <w:panose1 w:val="02020400000000000000"/>
    <w:charset w:val="80"/>
    <w:family w:val="auto"/>
    <w:pitch w:val="default"/>
    <w:sig w:usb0="80000023" w:usb1="1801004A" w:usb2="00000010" w:usb3="00000000" w:csb0="0002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0644D2">
    <w:pPr>
      <w:pStyle w:val="24"/>
      <w:jc w:val="center"/>
    </w:pPr>
    <w:r>
      <w:rPr>
        <w:rFonts w:ascii="微软雅黑" w:hAnsi="微软雅黑" w:eastAsia="微软雅黑"/>
        <w:b w:val="0"/>
        <w:color w:val="000000"/>
        <w:sz w:val="18"/>
      </w:rPr>
      <w:t>信管2301 景浩伟 202321054012｜机器学习课程个人案例总结报告</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15F6C0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color w:val="000000"/>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rPr>
      <w:rFonts w:ascii="微软雅黑" w:hAnsi="微软雅黑" w:eastAsia="微软雅黑"/>
      <w:color w:val="000000"/>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1779</Words>
  <Characters>2180</Characters>
  <Lines>0</Lines>
  <Paragraphs>0</Paragraphs>
  <TotalTime>1</TotalTime>
  <ScaleCrop>false</ScaleCrop>
  <LinksUpToDate>false</LinksUpToDate>
  <CharactersWithSpaces>2193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青春启航</cp:lastModifiedBy>
  <dcterms:modified xsi:type="dcterms:W3CDTF">2026-06-14T09:18:28Z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eyJoZGlkIjoiYzZiMDg3OWM5NmRjMDU5MzM0ZThjNjQzYTM4ZTFlYmEiLCJ1c2VySWQiOiIxMTU4OTEwNzU0In0=</vt:lpwstr>
  </property>
  <property fmtid="{D5CDD505-2E9C-101B-9397-08002B2CF9AE}" pid="3" name="KSOProductBuildVer">
    <vt:lpwstr>2052-12.1.0.26895</vt:lpwstr>
  </property>
  <property fmtid="{D5CDD505-2E9C-101B-9397-08002B2CF9AE}" pid="4" name="ICV">
    <vt:lpwstr>3D126BD6FB314480884448E31AEFF6FE_12</vt:lpwstr>
  </property>
</Properties>
</file>