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企业 AI 部署偏好与治理机制研究型智能体项目说明</w:t>
      </w:r>
    </w:p>
    <w:p>
      <w:pPr>
        <w:spacing w:line="300" w:lineRule="auto"/>
        <w:ind w:firstLine="440"/>
      </w:pPr>
      <w:r>
        <w:t>一、项目目标</w:t>
      </w:r>
    </w:p>
    <w:p>
      <w:pPr>
        <w:spacing w:line="300" w:lineRule="auto"/>
        <w:ind w:firstLine="440"/>
      </w:pPr>
      <w:r>
        <w:t>本项目围绕企业 AI 部署偏好与治理机制，建立一个可复现实验、可解释预测、可提供证据引用的研究型智能体系统。中小企业是重要样本场景，Stage 2 不写成 SME-only，而是行业/区域外部验证层。</w:t>
      </w:r>
    </w:p>
    <w:p>
      <w:pPr>
        <w:spacing w:line="300" w:lineRule="auto"/>
        <w:ind w:firstLine="440"/>
      </w:pPr>
      <w:r>
        <w:t>二、系统组成</w:t>
      </w:r>
    </w:p>
    <w:p>
      <w:pPr>
        <w:spacing w:line="300" w:lineRule="auto"/>
        <w:ind w:firstLine="440"/>
      </w:pPr>
      <w:r>
        <w:t>核心模块位于 10_Agent系统 目录，包含训练模块、工具模块、证据检索模块、接口原型、网页演示和测试脚本。Agent 不直接向大语言模型塞入原始大表，而是通过工具返回指标、证据文件和限制说明。</w:t>
      </w:r>
    </w:p>
    <w:p>
      <w:pPr>
        <w:spacing w:line="300" w:lineRule="auto"/>
        <w:ind w:firstLine="440"/>
      </w:pPr>
      <w:r>
        <w:t>三、建模结果</w:t>
      </w:r>
    </w:p>
    <w:p>
      <w:pPr>
        <w:spacing w:line="300" w:lineRule="auto"/>
        <w:ind w:firstLine="440"/>
      </w:pPr>
      <w:r>
        <w:t>Stage 1：553 行面板，544 个可建模样本，36 geo，Ridge，GroupKFold R2=0.8680，MAE=1.8342。</w:t>
      </w:r>
    </w:p>
    <w:p>
      <w:pPr>
        <w:spacing w:line="300" w:lineRule="auto"/>
        <w:ind w:firstLine="440"/>
      </w:pPr>
      <w:r>
        <w:t>Stage 2：5,814 行，36 geo，50 行业，ExtraTrees，长跑复算 GroupKFold R2=0.7245，MAE=1.9646。</w:t>
      </w:r>
    </w:p>
    <w:p>
      <w:pPr>
        <w:spacing w:line="300" w:lineRule="auto"/>
        <w:ind w:firstLine="440"/>
      </w:pPr>
      <w:r>
        <w:t>四、质量控制</w:t>
      </w:r>
    </w:p>
    <w:p>
      <w:pPr>
        <w:spacing w:line="300" w:lineRule="auto"/>
        <w:ind w:firstLine="440"/>
      </w:pPr>
      <w:r>
        <w:t>项目包含数据哈希审计、特征泄漏审计、GroupKFold 泛化验证、结果表、图表和 Agent 单元测试。固定评估集中，工具调用和引用约束是重点；证据不足时应返回“无法确认”。</w:t>
      </w:r>
    </w:p>
    <w:p>
      <w:pPr>
        <w:spacing w:line="300" w:lineRule="auto"/>
        <w:ind w:firstLine="440"/>
      </w:pPr>
      <w:r>
        <w:t>五、课程价值</w:t>
      </w:r>
    </w:p>
    <w:p>
      <w:pPr>
        <w:spacing w:line="300" w:lineRule="auto"/>
        <w:ind w:firstLine="440"/>
      </w:pPr>
      <w:r>
        <w:t>该项目完整展示了源数据获取、数据清洗、特征工程、监督学习、交叉验证、模型解释和 Agent 工程封装的数据挖掘生命周期。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