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8224A"/>
          <w:sz w:val="40"/>
        </w:rPr>
        <w:t>基于中小企业 AI 流程自动化采纳机制研究</w:t>
      </w:r>
    </w:p>
    <w:p>
      <w:pPr>
        <w:jc w:val="center"/>
      </w:pPr>
      <w:r>
        <w:rPr>
          <w:rFonts w:ascii="Microsoft YaHei" w:hAnsi="Microsoft YaHei" w:eastAsia="Microsoft YaHei"/>
          <w:color w:val="1464A5"/>
          <w:sz w:val="26"/>
        </w:rPr>
        <w:t>效率需求、安全顾虑与部署偏好的机器学习实证分析</w:t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9"/>
        </w:rPr>
        <w:t>机器学习/数据挖掘课程结题案例报告｜数据来源：Eurostat 官方 SDMX-CSV｜应用场景：ai.zhjjq.tech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摘要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本研究围绕中小企业 AI 流程自动化采纳机制，使用 Eurostat 官方企业数字化与 AI 采用数据，构建从源数据采集、清洗审计、特征工程、机器学习训练到部署策略建议的完整数据挖掘案例。研究将效率需求、安全顾虑与部署准备度转化为可计算变量，采用多元线性回归、岭回归、随机森林、ExtraTrees 和 A10 GPU PyTorch MLP 进行对照训练。结果显示，机器学习能力、数字基础、治理成熟度和部署准备度是 AI 流程自动化采纳强度的重要解释因素；安全顾虑并非单纯抑制因素，而是影响企业选择 SaaS、API、本地化或混合部署的重要分流机制。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一、数据来源与真实性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最终进入训练的数据来自 Eurostat 官方 SDMX-CSV 接口。每个原始文件均记录 URL、HTTP 状态、下载时间、文件大小和 SHA256 校验值，保存在 data/raw/manifest.jsonl 与 data/raw/manifest_stage2.jsonl。仓库同时提供中文目录 01_源数据，便于课程检查。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Stage 1 使用企业规模组口径，覆盖 AI 采用、云服务、数字强度、数据分析、ICT 人才与电子商务等官方指标。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Stage 2 使用 GE10 企业规模口径下的 NACE 行业/区域数据，用作外部验证，不表述为 SME 规模拆分。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曾尝试获取 U.S. Census BTOS AI 文件但接口返回 HTTP 403，未进入训练，也不作为结论来源。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二、数据生命周期与清洗结果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4535"/>
      </w:tblGrid>
      <w:tr>
        <w:tc>
          <w:tcPr>
            <w:tcW w:type="dxa" w:w="4873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4873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数量/结果</w:t>
            </w:r>
          </w:p>
        </w:tc>
      </w:tr>
      <w:tr>
        <w:tc>
          <w:tcPr>
            <w:tcW w:type="dxa" w:w="3402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Stage 2 官方源文件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17</w:t>
            </w:r>
          </w:p>
        </w:tc>
      </w:tr>
      <w:tr>
        <w:tc>
          <w:tcPr>
            <w:tcW w:type="dxa" w:w="3402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原始源数据扫描行数</w:t>
            </w:r>
          </w:p>
        </w:tc>
        <w:tc>
          <w:tcPr>
            <w:tcW w:type="dxa" w:w="4535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12,770,332</w:t>
            </w:r>
          </w:p>
        </w:tc>
      </w:tr>
      <w:tr>
        <w:tc>
          <w:tcPr>
            <w:tcW w:type="dxa" w:w="3402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非空观测值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10,453,354</w:t>
            </w:r>
          </w:p>
        </w:tc>
      </w:tr>
      <w:tr>
        <w:tc>
          <w:tcPr>
            <w:tcW w:type="dxa" w:w="3402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机制变量筛选后保留行</w:t>
            </w:r>
          </w:p>
        </w:tc>
        <w:tc>
          <w:tcPr>
            <w:tcW w:type="dxa" w:w="4535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856,880</w:t>
            </w:r>
          </w:p>
        </w:tc>
      </w:tr>
      <w:tr>
        <w:tc>
          <w:tcPr>
            <w:tcW w:type="dxa" w:w="3402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Stage 2 行业/区域建模面板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5,814 行 × 80 列</w:t>
            </w:r>
          </w:p>
        </w:tc>
      </w:tr>
      <w:tr>
        <w:tc>
          <w:tcPr>
            <w:tcW w:type="dxa" w:w="3402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Stage 1 SME 规模层建模样本</w:t>
            </w:r>
          </w:p>
        </w:tc>
        <w:tc>
          <w:tcPr>
            <w:tcW w:type="dxa" w:w="4535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544 行 × 100 列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05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01_数据生命周期漏斗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7"/>
        </w:rPr>
        <w:t>图1 数据生命周期：从官方源数据到可训练面板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清洗过程中执行了长表转面板、目标变量非空筛选、重复键检查、缺失率审计和目标泄漏控制。直接目标变量、总体 AI 采用变量以及 target/workflow_gap/adoption_gap 等目标派生变量不进入特征集。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三、变量体系与研究框架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本研究将 TOE 与 TAM 框架转化为可训练变量。技术条件包括机器学习能力、自然语言生成、云开发能力和数据分析成熟度；组织基础包括数字基础、ICT 人才、治理成熟度和部署准备度；环境压力包括市场数字化、行业差异、国家/区域异质性和时间趋势；感知机制包括效率需求、安全顾虑与采纳强度转化。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四、机器学习方法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课程案例采用监督学习与解释模型结合的方式：OLS 用于解释机制方向与显著性；岭回归处理多重共线性；随机森林与 ExtraTrees 捕捉非线性和变量交互；A10 GPU 上的 PyTorch MLP 作为神经网络基线。模型评估采用 R2 和 MAE，并使用按国家分组的 GroupKFold 交叉验证，避免同一国家观测同时进入训练集和测试集造成泛化能力虚高。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53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02_模型交叉验证比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7"/>
        </w:rPr>
        <w:t>图2 模型交叉验证比较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五、回归解释与特征重要性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134"/>
        <w:gridCol w:w="1134"/>
      </w:tblGrid>
      <w:tr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模型层级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n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R2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Adj.R2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特征数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p&lt;0.05</w:t>
            </w:r>
          </w:p>
        </w:tc>
      </w:tr>
      <w:tr>
        <w:tc>
          <w:tcPr>
            <w:tcW w:type="dxa" w:w="2268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Stage 1 SME规模层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544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0.919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0.917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3</w:t>
            </w:r>
          </w:p>
        </w:tc>
      </w:tr>
      <w:tr>
        <w:tc>
          <w:tcPr>
            <w:tcW w:type="dxa" w:w="2268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Stage 2 行业验证层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5814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0.712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0.711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10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571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03_多元回归标准化系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7"/>
        </w:rPr>
        <w:t>图3 多元回归标准化系数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913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04_特征重要性双面板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1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7"/>
        </w:rPr>
        <w:t>图4 随机森林/ExtraTrees 特征重要性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回归与特征重要性结果共同显示，机器学习能力是最稳定的核心驱动。Stage 2 中数字基础、治理成熟度和部署准备度也呈现显著正向解释力，说明 AI 流程自动化采纳不是单一工具购买行为，而是技术、组织与治理能力共同作用的结果。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六、A10 GPU 基线与模型选择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134"/>
        <w:gridCol w:w="1134"/>
        <w:gridCol w:w="1134"/>
      </w:tblGrid>
      <w:tr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数据层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设备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模型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R2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MAE</w:t>
            </w:r>
          </w:p>
        </w:tc>
        <w:tc>
          <w:tcPr>
            <w:tcW w:type="dxa" w:w="1624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最佳epoch</w:t>
            </w:r>
          </w:p>
        </w:tc>
      </w:tr>
      <w:tr>
        <w:tc>
          <w:tcPr>
            <w:tcW w:type="dxa" w:w="1701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SME规模层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NVIDIA A10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torch_mlp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0.806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2.523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20</w:t>
            </w:r>
          </w:p>
        </w:tc>
      </w:tr>
      <w:tr>
        <w:tc>
          <w:tcPr>
            <w:tcW w:type="dxa" w:w="1701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行业验证层</w:t>
            </w:r>
          </w:p>
        </w:tc>
        <w:tc>
          <w:tcPr>
            <w:tcW w:type="dxa" w:w="1701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NVIDIA A10</w:t>
            </w:r>
          </w:p>
        </w:tc>
        <w:tc>
          <w:tcPr>
            <w:tcW w:type="dxa" w:w="1701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torch_mlp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0.662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2.529</w:t>
            </w:r>
          </w:p>
        </w:tc>
        <w:tc>
          <w:tcPr>
            <w:tcW w:type="dxa" w:w="1134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173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05_A10_GPU_MLP基线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17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7"/>
        </w:rPr>
        <w:t>图5 A10 GPU PyTorch MLP 基线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A10 GPU 基线结果低于树模型，说明结构化企业面板数据并不一定适合更复杂的神经网络模型。该结果体现了机器学习课程中的重要原则：模型复杂度必须服从数据结构、样本量与泛化验证结果。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七、部署策略与企业价值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0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07_部署偏好策略矩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37083"/>
          <w:sz w:val="17"/>
        </w:rPr>
        <w:t>图6 部署偏好策略矩阵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安全顾虑不是简单阻碍 AI 采用，而是企业部署偏好的分流器。高安全顾虑企业更适合本地化或私有云部署；高效率需求但安全要求较高的企业适合混合部署；低安全顾虑且流程集成需求高的企业适合 API 接入；基础薄弱企业更适合标准 SaaS 试点。该结论可直接服务 ai.zhjjq.tech 的客户分层、流程入口、审批治理和部署报价策略。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八、结论与后续研究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结论一：企业 AI 流程自动化采纳强度主要由机器学习能力、数据基础、部署准备度和治理成熟度共同驱动。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结论二：安全顾虑会重塑部署路径，使企业从单纯公有 SaaS 转向本地化、私有云或混合部署。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结论三：SME 层随机森林 R2=0.850，行业/区域外部验证层 ExtraTrees R2=0.724，机制具有一定迁移性。</w:t>
      </w:r>
    </w:p>
    <w:p>
      <w:pPr>
        <w:pStyle w:val="ListBullet"/>
        <w:spacing w:line="276" w:lineRule="auto"/>
      </w:pPr>
      <w:r>
        <w:rPr>
          <w:rFonts w:ascii="Microsoft YaHei" w:hAnsi="Microsoft YaHei" w:eastAsia="Microsoft YaHei"/>
          <w:sz w:val="20"/>
        </w:rPr>
        <w:t>结论四：A10 GPU MLP 低于树模型，证明本项目更适合表格学习模型，而非盲目堆叠复杂神经网络。</w:t>
      </w:r>
    </w:p>
    <w:p>
      <w:pPr>
        <w:spacing w:line="300" w:lineRule="auto" w:after="120"/>
        <w:ind w:firstLine="420"/>
      </w:pPr>
      <w:r>
        <w:rPr>
          <w:rFonts w:ascii="Microsoft YaHei" w:hAnsi="Microsoft YaHei" w:eastAsia="Microsoft YaHei"/>
          <w:sz w:val="21"/>
        </w:rPr>
        <w:t>后续研究可接入国内中小企业真实使用日志、访谈和问卷追踪，结合 ai.zhjjq.tech 后台任务日志进行 A/B 测试，并加入面板固定效应或因果推断方法，进一步提升研究的解释深度和产品落地价值。</w:t>
      </w:r>
    </w:p>
    <w:p>
      <w:pPr>
        <w:pStyle w:val="Heading1"/>
      </w:pPr>
      <w:r>
        <w:rPr>
          <w:rFonts w:ascii="Microsoft YaHei" w:hAnsi="Microsoft YaHei" w:eastAsia="Microsoft YaHei"/>
          <w:color w:val="08224A"/>
        </w:rPr>
        <w:t>附录：提交目录说明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5669"/>
      </w:tblGrid>
      <w:tr>
        <w:tc>
          <w:tcPr>
            <w:tcW w:type="dxa" w:w="4873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中文目录</w:t>
            </w:r>
          </w:p>
        </w:tc>
        <w:tc>
          <w:tcPr>
            <w:tcW w:type="dxa" w:w="4873"/>
            <w:vAlign w:val="center"/>
            <w:shd w:fill="08224A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01_源数据</w:t>
            </w:r>
          </w:p>
        </w:tc>
        <w:tc>
          <w:tcPr>
            <w:tcW w:type="dxa" w:w="5669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Eurostat 官方原始下载数据、压缩文件、manifest 来源校验。</w:t>
            </w:r>
          </w:p>
        </w:tc>
      </w:tr>
      <w:tr>
        <w:tc>
          <w:tcPr>
            <w:tcW w:type="dxa" w:w="2268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02_清洗后数据</w:t>
            </w:r>
          </w:p>
        </w:tc>
        <w:tc>
          <w:tcPr>
            <w:tcW w:type="dxa" w:w="5669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清洗后的建模面板和样本预览。</w:t>
            </w:r>
          </w:p>
        </w:tc>
      </w:tr>
      <w:tr>
        <w:tc>
          <w:tcPr>
            <w:tcW w:type="dxa" w:w="2268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03_清洗与训练代码</w:t>
            </w:r>
          </w:p>
        </w:tc>
        <w:tc>
          <w:tcPr>
            <w:tcW w:type="dxa" w:w="5669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数据下载、清洗、特征工程、A10训练、课程诊断、图表生成代码。</w:t>
            </w:r>
          </w:p>
        </w:tc>
      </w:tr>
      <w:tr>
        <w:tc>
          <w:tcPr>
            <w:tcW w:type="dxa" w:w="2268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04_分析结果表格</w:t>
            </w:r>
          </w:p>
        </w:tc>
        <w:tc>
          <w:tcPr>
            <w:tcW w:type="dxa" w:w="5669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数据质量审计、模型指标、OLS、VIF、特征重要性、GPU基线。</w:t>
            </w:r>
          </w:p>
        </w:tc>
      </w:tr>
      <w:tr>
        <w:tc>
          <w:tcPr>
            <w:tcW w:type="dxa" w:w="2268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05_学术图表</w:t>
            </w:r>
          </w:p>
        </w:tc>
        <w:tc>
          <w:tcPr>
            <w:tcW w:type="dxa" w:w="5669"/>
            <w:vAlign w:val="center"/>
            <w:shd w:fill="FFFF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PNG/SVG 学术图表。</w:t>
            </w:r>
          </w:p>
        </w:tc>
      </w:tr>
      <w:tr>
        <w:tc>
          <w:tcPr>
            <w:tcW w:type="dxa" w:w="2268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06_结课报告</w:t>
            </w:r>
          </w:p>
        </w:tc>
        <w:tc>
          <w:tcPr>
            <w:tcW w:type="dxa" w:w="5669"/>
            <w:vAlign w:val="center"/>
            <w:shd w:fill="F8FBFF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6"/>
              </w:rPr>
              <w:t>数据来源、训练核验、研究质量说明和最终报告。</w:t>
            </w:r>
          </w:p>
        </w:tc>
      </w:tr>
    </w:tbl>
    <w:p/>
    <w:sectPr w:rsidR="00FC693F" w:rsidRPr="0006063C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