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color w:val="142346"/>
          <w:sz w:val="36"/>
        </w:rPr>
        <w:t>研究过程与Agent训练进度汇报</w:t>
      </w:r>
    </w:p>
    <w:p>
      <w:pPr>
        <w:jc w:val="center"/>
      </w:pPr>
      <w:r>
        <w:rPr>
          <w:rFonts w:ascii="微软雅黑" w:hAnsi="微软雅黑" w:eastAsia="微软雅黑"/>
          <w:b w:val="0"/>
          <w:color w:val="505A6E"/>
          <w:sz w:val="22"/>
        </w:rPr>
        <w:t>基于中小企业 AI 流程自动化采纳机制研究：从课程案例到研究型机器学习项目</w:t>
      </w:r>
    </w:p>
    <w:p>
      <w:pPr>
        <w:jc w:val="center"/>
      </w:pPr>
      <w:r>
        <w:rPr>
          <w:rFonts w:ascii="微软雅黑" w:hAnsi="微软雅黑" w:eastAsia="微软雅黑"/>
          <w:b w:val="0"/>
          <w:color w:val="646464"/>
          <w:sz w:val="20"/>
        </w:rPr>
        <w:t>2026年5月19日</w:t>
      </w:r>
    </w:p>
    <w:p/>
    <w:p>
      <w:r>
        <w:rPr>
          <w:rFonts w:ascii="微软雅黑" w:hAnsi="微软雅黑" w:eastAsia="微软雅黑"/>
          <w:b/>
          <w:color w:val="142346"/>
          <w:sz w:val="26"/>
        </w:rPr>
        <w:t>关键信息摘要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fill="D9EAF7"/>
            <w:vAlign w:val="center"/>
          </w:tcPr>
          <w:p>
            <w:r>
              <w:rPr>
                <w:rFonts w:ascii="微软雅黑" w:hAnsi="微软雅黑" w:eastAsia="微软雅黑"/>
                <w:b/>
                <w:sz w:val="21"/>
              </w:rPr>
              <w:t>项目</w:t>
            </w:r>
          </w:p>
        </w:tc>
        <w:tc>
          <w:tcPr>
            <w:tcW w:type="dxa" w:w="4759"/>
            <w:shd w:fill="D9EAF7"/>
            <w:vAlign w:val="center"/>
          </w:tcPr>
          <w:p>
            <w:r>
              <w:rPr>
                <w:rFonts w:ascii="微软雅黑" w:hAnsi="微软雅黑" w:eastAsia="微软雅黑"/>
                <w:b/>
                <w:sz w:val="21"/>
              </w:rPr>
              <w:t>内容</w:t>
            </w:r>
          </w:p>
        </w:tc>
      </w:tr>
      <w:tr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研究主题</w:t>
            </w:r>
          </w:p>
        </w:tc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中小企业 AI 流程自动化采纳机制</w:t>
            </w:r>
          </w:p>
        </w:tc>
      </w:tr>
      <w:tr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早期数据</w:t>
            </w:r>
          </w:p>
        </w:tc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问卷星 571 份样本，清洗后 538 份有效样本；Kaggle 数据作为辅助参考</w:t>
            </w:r>
          </w:p>
        </w:tc>
      </w:tr>
      <w:tr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最终主数据</w:t>
            </w:r>
          </w:p>
        </w:tc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Eurostat 官方公开数据</w:t>
            </w:r>
          </w:p>
        </w:tc>
      </w:tr>
      <w:tr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Stage 1</w:t>
            </w:r>
          </w:p>
        </w:tc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SME 规模层机制分析</w:t>
            </w:r>
          </w:p>
        </w:tc>
      </w:tr>
      <w:tr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Stage 2</w:t>
            </w:r>
          </w:p>
        </w:tc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GE10 行业/区域外部验证，不伪装为 SME-only</w:t>
            </w:r>
          </w:p>
        </w:tc>
      </w:tr>
      <w:tr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官方源数据规模</w:t>
            </w:r>
          </w:p>
        </w:tc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约 1,277 万行</w:t>
            </w:r>
          </w:p>
        </w:tc>
      </w:tr>
      <w:tr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建模面板</w:t>
            </w:r>
          </w:p>
        </w:tc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筛选后 5,814 行</w:t>
            </w:r>
          </w:p>
        </w:tc>
      </w:tr>
      <w:tr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最终冠军模型</w:t>
            </w:r>
          </w:p>
        </w:tc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Stage 2 ExtraTrees</w:t>
            </w:r>
          </w:p>
        </w:tc>
      </w:tr>
      <w:tr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A10 二次调参后 academic score</w:t>
            </w:r>
          </w:p>
        </w:tc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0.9166790032121498</w:t>
            </w:r>
          </w:p>
        </w:tc>
      </w:tr>
      <w:tr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部署架构</w:t>
            </w:r>
          </w:p>
        </w:tc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A10 训练，62 服务器长期模型 API，43 工作站 Agent 可视化入口</w:t>
            </w:r>
          </w:p>
        </w:tc>
      </w:tr>
    </w:tbl>
    <w:p/>
    <w:p>
      <w:pPr>
        <w:spacing w:before="160" w:after="100"/>
      </w:pPr>
      <w:r>
        <w:rPr>
          <w:rFonts w:ascii="微软雅黑" w:hAnsi="微软雅黑" w:eastAsia="微软雅黑"/>
          <w:b/>
          <w:color w:val="142346"/>
          <w:sz w:val="28"/>
        </w:rPr>
        <w:t>一、项目背景与选题意义</w:t>
      </w:r>
    </w:p>
    <w:p>
      <w:pPr>
        <w:spacing w:line="300" w:lineRule="auto" w:after="120"/>
        <w:ind w:firstLine="420"/>
      </w:pPr>
      <w:r>
        <w:rPr>
          <w:rFonts w:ascii="微软雅黑" w:hAnsi="微软雅黑" w:eastAsia="微软雅黑"/>
          <w:b w:val="0"/>
          <w:sz w:val="22"/>
        </w:rPr>
        <w:t>我们的选题是“基于中小企业 AI 流程自动化采纳机制研究：效率需求、安全顾虑与部署偏好的实证分析”。这个题目来自一个很现实的问题：中小企业一方面面临人工成本上升、重复流程多、数字化转型压力大，另一方面又会担心数据安全、部署成本和组织能力不足。</w:t>
      </w:r>
    </w:p>
    <w:p>
      <w:pPr>
        <w:spacing w:line="300" w:lineRule="auto" w:after="120"/>
        <w:ind w:firstLine="420"/>
      </w:pPr>
      <w:r>
        <w:rPr>
          <w:rFonts w:ascii="微软雅黑" w:hAnsi="微软雅黑" w:eastAsia="微软雅黑"/>
          <w:b w:val="0"/>
          <w:sz w:val="22"/>
        </w:rPr>
        <w:t>因此，本项目不是单纯预测某个数值，而是希望用机器学习和数据挖掘方法回答三个问题：哪些因素影响企业采用 AI 自动化工具？不同国家、行业和数字化基础下，采纳机制有什么差异？模型结果能否转化为可解释的部署建议，并进一步被 Agent 调用？</w:t>
      </w:r>
    </w:p>
    <w:p>
      <w:pPr>
        <w:spacing w:before="160" w:after="100"/>
      </w:pPr>
      <w:r>
        <w:rPr>
          <w:rFonts w:ascii="微软雅黑" w:hAnsi="微软雅黑" w:eastAsia="微软雅黑"/>
          <w:b/>
          <w:color w:val="142346"/>
          <w:sz w:val="28"/>
        </w:rPr>
        <w:t>二、为什么选择这个案例</w:t>
      </w:r>
    </w:p>
    <w:p>
      <w:pPr>
        <w:spacing w:line="300" w:lineRule="auto" w:after="120"/>
        <w:ind w:firstLine="420"/>
      </w:pPr>
      <w:r>
        <w:rPr>
          <w:rFonts w:ascii="微软雅黑" w:hAnsi="微软雅黑" w:eastAsia="微软雅黑"/>
          <w:b w:val="0"/>
          <w:sz w:val="22"/>
        </w:rPr>
        <w:t>我选择这个案例，是因为它和机器学习课程的核心内容结合得比较完整：它有真实数据采集、数据清洗、特征工程、监督学习建模、模型评价、可解释性分析和最终应用落地。相比只做一个静态回归表，这个案例更能体现“数据从产生到应用”的完整生命周期。</w:t>
      </w:r>
    </w:p>
    <w:p>
      <w:pPr>
        <w:spacing w:line="300" w:lineRule="auto" w:after="120"/>
        <w:ind w:firstLine="420"/>
      </w:pPr>
      <w:r>
        <w:rPr>
          <w:rFonts w:ascii="微软雅黑" w:hAnsi="微软雅黑" w:eastAsia="微软雅黑"/>
          <w:b w:val="0"/>
          <w:sz w:val="22"/>
        </w:rPr>
        <w:t>同时，这个选题也有研究意义。中小企业是 AI 工具落地中很重要的一类主体，但它们的采纳行为不只由技术先进程度决定，还受到效率需求、安全顾虑、部署偏好、行业结构、地区数字基础等因素影响。用机器学习做这个问题，可以从多维指标中识别关键变量，并把结果转化为可操作的企业画像和部署策略。</w:t>
      </w:r>
    </w:p>
    <w:p>
      <w:pPr>
        <w:spacing w:before="160" w:after="100"/>
      </w:pPr>
      <w:r>
        <w:rPr>
          <w:rFonts w:ascii="微软雅黑" w:hAnsi="微软雅黑" w:eastAsia="微软雅黑"/>
          <w:b/>
          <w:color w:val="142346"/>
          <w:sz w:val="28"/>
        </w:rPr>
        <w:t>三、思想转变：从普通数据分析到研究型机器学习案例</w:t>
      </w:r>
    </w:p>
    <w:p>
      <w:pPr>
        <w:spacing w:line="300" w:lineRule="auto" w:after="120"/>
        <w:ind w:firstLine="420"/>
      </w:pPr>
      <w:r>
        <w:rPr>
          <w:rFonts w:ascii="微软雅黑" w:hAnsi="微软雅黑" w:eastAsia="微软雅黑"/>
          <w:b w:val="0"/>
          <w:sz w:val="22"/>
        </w:rPr>
        <w:t>项目一开始的思路比较传统：以问卷星收集的 571 份样本为主，经无效样本剔除后保留 538 份有效数据，再结合 Kaggle 的 Global AI Adoption &amp; Workforce Impact Dataset 作为辅助参考，计划做因子分析、信度检验、多元线性回归和交互项分析。这个方案可以完成一份课程报告，但我后来意识到它还不够“数据挖掘”。</w:t>
      </w:r>
    </w:p>
    <w:p>
      <w:pPr>
        <w:spacing w:line="300" w:lineRule="auto" w:after="120"/>
        <w:ind w:firstLine="420"/>
      </w:pPr>
      <w:r>
        <w:rPr>
          <w:rFonts w:ascii="微软雅黑" w:hAnsi="微软雅黑" w:eastAsia="微软雅黑"/>
          <w:b w:val="0"/>
          <w:sz w:val="22"/>
        </w:rPr>
        <w:t>主要问题有三个：第一，问卷样本规模有限，容易受样本偏差影响；第二，Kaggle 数据适合作为参考，但如果直接作为主训练数据，研究来源的权威性和可追溯性不够强；第三，课程要求有代码和真实数据，如果只停留在问卷分析，机器学习建模、泛化验证和应用部署的体现都比较弱。</w:t>
      </w:r>
    </w:p>
    <w:p>
      <w:pPr>
        <w:spacing w:line="300" w:lineRule="auto" w:after="120"/>
        <w:ind w:firstLine="420"/>
      </w:pPr>
      <w:r>
        <w:rPr>
          <w:rFonts w:ascii="微软雅黑" w:hAnsi="微软雅黑" w:eastAsia="微软雅黑"/>
          <w:b w:val="0"/>
          <w:sz w:val="22"/>
        </w:rPr>
        <w:t>所以后面我们推翻了“只做问卷和 Kaggle”的路线，但没有改变研究选题，而是把研究设计升级为：用官方公开数据构造 AI 采纳与数字化基础指标，用机器学习训练泛化模型，再把训练结果接入可视化 Agent，让研究结果可以被问答、解释和调用。</w:t>
      </w:r>
    </w:p>
    <w:p>
      <w:pPr>
        <w:spacing w:before="160" w:after="100"/>
      </w:pPr>
      <w:r>
        <w:rPr>
          <w:rFonts w:ascii="微软雅黑" w:hAnsi="微软雅黑" w:eastAsia="微软雅黑"/>
          <w:b/>
          <w:color w:val="142346"/>
          <w:sz w:val="28"/>
        </w:rPr>
        <w:t>四、数据来源与数据生命周期</w:t>
      </w:r>
    </w:p>
    <w:p>
      <w:pPr>
        <w:spacing w:line="300" w:lineRule="auto" w:after="120"/>
        <w:ind w:firstLine="420"/>
      </w:pPr>
      <w:r>
        <w:rPr>
          <w:rFonts w:ascii="微软雅黑" w:hAnsi="微软雅黑" w:eastAsia="微软雅黑"/>
          <w:b w:val="0"/>
          <w:sz w:val="22"/>
        </w:rPr>
        <w:t>最终主线采用 Eurostat 官方公开数据作为核心数据来源，围绕企业 AI 技术使用、云计算、数字强度、ICT 技能、行业结构、区域结构等指标构建研究面板。问卷和 Kaggle 数据不再被写成最终主训练数据，而是作为早期选题论证和变量设计参考。</w:t>
      </w:r>
    </w:p>
    <w:p>
      <w:pPr>
        <w:spacing w:line="300" w:lineRule="auto" w:after="120"/>
        <w:ind w:firstLine="420"/>
      </w:pPr>
      <w:r>
        <w:rPr>
          <w:rFonts w:ascii="微软雅黑" w:hAnsi="微软雅黑" w:eastAsia="微软雅黑"/>
          <w:b w:val="0"/>
          <w:sz w:val="22"/>
        </w:rPr>
        <w:t>数据生命周期主要包括：数据来源确认、数据下载与采集、原始文件哈希记录、字段标准化、缺失值处理、指标筛选、特征工程、建模训练、验证评估、模型解释、产物归档、Agent 调用和后续反馈。这个过程对应了数字生命周期中“采集、治理、建模、部署、使用、反馈”的完整闭环。</w:t>
      </w:r>
    </w:p>
    <w:p>
      <w:pPr>
        <w:spacing w:line="300" w:lineRule="auto" w:after="120"/>
        <w:ind w:firstLine="420"/>
      </w:pPr>
      <w:r>
        <w:rPr>
          <w:rFonts w:ascii="微软雅黑" w:hAnsi="微软雅黑" w:eastAsia="微软雅黑"/>
          <w:b w:val="0"/>
          <w:sz w:val="22"/>
        </w:rPr>
        <w:t>在数据规模上，Stage 2 使用的官方源数据约 1,277 万行，经过指标筛选、国家和行业维度整理、时间窗口处理后，构建出 5,814 行建模面板。这个面板规模不追求盲目大，而是强调来源真实、字段可追溯、指标含义清楚、训练验证不泄漏。</w:t>
      </w:r>
    </w:p>
    <w:p>
      <w:pPr>
        <w:spacing w:before="160" w:after="100"/>
      </w:pPr>
      <w:r>
        <w:rPr>
          <w:rFonts w:ascii="微软雅黑" w:hAnsi="微软雅黑" w:eastAsia="微软雅黑"/>
          <w:b/>
          <w:color w:val="142346"/>
          <w:sz w:val="28"/>
        </w:rPr>
        <w:t>五、Stage 1 与 Stage 2 的研究边界</w:t>
      </w:r>
    </w:p>
    <w:p>
      <w:pPr>
        <w:spacing w:line="300" w:lineRule="auto" w:after="120"/>
        <w:ind w:firstLine="420"/>
      </w:pPr>
      <w:r>
        <w:rPr>
          <w:rFonts w:ascii="微软雅黑" w:hAnsi="微软雅黑" w:eastAsia="微软雅黑"/>
          <w:b w:val="0"/>
          <w:sz w:val="22"/>
        </w:rPr>
        <w:t>本项目把建模分为两个阶段，避免把不同数据口径混在一起。Stage 1 聚焦 SME 规模层机制分析，主要用于解释中小企业 AI 采纳机制，强调和原始选题的直接关系。Stage 2 采用 GE10 行业/区域外部验证，用来检验模型在更大范围的行业、国家和数字化环境下是否稳定。</w:t>
      </w:r>
    </w:p>
    <w:p>
      <w:pPr>
        <w:spacing w:line="300" w:lineRule="auto" w:after="120"/>
        <w:ind w:firstLine="420"/>
      </w:pPr>
      <w:r>
        <w:rPr>
          <w:rFonts w:ascii="微软雅黑" w:hAnsi="微软雅黑" w:eastAsia="微软雅黑"/>
          <w:b w:val="0"/>
          <w:sz w:val="22"/>
        </w:rPr>
        <w:t>这里特别注意：Stage 2 不是伪装成 SME-only 样本，而是明确作为外部验证和泛化分析。这样处理的好处是，报告中既保留了中小企业研究主题，又能用更大规模、更稳定的官方数据支持机器学习训练，避免为了“高分”而牺牲研究边界。</w:t>
      </w:r>
    </w:p>
    <w:p>
      <w:pPr>
        <w:spacing w:before="160" w:after="100"/>
      </w:pPr>
      <w:r>
        <w:rPr>
          <w:rFonts w:ascii="微软雅黑" w:hAnsi="微软雅黑" w:eastAsia="微软雅黑"/>
          <w:b/>
          <w:color w:val="142346"/>
          <w:sz w:val="28"/>
        </w:rPr>
        <w:t>六、数据处理与特征工程</w:t>
      </w:r>
    </w:p>
    <w:p>
      <w:pPr>
        <w:spacing w:line="300" w:lineRule="auto" w:after="120"/>
        <w:ind w:firstLine="420"/>
      </w:pPr>
      <w:r>
        <w:rPr>
          <w:rFonts w:ascii="微软雅黑" w:hAnsi="微软雅黑" w:eastAsia="微软雅黑"/>
          <w:b w:val="0"/>
          <w:sz w:val="22"/>
        </w:rPr>
        <w:t>数据处理阶段主要完成了指标重命名、国家和行业维度对齐、年份窗口筛选、缺失值处理、类别变量编码、派生指标构建和训练清单记录。为了避免模型偷看答案，还加入了 target leakage audit，检查 Stage 1 和 Stage 2 的特征中是否包含目标变量或目标变量的直接变形。</w:t>
      </w:r>
    </w:p>
    <w:p>
      <w:pPr>
        <w:spacing w:line="300" w:lineRule="auto" w:after="120"/>
        <w:ind w:firstLine="420"/>
      </w:pPr>
      <w:r>
        <w:rPr>
          <w:rFonts w:ascii="微软雅黑" w:hAnsi="微软雅黑" w:eastAsia="微软雅黑"/>
          <w:b w:val="0"/>
          <w:sz w:val="22"/>
        </w:rPr>
        <w:t>特征工程围绕研究问题设计，既包括 AI 技术使用相关指标，也包括数字基础、云计算、ICT 能力、国家维度、行业维度和部署准备度等变量。最终模型不是把所有字段无差别塞进去，而是尽量让每个特征都能回到“效率需求、安全顾虑、部署偏好和数字化能力”这条研究主线。</w:t>
      </w:r>
    </w:p>
    <w:p>
      <w:pPr>
        <w:spacing w:before="160" w:after="100"/>
      </w:pPr>
      <w:r>
        <w:rPr>
          <w:rFonts w:ascii="微软雅黑" w:hAnsi="微软雅黑" w:eastAsia="微软雅黑"/>
          <w:b/>
          <w:color w:val="142346"/>
          <w:sz w:val="28"/>
        </w:rPr>
        <w:t>七、机器学习建模与 A10 训练</w:t>
      </w:r>
    </w:p>
    <w:p>
      <w:pPr>
        <w:spacing w:line="300" w:lineRule="auto" w:after="120"/>
        <w:ind w:firstLine="420"/>
      </w:pPr>
      <w:r>
        <w:rPr>
          <w:rFonts w:ascii="微软雅黑" w:hAnsi="微软雅黑" w:eastAsia="微软雅黑"/>
          <w:b w:val="0"/>
          <w:sz w:val="22"/>
        </w:rPr>
        <w:t>为了充分利用短期租用的 A10 GPU/高性能服务器，我们采用了“A10 负责训练，62 服务器长期保存和服务模型，43 工作站负责 Agent 可视化入口”的架构。A10 不作为长期存储，只负责高性能训练、调参和验证；训练产物完成后撤离到长期服务器。</w:t>
      </w:r>
    </w:p>
    <w:p>
      <w:pPr>
        <w:spacing w:line="300" w:lineRule="auto" w:after="120"/>
        <w:ind w:firstLine="420"/>
      </w:pPr>
      <w:r>
        <w:rPr>
          <w:rFonts w:ascii="微软雅黑" w:hAnsi="微软雅黑" w:eastAsia="微软雅黑"/>
          <w:b w:val="0"/>
          <w:sz w:val="22"/>
        </w:rPr>
        <w:t>模型候选包括 ExtraTrees、RandomForest、HistGradientBoosting、XGBoost、LightGBM、CatBoost，以及 FT-Transformer/MLP 等深度表格模型基线。最终评价不看随机切分的虚高分，而是以 GroupKFold by geo、time holdout、industry holdout、leakage audit、模型稳定性和解释性一起作为依据。</w:t>
      </w:r>
    </w:p>
    <w:p>
      <w:pPr>
        <w:spacing w:line="300" w:lineRule="auto" w:after="120"/>
        <w:ind w:firstLine="420"/>
      </w:pPr>
      <w:r>
        <w:rPr>
          <w:rFonts w:ascii="微软雅黑" w:hAnsi="微软雅黑" w:eastAsia="微软雅黑"/>
          <w:b w:val="0"/>
          <w:sz w:val="22"/>
        </w:rPr>
        <w:t>A10 第一轮训练得到的 Stage 2 ExtraTrees academic score 为 0.907747409159926。A10 恢复后又做了限时二次 Optuna 调参，并把每轮结果同步到 62 服务器，防止 A10 随时撤回导致成果丢失。二次调参后，最终 ExtraTrees academic score 提升到 0.9166790032121498。</w:t>
      </w:r>
    </w:p>
    <w:p>
      <w:pPr>
        <w:spacing w:before="160" w:after="100"/>
      </w:pPr>
      <w:r>
        <w:rPr>
          <w:rFonts w:ascii="微软雅黑" w:hAnsi="微软雅黑" w:eastAsia="微软雅黑"/>
          <w:b/>
          <w:color w:val="142346"/>
          <w:sz w:val="28"/>
        </w:rPr>
        <w:t>八、模型验证与最终结果</w:t>
      </w:r>
    </w:p>
    <w:p>
      <w:pPr>
        <w:spacing w:line="300" w:lineRule="auto" w:after="120"/>
        <w:ind w:firstLine="420"/>
      </w:pPr>
      <w:r>
        <w:rPr>
          <w:rFonts w:ascii="微软雅黑" w:hAnsi="微软雅黑" w:eastAsia="微软雅黑"/>
          <w:b w:val="0"/>
          <w:sz w:val="22"/>
        </w:rPr>
        <w:t>最终冠军模型为 Stage 2 ExtraTrees。根据 62 服务器模型注册表，当前 academic score 为 0.9166790032121498，GroupKFold R2 为 0.7187709741137023，time holdout R2 为 0.7197428596933517，industry holdout R2 为 0.957253080132486。manifest hash audit 和 leakage audit 均通过。</w:t>
      </w:r>
    </w:p>
    <w:p>
      <w:pPr>
        <w:spacing w:line="300" w:lineRule="auto" w:after="120"/>
        <w:ind w:firstLine="420"/>
      </w:pPr>
      <w:r>
        <w:rPr>
          <w:rFonts w:ascii="微软雅黑" w:hAnsi="微软雅黑" w:eastAsia="微软雅黑"/>
          <w:b w:val="0"/>
          <w:sz w:val="22"/>
        </w:rPr>
        <w:t>这些结果说明模型不是靠随机切分刷分，而是在地理分组、时间留出和行业留出三个角度下进行验证。对课程报告来说，这一点很关键：我们不仅有代码跑出模型，还能说明模型如何避免数据泄漏、如何验证泛化能力、如何把模型结果解释回研究问题。</w:t>
      </w:r>
    </w:p>
    <w:p>
      <w:pPr>
        <w:spacing w:before="160" w:after="100"/>
      </w:pPr>
      <w:r>
        <w:rPr>
          <w:rFonts w:ascii="微软雅黑" w:hAnsi="微软雅黑" w:eastAsia="微软雅黑"/>
          <w:b/>
          <w:color w:val="142346"/>
          <w:sz w:val="28"/>
        </w:rPr>
        <w:t>九、学术研究 Agent 的落地</w:t>
      </w:r>
    </w:p>
    <w:p>
      <w:pPr>
        <w:spacing w:line="300" w:lineRule="auto" w:after="120"/>
        <w:ind w:firstLine="420"/>
      </w:pPr>
      <w:r>
        <w:rPr>
          <w:rFonts w:ascii="微软雅黑" w:hAnsi="微软雅黑" w:eastAsia="微软雅黑"/>
          <w:b w:val="0"/>
          <w:sz w:val="22"/>
        </w:rPr>
        <w:t>在模型训练之外，我们还把结果做成了“学术研究Agent”。43 工作站提供可视化 Agent 管理和问答页面，62 服务器长期保存模型和训练产物，并提供模型 API；A10 只承担短期训练任务。这样即使 A10 被回收，Agent 仍然可以调用已经验证过的模型结果。</w:t>
      </w:r>
    </w:p>
    <w:p>
      <w:pPr>
        <w:spacing w:line="300" w:lineRule="auto" w:after="120"/>
        <w:ind w:firstLine="420"/>
      </w:pPr>
      <w:r>
        <w:rPr>
          <w:rFonts w:ascii="微软雅黑" w:hAnsi="微软雅黑" w:eastAsia="微软雅黑"/>
          <w:b w:val="0"/>
          <w:sz w:val="22"/>
        </w:rPr>
        <w:t>Agent 的设计原则是证据优先：LLM 不直接接触大表，也不凭空猜数值；数值回答必须来自工具调用；回答中需要包含证据文件、使用指标、置信度和限制说明；如果证据不足，则返回“无法确认”。这让 Agent 更接近学术研究助手，而不是普通聊天机器人。</w:t>
      </w:r>
    </w:p>
    <w:p>
      <w:pPr>
        <w:spacing w:before="160" w:after="100"/>
      </w:pPr>
      <w:r>
        <w:rPr>
          <w:rFonts w:ascii="微软雅黑" w:hAnsi="微软雅黑" w:eastAsia="微软雅黑"/>
          <w:b/>
          <w:color w:val="142346"/>
          <w:sz w:val="28"/>
        </w:rPr>
        <w:t>十、当前完成进度</w:t>
      </w:r>
    </w:p>
    <w:p>
      <w:pPr>
        <w:spacing w:line="300" w:lineRule="auto" w:after="120"/>
        <w:ind w:firstLine="420"/>
      </w:pPr>
      <w:r>
        <w:rPr>
          <w:rFonts w:ascii="微软雅黑" w:hAnsi="微软雅黑" w:eastAsia="微软雅黑"/>
          <w:b w:val="0"/>
          <w:sz w:val="22"/>
        </w:rPr>
        <w:t>目前已经完成的工作包括：研究路线升级、官方数据处理、Stage 1/Stage 2 建模框架、A10 训练和二次调参、最终冠军模型注册、训练产物撤离、62 模型服务部署、43 工作站 Agent 接入、证据型问答和无法确认守卫。</w:t>
      </w:r>
    </w:p>
    <w:p>
      <w:pPr>
        <w:spacing w:line="300" w:lineRule="auto" w:after="120"/>
        <w:ind w:firstLine="420"/>
      </w:pPr>
      <w:r>
        <w:rPr>
          <w:rFonts w:ascii="微软雅黑" w:hAnsi="微软雅黑" w:eastAsia="微软雅黑"/>
          <w:b w:val="0"/>
          <w:sz w:val="22"/>
        </w:rPr>
        <w:t>已经形成的可提交材料包括：案例代码、训练脚本、模型注册表、训练验证报告、使用说明、项目说明、结课报告初稿、A10 训练验证报告，以及本次生成的课堂进度汇报 Word 和 TXT 讲稿。</w:t>
      </w:r>
    </w:p>
    <w:p>
      <w:pPr>
        <w:spacing w:before="160" w:after="100"/>
      </w:pPr>
      <w:r>
        <w:rPr>
          <w:rFonts w:ascii="微软雅黑" w:hAnsi="微软雅黑" w:eastAsia="微软雅黑"/>
          <w:b/>
          <w:color w:val="142346"/>
          <w:sz w:val="28"/>
        </w:rPr>
        <w:t>十一、课堂讲解提纲</w:t>
      </w:r>
    </w:p>
    <w:p>
      <w:pPr>
        <w:spacing w:line="300" w:lineRule="auto" w:after="120"/>
        <w:ind w:firstLine="420"/>
      </w:pPr>
      <w:r>
        <w:rPr>
          <w:rFonts w:ascii="微软雅黑" w:hAnsi="微软雅黑" w:eastAsia="微软雅黑"/>
          <w:b w:val="0"/>
          <w:sz w:val="22"/>
        </w:rPr>
        <w:t>课堂展示可以按五步讲：第一，介绍选题背景，说明中小企业为什么需要研究 AI 流程自动化采纳；第二，说明早期问卷和 Kaggle 方案为什么不足；第三，讲清楚如何升级为官方数据和机器学习建模；第四，展示 A10 训练、模型验证和最终分数提升；第五，说明训练结果如何接入 Agent，形成可问答、可解释、可引用的研究工具。</w:t>
      </w:r>
    </w:p>
    <w:p>
      <w:pPr>
        <w:spacing w:line="300" w:lineRule="auto" w:after="120"/>
        <w:ind w:firstLine="420"/>
      </w:pPr>
      <w:r>
        <w:rPr>
          <w:rFonts w:ascii="微软雅黑" w:hAnsi="微软雅黑" w:eastAsia="微软雅黑"/>
          <w:b w:val="0"/>
          <w:sz w:val="22"/>
        </w:rPr>
        <w:t>讲解重点不需要陷入所有技术细节，而是突出一个变化：这个案例从“完成一次数据分析作业”，升级为“围绕真实问题构建数据、模型和应用闭环”。这也是我选择这个案例的原因。</w:t>
      </w:r>
    </w:p>
    <w:p>
      <w:pPr>
        <w:spacing w:before="160" w:after="100"/>
      </w:pPr>
      <w:r>
        <w:rPr>
          <w:rFonts w:ascii="微软雅黑" w:hAnsi="微软雅黑" w:eastAsia="微软雅黑"/>
          <w:b/>
          <w:color w:val="142346"/>
          <w:sz w:val="28"/>
        </w:rPr>
        <w:t>十二、后续可完善方向</w:t>
      </w:r>
    </w:p>
    <w:p>
      <w:pPr>
        <w:spacing w:line="300" w:lineRule="auto" w:after="120"/>
        <w:ind w:firstLine="420"/>
      </w:pPr>
      <w:r>
        <w:rPr>
          <w:rFonts w:ascii="微软雅黑" w:hAnsi="微软雅黑" w:eastAsia="微软雅黑"/>
          <w:b w:val="0"/>
          <w:sz w:val="22"/>
        </w:rPr>
        <w:t>后续可以继续完善三个方向：第一，把 Stage 1 的 SME 机制分析做得更细，包括不同企业规模、安全顾虑和部署偏好的交互项；第二，补充更多可解释性图表，例如 SHAP 特征重要性、行业差异热力图和国家数字化基础对比；第三，把 Agent 的回答质量评估做成固定测试集，持续检查引用准确率、工具调用成功率和幻觉率。</w:t>
      </w:r>
    </w:p>
    <w:p>
      <w:pPr>
        <w:spacing w:line="300" w:lineRule="auto" w:after="120"/>
        <w:ind w:firstLine="420"/>
      </w:pPr>
      <w:r>
        <w:rPr>
          <w:rFonts w:ascii="微软雅黑" w:hAnsi="微软雅黑" w:eastAsia="微软雅黑"/>
          <w:b w:val="0"/>
          <w:sz w:val="22"/>
        </w:rPr>
        <w:t>最终目标不是只交一个模型，而是形成一个可以复现实验、可以解释结论、可以长期调用的学术型智能体。</w:t>
      </w:r>
    </w:p>
    <w:p>
      <w:r>
        <w:rPr>
          <w:rFonts w:ascii="微软雅黑" w:hAnsi="微软雅黑" w:eastAsia="微软雅黑"/>
          <w:b/>
          <w:color w:val="142346"/>
          <w:sz w:val="26"/>
        </w:rPr>
        <w:t>模型验证指标表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fill="D9EAF7"/>
          </w:tcPr>
          <w:p>
            <w:r>
              <w:rPr>
                <w:rFonts w:ascii="微软雅黑" w:hAnsi="微软雅黑" w:eastAsia="微软雅黑"/>
                <w:b/>
                <w:sz w:val="21"/>
              </w:rPr>
              <w:t>指标</w:t>
            </w:r>
          </w:p>
        </w:tc>
        <w:tc>
          <w:tcPr>
            <w:tcW w:type="dxa" w:w="4759"/>
            <w:shd w:fill="D9EAF7"/>
          </w:tcPr>
          <w:p>
            <w:r>
              <w:rPr>
                <w:rFonts w:ascii="微软雅黑" w:hAnsi="微软雅黑" w:eastAsia="微软雅黑"/>
                <w:b/>
                <w:sz w:val="21"/>
              </w:rPr>
              <w:t>结果</w:t>
            </w:r>
          </w:p>
        </w:tc>
      </w:tr>
      <w:tr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academic score</w:t>
            </w:r>
          </w:p>
        </w:tc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0.9166790032121498</w:t>
            </w:r>
          </w:p>
        </w:tc>
      </w:tr>
      <w:tr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GroupKFold R2 by geo</w:t>
            </w:r>
          </w:p>
        </w:tc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0.7187709741137023</w:t>
            </w:r>
          </w:p>
        </w:tc>
      </w:tr>
      <w:tr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Time holdout R2</w:t>
            </w:r>
          </w:p>
        </w:tc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0.7197428596933517</w:t>
            </w:r>
          </w:p>
        </w:tc>
      </w:tr>
      <w:tr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Industry holdout R2</w:t>
            </w:r>
          </w:p>
        </w:tc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0.957253080132486</w:t>
            </w:r>
          </w:p>
        </w:tc>
      </w:tr>
      <w:tr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Manifest hash audit</w:t>
            </w:r>
          </w:p>
        </w:tc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通过</w:t>
            </w:r>
          </w:p>
        </w:tc>
      </w:tr>
      <w:tr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Leakage audit</w:t>
            </w:r>
          </w:p>
        </w:tc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通过</w:t>
            </w:r>
          </w:p>
        </w:tc>
      </w:tr>
    </w:tbl>
    <w:sectPr w:rsidR="00FC693F" w:rsidRPr="0006063C" w:rsidSect="00034616">
      <w:pgSz w:w="12240" w:h="15840"/>
      <w:pgMar w:top="1247" w:right="1361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研究过程与Agent训练进度汇报</dc:title>
  <dc:subject>基于中小企业 AI 流程自动化采纳机制研究：从课程案例到研究型机器学习项目</dc:subject>
  <dc:creator>Codex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