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8224A"/>
          <w:sz w:val="40"/>
        </w:rPr>
        <w:t>基于中小企业 AI 流程自动化采纳机制研究</w:t>
      </w:r>
    </w:p>
    <w:p>
      <w:pPr>
        <w:jc w:val="center"/>
      </w:pPr>
      <w:r>
        <w:rPr>
          <w:rFonts w:ascii="Microsoft YaHei" w:hAnsi="Microsoft YaHei" w:eastAsia="Microsoft YaHei"/>
          <w:color w:val="1464A5"/>
          <w:sz w:val="26"/>
        </w:rPr>
        <w:t>效率需求、安全顾虑与部署偏好的机器学习实证分析</w:t>
      </w:r>
    </w:p>
    <w:p>
      <w:pPr>
        <w:jc w:val="center"/>
      </w:pPr>
      <w:r>
        <w:rPr>
          <w:rFonts w:ascii="Microsoft YaHei" w:hAnsi="Microsoft YaHei" w:eastAsia="Microsoft YaHei"/>
          <w:color w:val="637083"/>
          <w:sz w:val="19"/>
        </w:rPr>
        <w:t>机器学习/数据挖掘课程结题案例报告｜数据来源：Eurostat 官方 SDMX-CSV｜应用场景：ai.zhjjq.tech</w:t>
      </w:r>
    </w:p>
    <w:p>
      <w:pPr>
        <w:pStyle w:val="Heading1"/>
      </w:pPr>
      <w:r>
        <w:rPr>
          <w:rFonts w:ascii="Microsoft YaHei" w:hAnsi="Microsoft YaHei" w:eastAsia="Microsoft YaHei"/>
          <w:color w:val="08224A"/>
        </w:rPr>
        <w:t>摘要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本研究围绕中小企业 AI 流程自动化采纳机制，使用 Eurostat 官方企业数字化与 AI 采用数据，构建从源数据采集、清洗审计、特征工程、机器学习训练到部署策略建议的完整数据挖掘案例。研究将效率需求、安全顾虑与部署准备度转化为可计算变量，采用多元线性回归、岭回归、随机森林、ExtraTrees 和 A10 GPU PyTorch MLP 进行对照训练。结果显示，机器学习能力、数字基础、治理成熟度和部署准备度是 AI 流程自动化采纳强度的重要解释因素；安全顾虑并非单纯抑制因素，而是影响企业选择 SaaS、API、本地化或混合部署的重要分流机制。</w:t>
      </w:r>
    </w:p>
    <w:p>
      <w:pPr>
        <w:pStyle w:val="Heading1"/>
      </w:pPr>
      <w:r>
        <w:rPr>
          <w:rFonts w:ascii="Microsoft YaHei" w:hAnsi="Microsoft YaHei" w:eastAsia="Microsoft YaHei"/>
          <w:color w:val="08224A"/>
        </w:rPr>
        <w:t>一、数据来源与真实性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最终进入训练的数据来自 Eurostat 官方 SDMX-CSV 接口。每个原始文件均记录 URL、HTTP 状态、下载时间、文件大小和 SHA256 校验值，保存在 data/raw/manifest.jsonl 与 data/raw/manifest_stage2.jsonl。仓库同时提供中文目录 01_源数据，便于课程检查。</w:t>
      </w:r>
    </w:p>
    <w:p>
      <w:pPr>
        <w:pStyle w:val="ListBullet"/>
        <w:spacing w:line="276" w:lineRule="auto"/>
      </w:pPr>
      <w:r>
        <w:rPr>
          <w:rFonts w:ascii="Microsoft YaHei" w:hAnsi="Microsoft YaHei" w:eastAsia="Microsoft YaHei"/>
          <w:sz w:val="20"/>
        </w:rPr>
        <w:t>Stage 1 使用企业规模组口径，覆盖 AI 采用、云服务、数字强度、数据分析、ICT 人才与电子商务等官方指标。</w:t>
      </w:r>
    </w:p>
    <w:p>
      <w:pPr>
        <w:pStyle w:val="ListBullet"/>
        <w:spacing w:line="276" w:lineRule="auto"/>
      </w:pPr>
      <w:r>
        <w:rPr>
          <w:rFonts w:ascii="Microsoft YaHei" w:hAnsi="Microsoft YaHei" w:eastAsia="Microsoft YaHei"/>
          <w:sz w:val="20"/>
        </w:rPr>
        <w:t>Stage 2 使用 GE10 企业规模口径下的 NACE 行业/区域数据，用作外部验证，不表述为 SME 规模拆分。</w:t>
      </w:r>
    </w:p>
    <w:p>
      <w:pPr>
        <w:pStyle w:val="ListBullet"/>
        <w:spacing w:line="276" w:lineRule="auto"/>
      </w:pPr>
      <w:r>
        <w:rPr>
          <w:rFonts w:ascii="Microsoft YaHei" w:hAnsi="Microsoft YaHei" w:eastAsia="Microsoft YaHei"/>
          <w:sz w:val="20"/>
        </w:rPr>
        <w:t>曾尝试获取 U.S. Census BTOS AI 文件但接口返回 HTTP 403，未进入训练，也不作为结论来源。</w:t>
      </w:r>
    </w:p>
    <w:p>
      <w:pPr>
        <w:pStyle w:val="Heading1"/>
      </w:pPr>
      <w:r>
        <w:rPr>
          <w:rFonts w:ascii="Microsoft YaHei" w:hAnsi="Microsoft YaHei" w:eastAsia="Microsoft YaHei"/>
          <w:color w:val="08224A"/>
        </w:rPr>
        <w:t>二、数据生命周期与清洗结果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4535"/>
      </w:tblGrid>
      <w:tr>
        <w:tc>
          <w:tcPr>
            <w:tcW w:type="dxa" w:w="4873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873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数量/结果</w:t>
            </w:r>
          </w:p>
        </w:tc>
      </w:tr>
      <w:tr>
        <w:tc>
          <w:tcPr>
            <w:tcW w:type="dxa" w:w="34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Stage 2 官方源文件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17</w:t>
            </w:r>
          </w:p>
        </w:tc>
      </w:tr>
      <w:tr>
        <w:tc>
          <w:tcPr>
            <w:tcW w:type="dxa" w:w="3402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原始源数据扫描行数</w:t>
            </w:r>
          </w:p>
        </w:tc>
        <w:tc>
          <w:tcPr>
            <w:tcW w:type="dxa" w:w="4535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12,770,332</w:t>
            </w:r>
          </w:p>
        </w:tc>
      </w:tr>
      <w:tr>
        <w:tc>
          <w:tcPr>
            <w:tcW w:type="dxa" w:w="34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非空观测值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10,453,354</w:t>
            </w:r>
          </w:p>
        </w:tc>
      </w:tr>
      <w:tr>
        <w:tc>
          <w:tcPr>
            <w:tcW w:type="dxa" w:w="3402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机制变量筛选后保留行</w:t>
            </w:r>
          </w:p>
        </w:tc>
        <w:tc>
          <w:tcPr>
            <w:tcW w:type="dxa" w:w="4535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856,880</w:t>
            </w:r>
          </w:p>
        </w:tc>
      </w:tr>
      <w:tr>
        <w:tc>
          <w:tcPr>
            <w:tcW w:type="dxa" w:w="3402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Stage 2 行业/区域建模面板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5,814 行 × 80 列</w:t>
            </w:r>
          </w:p>
        </w:tc>
      </w:tr>
      <w:tr>
        <w:tc>
          <w:tcPr>
            <w:tcW w:type="dxa" w:w="3402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Stage 1 SME 规模层建模样本</w:t>
            </w:r>
          </w:p>
        </w:tc>
        <w:tc>
          <w:tcPr>
            <w:tcW w:type="dxa" w:w="4535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544 行 × 100 列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0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1_数据生命周期漏斗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37083"/>
          <w:sz w:val="17"/>
        </w:rPr>
        <w:t>图1 数据生命周期：从官方源数据到可训练面板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清洗过程中执行了长表转面板、目标变量非空筛选、重复键检查、缺失率审计和目标泄漏控制。直接目标变量、总体 AI 采用变量以及 target/workflow_gap/adoption_gap 等目标派生变量不进入特征集。</w:t>
      </w:r>
    </w:p>
    <w:p>
      <w:pPr>
        <w:pStyle w:val="Heading1"/>
      </w:pPr>
      <w:r>
        <w:rPr>
          <w:rFonts w:ascii="Microsoft YaHei" w:hAnsi="Microsoft YaHei" w:eastAsia="Microsoft YaHei"/>
          <w:color w:val="08224A"/>
        </w:rPr>
        <w:t>三、变量体系与研究框架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本研究将 TOE 与 TAM 框架转化为可训练变量。技术条件包括机器学习能力、自然语言生成、云开发能力和数据分析成熟度；组织基础包括数字基础、ICT 人才、治理成熟度和部署准备度；环境压力包括市场数字化、行业差异、国家/区域异质性和时间趋势；感知机制包括效率需求、安全顾虑与采纳强度转化。</w:t>
      </w:r>
    </w:p>
    <w:p>
      <w:pPr>
        <w:pStyle w:val="Heading1"/>
      </w:pPr>
      <w:r>
        <w:rPr>
          <w:rFonts w:ascii="Microsoft YaHei" w:hAnsi="Microsoft YaHei" w:eastAsia="Microsoft YaHei"/>
          <w:color w:val="08224A"/>
        </w:rPr>
        <w:t>四、机器学习方法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课程案例采用监督学习与解释模型结合的方式：OLS 用于解释机制方向与显著性；岭回归处理多重共线性；随机森林与 ExtraTrees 捕捉非线性和变量交互；A10 GPU 上的 PyTorch MLP 作为神经网络基线。模型评估采用 R2 和 MAE，并使用按国家分组的 GroupKFold 交叉验证，避免同一国家观测同时进入训练集和测试集造成泛化能力虚高。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5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2_模型交叉验证比较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5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37083"/>
          <w:sz w:val="17"/>
        </w:rPr>
        <w:t>图2 模型交叉验证比较</w:t>
      </w:r>
    </w:p>
    <w:p>
      <w:pPr>
        <w:pStyle w:val="Heading1"/>
      </w:pPr>
      <w:r>
        <w:rPr>
          <w:rFonts w:ascii="Microsoft YaHei" w:hAnsi="Microsoft YaHei" w:eastAsia="Microsoft YaHei"/>
          <w:color w:val="08224A"/>
        </w:rPr>
        <w:t>五、回归解释与特征重要性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1134"/>
        <w:gridCol w:w="1134"/>
        <w:gridCol w:w="1134"/>
        <w:gridCol w:w="1134"/>
        <w:gridCol w:w="1134"/>
      </w:tblGrid>
      <w:tr>
        <w:tc>
          <w:tcPr>
            <w:tcW w:type="dxa" w:w="1624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模型层级</w:t>
            </w:r>
          </w:p>
        </w:tc>
        <w:tc>
          <w:tcPr>
            <w:tcW w:type="dxa" w:w="1624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</w:t>
            </w:r>
          </w:p>
        </w:tc>
        <w:tc>
          <w:tcPr>
            <w:tcW w:type="dxa" w:w="1624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R2</w:t>
            </w:r>
          </w:p>
        </w:tc>
        <w:tc>
          <w:tcPr>
            <w:tcW w:type="dxa" w:w="1624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Adj.R2</w:t>
            </w:r>
          </w:p>
        </w:tc>
        <w:tc>
          <w:tcPr>
            <w:tcW w:type="dxa" w:w="1624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特征数</w:t>
            </w:r>
          </w:p>
        </w:tc>
        <w:tc>
          <w:tcPr>
            <w:tcW w:type="dxa" w:w="1624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p&lt;0.05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Stage 1 SME规模层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544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0.919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0.917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</w:t>
            </w:r>
          </w:p>
        </w:tc>
      </w:tr>
      <w:tr>
        <w:tc>
          <w:tcPr>
            <w:tcW w:type="dxa" w:w="2268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Stage 2 行业验证层</w:t>
            </w:r>
          </w:p>
        </w:tc>
        <w:tc>
          <w:tcPr>
            <w:tcW w:type="dxa" w:w="1134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5814</w:t>
            </w:r>
          </w:p>
        </w:tc>
        <w:tc>
          <w:tcPr>
            <w:tcW w:type="dxa" w:w="1134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0.712</w:t>
            </w:r>
          </w:p>
        </w:tc>
        <w:tc>
          <w:tcPr>
            <w:tcW w:type="dxa" w:w="1134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0.711</w:t>
            </w:r>
          </w:p>
        </w:tc>
        <w:tc>
          <w:tcPr>
            <w:tcW w:type="dxa" w:w="1134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</w:t>
            </w:r>
          </w:p>
        </w:tc>
        <w:tc>
          <w:tcPr>
            <w:tcW w:type="dxa" w:w="1134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57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3_多元回归标准化系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37083"/>
          <w:sz w:val="17"/>
        </w:rPr>
        <w:t>图3 多元回归标准化系数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3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4_特征重要性双面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37083"/>
          <w:sz w:val="17"/>
        </w:rPr>
        <w:t>图4 随机森林/ExtraTrees 特征重要性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回归与特征重要性结果共同显示，机器学习能力是最稳定的核心驱动。Stage 2 中数字基础、治理成熟度和部署准备度也呈现显著正向解释力，说明 AI 流程自动化采纳不是单一工具购买行为，而是技术、组织与治理能力共同作用的结果。</w:t>
      </w:r>
    </w:p>
    <w:p>
      <w:pPr>
        <w:pStyle w:val="Heading1"/>
      </w:pPr>
      <w:r>
        <w:rPr>
          <w:rFonts w:ascii="Microsoft YaHei" w:hAnsi="Microsoft YaHei" w:eastAsia="Microsoft YaHei"/>
          <w:color w:val="08224A"/>
        </w:rPr>
        <w:t>六、A10 GPU 基线与模型选择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134"/>
        <w:gridCol w:w="1134"/>
        <w:gridCol w:w="1134"/>
      </w:tblGrid>
      <w:tr>
        <w:tc>
          <w:tcPr>
            <w:tcW w:type="dxa" w:w="1624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数据层</w:t>
            </w:r>
          </w:p>
        </w:tc>
        <w:tc>
          <w:tcPr>
            <w:tcW w:type="dxa" w:w="1624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设备</w:t>
            </w:r>
          </w:p>
        </w:tc>
        <w:tc>
          <w:tcPr>
            <w:tcW w:type="dxa" w:w="1624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624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R2</w:t>
            </w:r>
          </w:p>
        </w:tc>
        <w:tc>
          <w:tcPr>
            <w:tcW w:type="dxa" w:w="1624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MAE</w:t>
            </w:r>
          </w:p>
        </w:tc>
        <w:tc>
          <w:tcPr>
            <w:tcW w:type="dxa" w:w="1624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最佳epoch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SME规模层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NVIDIA A10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torch_mlp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0.806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2.523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20</w:t>
            </w:r>
          </w:p>
        </w:tc>
      </w:tr>
      <w:tr>
        <w:tc>
          <w:tcPr>
            <w:tcW w:type="dxa" w:w="1701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行业验证层</w:t>
            </w:r>
          </w:p>
        </w:tc>
        <w:tc>
          <w:tcPr>
            <w:tcW w:type="dxa" w:w="1701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NVIDIA A10</w:t>
            </w:r>
          </w:p>
        </w:tc>
        <w:tc>
          <w:tcPr>
            <w:tcW w:type="dxa" w:w="1701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torch_mlp</w:t>
            </w:r>
          </w:p>
        </w:tc>
        <w:tc>
          <w:tcPr>
            <w:tcW w:type="dxa" w:w="1134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0.662</w:t>
            </w:r>
          </w:p>
        </w:tc>
        <w:tc>
          <w:tcPr>
            <w:tcW w:type="dxa" w:w="1134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2.529</w:t>
            </w:r>
          </w:p>
        </w:tc>
        <w:tc>
          <w:tcPr>
            <w:tcW w:type="dxa" w:w="1134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60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173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5_A10_GPU_MLP基线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37083"/>
          <w:sz w:val="17"/>
        </w:rPr>
        <w:t>图5 A10 GPU PyTorch MLP 基线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A10 GPU 基线结果低于树模型，说明结构化企业面板数据并不一定适合更复杂的神经网络模型。该结果体现了机器学习课程中的重要原则：模型复杂度必须服从数据结构、样本量与泛化验证结果。</w:t>
      </w:r>
    </w:p>
    <w:p>
      <w:pPr>
        <w:pStyle w:val="Heading1"/>
      </w:pPr>
      <w:r>
        <w:rPr>
          <w:rFonts w:ascii="Microsoft YaHei" w:hAnsi="Microsoft YaHei" w:eastAsia="Microsoft YaHei"/>
          <w:color w:val="08224A"/>
        </w:rPr>
        <w:t>七、部署策略与企业价值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209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7_部署偏好策略矩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37083"/>
          <w:sz w:val="17"/>
        </w:rPr>
        <w:t>图6 部署偏好策略矩阵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安全顾虑不是简单阻碍 AI 采用，而是企业部署偏好的分流器。高安全顾虑企业更适合本地化或私有云部署；高效率需求但安全要求较高的企业适合混合部署；低安全顾虑且流程集成需求高的企业适合 API 接入；基础薄弱企业更适合标准 SaaS 试点。该结论可直接服务 ai.zhjjq.tech 的客户分层、流程入口、审批治理和部署报价策略。</w:t>
      </w:r>
    </w:p>
    <w:p>
      <w:pPr>
        <w:pStyle w:val="Heading1"/>
      </w:pPr>
      <w:r>
        <w:rPr>
          <w:rFonts w:ascii="Microsoft YaHei" w:hAnsi="Microsoft YaHei" w:eastAsia="Microsoft YaHei"/>
          <w:color w:val="08224A"/>
        </w:rPr>
        <w:t>八、结论与后续研究</w:t>
      </w:r>
    </w:p>
    <w:p>
      <w:pPr>
        <w:pStyle w:val="ListBullet"/>
        <w:spacing w:line="276" w:lineRule="auto"/>
      </w:pPr>
      <w:r>
        <w:rPr>
          <w:rFonts w:ascii="Microsoft YaHei" w:hAnsi="Microsoft YaHei" w:eastAsia="Microsoft YaHei"/>
          <w:sz w:val="20"/>
        </w:rPr>
        <w:t>结论一：企业 AI 流程自动化采纳强度主要由机器学习能力、数据基础、部署准备度和治理成熟度共同驱动。</w:t>
      </w:r>
    </w:p>
    <w:p>
      <w:pPr>
        <w:pStyle w:val="ListBullet"/>
        <w:spacing w:line="276" w:lineRule="auto"/>
      </w:pPr>
      <w:r>
        <w:rPr>
          <w:rFonts w:ascii="Microsoft YaHei" w:hAnsi="Microsoft YaHei" w:eastAsia="Microsoft YaHei"/>
          <w:sz w:val="20"/>
        </w:rPr>
        <w:t>结论二：安全顾虑会重塑部署路径，使企业从单纯公有 SaaS 转向本地化、私有云或混合部署。</w:t>
      </w:r>
    </w:p>
    <w:p>
      <w:pPr>
        <w:pStyle w:val="ListBullet"/>
        <w:spacing w:line="276" w:lineRule="auto"/>
      </w:pPr>
      <w:r>
        <w:rPr>
          <w:rFonts w:ascii="Microsoft YaHei" w:hAnsi="Microsoft YaHei" w:eastAsia="Microsoft YaHei"/>
          <w:sz w:val="20"/>
        </w:rPr>
        <w:t>结论三：SME 层随机森林 R2=0.850，行业/区域外部验证层 ExtraTrees R2=0.724，机制具有一定迁移性。</w:t>
      </w:r>
    </w:p>
    <w:p>
      <w:pPr>
        <w:pStyle w:val="ListBullet"/>
        <w:spacing w:line="276" w:lineRule="auto"/>
      </w:pPr>
      <w:r>
        <w:rPr>
          <w:rFonts w:ascii="Microsoft YaHei" w:hAnsi="Microsoft YaHei" w:eastAsia="Microsoft YaHei"/>
          <w:sz w:val="20"/>
        </w:rPr>
        <w:t>结论四：A10 GPU MLP 低于树模型，证明本项目更适合表格学习模型，而非盲目堆叠复杂神经网络。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后续研究可接入国内中小企业真实使用日志、访谈和问卷追踪，结合 ai.zhjjq.tech 后台任务日志进行 A/B 测试，并加入面板固定效应或因果推断方法，进一步提升研究的解释深度和产品落地价值。</w:t>
      </w:r>
    </w:p>
    <w:p>
      <w:pPr>
        <w:pStyle w:val="Heading1"/>
      </w:pPr>
      <w:r>
        <w:rPr>
          <w:rFonts w:ascii="Microsoft YaHei" w:hAnsi="Microsoft YaHei" w:eastAsia="Microsoft YaHei"/>
          <w:color w:val="08224A"/>
        </w:rPr>
        <w:t>附录：提交目录说明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873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中文目录</w:t>
            </w:r>
          </w:p>
        </w:tc>
        <w:tc>
          <w:tcPr>
            <w:tcW w:type="dxa" w:w="4873"/>
            <w:vAlign w:val="center"/>
            <w:shd w:fill="0822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01_源数据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Eurostat 官方原始下载数据、压缩文件、manifest 来源校验。</w:t>
            </w:r>
          </w:p>
        </w:tc>
      </w:tr>
      <w:tr>
        <w:tc>
          <w:tcPr>
            <w:tcW w:type="dxa" w:w="2268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02_清洗后数据</w:t>
            </w:r>
          </w:p>
        </w:tc>
        <w:tc>
          <w:tcPr>
            <w:tcW w:type="dxa" w:w="5669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清洗后的建模面板和样本预览。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03_清洗与训练代码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数据下载、清洗、特征工程、A10训练、课程诊断、图表生成代码。</w:t>
            </w:r>
          </w:p>
        </w:tc>
      </w:tr>
      <w:tr>
        <w:tc>
          <w:tcPr>
            <w:tcW w:type="dxa" w:w="2268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04_分析结果表格</w:t>
            </w:r>
          </w:p>
        </w:tc>
        <w:tc>
          <w:tcPr>
            <w:tcW w:type="dxa" w:w="5669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数据质量审计、模型指标、OLS、VIF、特征重要性、GPU基线。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05_学术图表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PNG/SVG 学术图表。</w:t>
            </w:r>
          </w:p>
        </w:tc>
      </w:tr>
      <w:tr>
        <w:tc>
          <w:tcPr>
            <w:tcW w:type="dxa" w:w="2268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06_结课报告</w:t>
            </w:r>
          </w:p>
        </w:tc>
        <w:tc>
          <w:tcPr>
            <w:tcW w:type="dxa" w:w="5669"/>
            <w:vAlign w:val="center"/>
            <w:shd w:fill="F8FBF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数据来源、训练核验、研究质量说明和最终报告。</w:t>
            </w:r>
          </w:p>
        </w:tc>
      </w:tr>
    </w:tbl>
    <w:p/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