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color w:val="000000"/>
        </w:rPr>
        <w:t>Telco Customer Churn 本地测试报告</w:t>
      </w:r>
    </w:p>
    <w:p>
      <w:pPr>
        <w:pStyle w:val="Heading1"/>
      </w:pPr>
      <w:r>
        <w:rPr>
          <w:rFonts w:ascii="宋体" w:hAnsi="宋体" w:eastAsia="宋体"/>
          <w:color w:val="000000"/>
        </w:rPr>
        <w:t>任务理解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任务：Telco Customer Churn。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类型：binary_classification 表格数据任务。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指标：accuracy，本地使用交叉验证和 holdout 作为代理评估。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当前说明：本机暂未配置 Kaggle API 凭据，因此本轮使用公开镜像数据完成本地闭环测试；后续可替换为官方 Kaggle API 下载。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服务器模板对齐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本地流程参照服务器公开 Agent 模板字段与职责映射。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本轮没有读取或修改服务器私有 Agent 和工作流。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数据质量</w:t>
      </w:r>
    </w:p>
    <w:p>
      <w:pPr>
        <w:pStyle w:val="ListBullet"/>
      </w:pPr>
      <w:r>
        <w:rPr>
          <w:rFonts w:ascii="宋体" w:hAnsi="宋体" w:eastAsia="宋体"/>
          <w:color w:val="000000"/>
        </w:rPr>
        <w:t>train 行列数：5634 x 21</w:t>
      </w:r>
    </w:p>
    <w:p>
      <w:pPr>
        <w:pStyle w:val="ListBullet"/>
      </w:pPr>
      <w:r>
        <w:rPr>
          <w:rFonts w:ascii="宋体" w:hAnsi="宋体" w:eastAsia="宋体"/>
          <w:color w:val="000000"/>
        </w:rPr>
        <w:t>test 行列数：1409 x 20</w:t>
      </w:r>
    </w:p>
    <w:p>
      <w:pPr>
        <w:pStyle w:val="ListBullet"/>
      </w:pPr>
      <w:r>
        <w:rPr>
          <w:rFonts w:ascii="宋体" w:hAnsi="宋体" w:eastAsia="宋体"/>
          <w:color w:val="000000"/>
        </w:rPr>
        <w:t>sample_submission 行数：1409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训练/测试特征列一致：True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目标摘要：{"distribution": {"No": 0.7346, "Yes": 0.2654}}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训练集缺失率 Top20：{"TotalCharges": 0.0014, "gender": 0.0, "SeniorCitizen": 0.0, "Partner": 0.0, "customerID": 0.0, "Dependents": 0.0, "tenure": 0.0, "MultipleLines": 0.0, "PhoneService": 0.0, "OnlineSecurity": 0.0, "OnlineBackup": 0.0, "DeviceProtection": 0.0, "InternetService": 0.0, "TechSupport": 0.0, "StreamingTV": 0.0, "Contract": 0.0, "StreamingMovies": 0.0, "PaperlessBilling": 0.0, "PaymentMethod": 0.0, "MonthlyCharges": 0.0}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测试集缺失率 Top20：{"TotalCharges": 0.0021, "customerID": 0.0, "SeniorCitizen": 0.0, "gender": 0.0, "Partner": 0.0, "Dependents": 0.0, "PhoneService": 0.0, "tenure": 0.0, "InternetService": 0.0, "OnlineSecurity": 0.0, "OnlineBackup": 0.0, "MultipleLines": 0.0, "DeviceProtection": 0.0, "TechSupport": 0.0, "StreamingMovies": 0.0, "StreamingTV": 0.0, "Contract": 0.0, "PaperlessBilling": 0.0, "PaymentMethod": 0.0, "MonthlyCharges": 0.0}</w:t>
      </w:r>
    </w:p>
    <w:p>
      <w:pPr>
        <w:pStyle w:val="Heading1"/>
      </w:pPr>
      <w:r>
        <w:rPr>
          <w:rFonts w:ascii="宋体" w:hAnsi="宋体" w:eastAsia="宋体"/>
          <w:color w:val="000000"/>
        </w:rPr>
        <w:t>模型验证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最佳模型：`gradient_boosting`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指标：`{"cv_accuracy_mean": 0.807773, "cv_accuracy_std": 0.007051, "holdout_accuracy": 0.809228, "holdout_macro_f1": 0.739197, "seconds": 3.9265}`</w:t>
      </w:r>
    </w:p>
    <w:p>
      <w:pPr>
        <w:pStyle w:val="Heading1"/>
      </w:pPr>
      <w:r>
        <w:rPr>
          <w:rFonts w:ascii="宋体" w:hAnsi="宋体" w:eastAsia="宋体"/>
          <w:color w:val="000000"/>
        </w:rPr>
        <w:t>Submission 检查</w:t>
      </w:r>
    </w:p>
    <w:p>
      <w:pPr>
        <w:pStyle w:val="ListBullet"/>
      </w:pPr>
      <w:r>
        <w:rPr>
          <w:rFonts w:ascii="宋体" w:hAnsi="宋体" w:eastAsia="宋体"/>
          <w:color w:val="000000"/>
        </w:rPr>
        <w:t>submission 文件：`D:\桌面\codex\科研港科技\experiments\telco_churn\20260623_160853\submission.csv`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行数匹配：True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列名匹配：True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缺失预测数：0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是否通过：True</w:t>
      </w:r>
    </w:p>
    <w:p>
      <w:pPr>
        <w:pStyle w:val="Heading1"/>
      </w:pPr>
      <w:r>
        <w:rPr>
          <w:rFonts w:ascii="宋体" w:hAnsi="宋体" w:eastAsia="宋体"/>
          <w:color w:val="000000"/>
        </w:rPr>
        <w:t>验收结论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本地验收：通过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判断依据：数据质量检查、模型验证分数、submission 格式检查、阶段审计和 post-scaffold 改进记录均已保存。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下一步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配置 Kaggle API token 后，替换为官方 Kaggle API 下载与可选真实提交。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在更多表格任务或老师真实数据案例上复用同一套通用 workflow。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闭环稳定后，再接入 GPU 服务器做深度模型或超参数搜索。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