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color w:val="000000"/>
        </w:rPr>
        <w:t>Titanic - Machine Learning from Disaster 本地测试报告</w:t>
      </w:r>
    </w:p>
    <w:p>
      <w:pPr>
        <w:pStyle w:val="Heading1"/>
      </w:pPr>
      <w:r>
        <w:rPr>
          <w:rFonts w:ascii="宋体" w:hAnsi="宋体" w:eastAsia="宋体"/>
          <w:color w:val="000000"/>
        </w:rPr>
        <w:t>任务理解</w:t>
      </w:r>
    </w:p>
    <w:p>
      <w:pPr>
        <w:pStyle w:val="ListBullet"/>
      </w:pPr>
      <w:r>
        <w:rPr>
          <w:rFonts w:ascii="宋体" w:hAnsi="宋体" w:eastAsia="宋体"/>
          <w:color w:val="000000"/>
        </w:rPr>
        <w:t>任务：Titanic - Machine Learning from Disaster。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类型：binary_classification 表格数据任务。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指标：accuracy，本地使用交叉验证和 holdout 作为代理评估。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当前说明：本机暂未配置 Kaggle API 凭据，因此本轮使用公开镜像数据完成本地闭环测试；后续可替换为官方 Kaggle API 下载。</w:t>
      </w:r>
    </w:p>
    <w:p>
      <w:pPr>
        <w:pStyle w:val="Heading1"/>
      </w:pPr>
      <w:r>
        <w:rPr>
          <w:rFonts w:ascii="宋体" w:hAnsi="宋体" w:eastAsia="宋体"/>
          <w:color w:val="000000"/>
        </w:rPr>
        <w:t>服务器模板对齐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本地流程参照服务器公开 Agent 模板字段与职责映射。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本轮没有读取或修改服务器私有 Agent 和工作流。</w:t>
      </w:r>
    </w:p>
    <w:p>
      <w:pPr>
        <w:pStyle w:val="Heading1"/>
      </w:pPr>
      <w:r>
        <w:rPr>
          <w:rFonts w:ascii="宋体" w:hAnsi="宋体" w:eastAsia="宋体"/>
          <w:color w:val="000000"/>
        </w:rPr>
        <w:t>数据质量</w:t>
      </w:r>
    </w:p>
    <w:p>
      <w:pPr>
        <w:pStyle w:val="ListBullet"/>
      </w:pPr>
      <w:r>
        <w:rPr>
          <w:rFonts w:ascii="宋体" w:hAnsi="宋体" w:eastAsia="宋体"/>
          <w:color w:val="000000"/>
        </w:rPr>
        <w:t>train 行列数：891 x 12</w:t>
      </w:r>
    </w:p>
    <w:p>
      <w:pPr>
        <w:pStyle w:val="ListBullet"/>
      </w:pPr>
      <w:r>
        <w:rPr>
          <w:rFonts w:ascii="宋体" w:hAnsi="宋体" w:eastAsia="宋体"/>
          <w:color w:val="000000"/>
        </w:rPr>
        <w:t>test 行列数：418 x 11</w:t>
      </w:r>
    </w:p>
    <w:p>
      <w:pPr>
        <w:pStyle w:val="ListBullet"/>
      </w:pPr>
      <w:r>
        <w:rPr>
          <w:rFonts w:ascii="宋体" w:hAnsi="宋体" w:eastAsia="宋体"/>
          <w:color w:val="000000"/>
        </w:rPr>
        <w:t>sample_submission 行数：418</w:t>
      </w:r>
    </w:p>
    <w:p>
      <w:pPr>
        <w:pStyle w:val="ListBullet"/>
      </w:pPr>
      <w:r>
        <w:rPr>
          <w:rFonts w:ascii="宋体" w:hAnsi="宋体" w:eastAsia="宋体"/>
          <w:color w:val="000000"/>
        </w:rPr>
        <w:t>训练/测试特征列一致：True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目标摘要：{"distribution": {"0": 0.6162, "1": 0.3838}}</w:t>
      </w:r>
    </w:p>
    <w:p>
      <w:pPr>
        <w:pStyle w:val="ListBullet"/>
      </w:pPr>
      <w:r>
        <w:rPr>
          <w:rFonts w:ascii="宋体" w:hAnsi="宋体" w:eastAsia="宋体"/>
          <w:color w:val="000000"/>
        </w:rPr>
        <w:t>训练集缺失率 Top20：{"Cabin": 0.771, "Age": 0.1987, "Embarked": 0.0022, "PassengerId": 0.0, "Name": 0.0, "Pclass": 0.0, "Survived": 0.0, "Sex": 0.0, "Parch": 0.0, "SibSp": 0.0, "Fare": 0.0, "Ticket": 0.0}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测试集缺失率 Top20：{"Cabin": 0.7823, "Age": 0.2057, "Fare": 0.0024, "Name": 0.0, "Pclass": 0.0, "PassengerId": 0.0, "Sex": 0.0, "Parch": 0.0, "SibSp": 0.0, "Ticket": 0.0, "Embarked": 0.0}</w:t>
      </w:r>
    </w:p>
    <w:p>
      <w:pPr>
        <w:pStyle w:val="Heading1"/>
      </w:pPr>
      <w:r>
        <w:rPr>
          <w:rFonts w:ascii="宋体" w:hAnsi="宋体" w:eastAsia="宋体"/>
          <w:color w:val="000000"/>
        </w:rPr>
        <w:t>模型验证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最佳模型：`random_forest`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指标：`{"cv_accuracy_mean": 0.8305, "cv_accuracy_std": 0.021618, "holdout_accuracy": 0.798883, "holdout_macro_f1": 0.777916, "seconds": 1.8782}`</w:t>
      </w:r>
    </w:p>
    <w:p>
      <w:pPr>
        <w:pStyle w:val="Heading1"/>
      </w:pPr>
      <w:r>
        <w:rPr>
          <w:rFonts w:ascii="宋体" w:hAnsi="宋体" w:eastAsia="宋体"/>
          <w:color w:val="000000"/>
        </w:rPr>
        <w:t>Submission 检查</w:t>
      </w:r>
    </w:p>
    <w:p>
      <w:pPr>
        <w:pStyle w:val="ListBullet"/>
      </w:pPr>
      <w:r>
        <w:rPr>
          <w:rFonts w:ascii="宋体" w:hAnsi="宋体" w:eastAsia="宋体"/>
          <w:color w:val="000000"/>
        </w:rPr>
        <w:t>submission 文件：`D:\桌面\codex\科研港科技\experiments\titanic\20260701_144612\submission.csv`</w:t>
      </w:r>
    </w:p>
    <w:p>
      <w:pPr>
        <w:pStyle w:val="ListBullet"/>
      </w:pPr>
      <w:r>
        <w:rPr>
          <w:rFonts w:ascii="宋体" w:hAnsi="宋体" w:eastAsia="宋体"/>
          <w:color w:val="000000"/>
        </w:rPr>
        <w:t>行数匹配：True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列名匹配：True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缺失预测数：0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是否通过：True</w:t>
      </w:r>
    </w:p>
    <w:p>
      <w:pPr>
        <w:pStyle w:val="Heading1"/>
      </w:pPr>
      <w:r>
        <w:rPr>
          <w:rFonts w:ascii="宋体" w:hAnsi="宋体" w:eastAsia="宋体"/>
          <w:color w:val="000000"/>
        </w:rPr>
        <w:t>验收结论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本地验收：通过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判断依据：数据质量检查、模型验证分数、submission 格式检查、阶段审计和 post-scaffold 改进记录均已保存。</w:t>
      </w:r>
    </w:p>
    <w:p>
      <w:pPr>
        <w:pStyle w:val="Heading1"/>
      </w:pPr>
      <w:r>
        <w:rPr>
          <w:rFonts w:ascii="宋体" w:hAnsi="宋体" w:eastAsia="宋体"/>
          <w:color w:val="000000"/>
        </w:rPr>
        <w:t>下一步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配置 Kaggle API token 后，替换为官方 Kaggle API 下载与可选真实提交。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在更多表格任务或老师真实数据案例上复用同一套通用 workflow。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闭环稳定后，再接入 GPU 服务器做深度模型或超参数搜索。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