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TITAN: Analytical FMM/M2L Boundary-Integral Poisson-Boltzmann Solves with Sparse Near-Field ILU(0) Preconditioning</w:t>
      </w:r>
    </w:p>
    <w:p>
      <w:pPr>
        <w:jc w:val="center"/>
      </w:pPr>
      <w:r>
        <w:rPr>
          <w:rFonts w:ascii="Times New Roman" w:hAnsi="Times New Roman"/>
          <w:i/>
          <w:sz w:val="22"/>
        </w:rPr>
        <w:t>Submission-polished evidence-backed draft</w:t>
      </w:r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t>Boundary-integral Poisson-Boltzmann solvers can avoid volumetric grids but require accurate acceleration and robust Krylov preconditioning. We present a guarded fourth-order analytical FMM/M2L path in TITAN, built around analytic singular near-field integration, deterministic far-cell refinement, compressed Green-function jets, packed AVX2 direct fallback, and sparse near-field ILU(0). The method is evaluated as an advanced explicit TABI treecode option, not as a default backend. The primary full-protein panel includes Barnase, the RNA-binding domain of E. coli Rho factor (1A63), and Stichodactyla helianthus neurotoxin I (1SH1). All guarded p4 repeats converged with finite energies, sampled direct-operator residuals below 8e-3, and one plan/cache build. Additional public proteins, Ubiquitin (1UBQ), Chymotrypsin inhibitor 2 (2CI2), and Villin headpiece subdomain (1VII), passed the same supplement gate. A dense Barnase convergence profile shows that sparse near-field ILU(0) resolves a high-coupling case where local block-diagonal preconditioning stalls. The production Poisson-Boltzmann default remains the grid backend, and the default TABI treecode path remains degree-one.</w:t>
      </w:r>
    </w:p>
    <w:p>
      <w:pPr>
        <w:pStyle w:val="Heading1"/>
      </w:pPr>
      <w:r>
        <w:t>Methods</w:t>
      </w:r>
    </w:p>
    <w:p>
      <w:pPr>
        <w:jc w:val="both"/>
      </w:pPr>
      <w:r>
        <w:t>TITAN solves a coupled boundary-integral Poisson-Boltzmann system over triangulated molecular surfaces. The accelerated path follows the FMM motivation of Greengard and Rokhlin [2] and the Cartesian boundary-integral PB context of Chen, Tausch, and Geng [1]. GMRES is used for the nonsymmetric coupled system [3]. The guarded p4 configuration is explicit: Taylor order 4, opening theta 0.6, static tail tolerance 0.002, strict-geometry MAC theta 0.5, analytic-singular near integration, compressed degree-9 Green jets, packed AVX2 direct fallback, and sparse near-field ILU(0).</w:t>
      </w:r>
    </w:p>
    <w:p>
      <w:pPr>
        <w:jc w:val="both"/>
      </w:pPr>
      <w:r>
        <w:t>For panel i, the coupled unknown is u_i = (phi_i, partial_n phi_i)^T. The sparse preconditioner keeps a 2 x 2 block on FMM near-source graph edges, including self edges and at most 64 neighbors. ILU(0) keeps the original graph sparsity and applies block forward/back substitution, following the no-fill incomplete-factorization principle [4]. Duffy-adaptive quadrature [5] remains an explicit near-field option but is not selected automatically.</w:t>
      </w:r>
    </w:p>
    <w:p>
      <w:pPr>
        <w:jc w:val="both"/>
      </w:pPr>
      <w:r>
        <w:t>Protein structures are prepared with PDB2PQR/APBS-family tooling [6], [7] and public structure identifiers from the RCSB Protein Data Bank [8]. Large-system verification uses sampled direct-operator RMS and sampled direct true residuals because full direct TABI reaction energies are not practical for the largest rows.</w:t>
      </w:r>
    </w:p>
    <w:p>
      <w:pPr>
        <w:pStyle w:val="Heading1"/>
      </w:pPr>
      <w:r>
        <w:t>Results</w:t>
      </w:r>
    </w:p>
    <w:p>
      <w:pPr>
        <w:jc w:val="both"/>
      </w:pPr>
      <w:r>
        <w:t>The primary guarded p4 panel passed all repeatability gates. Supplementary full-protein systems also passed, broadening the public benchmark context without changing the main claim. The Barnase convergence profile is interpreted narrowly as a dense/high-coupling preconditioner contrast.</w:t>
      </w:r>
    </w:p>
    <w:p>
      <w:pPr>
        <w:pStyle w:val="Heading1"/>
      </w:pPr>
      <w:r>
        <w:t>Limitations</w:t>
      </w:r>
    </w:p>
    <w:p>
      <w:pPr>
        <w:jc w:val="both"/>
      </w:pPr>
      <w:r>
        <w:t>Grid remains TITAN's production Poisson-Boltzmann default. Guarded p4 is an advanced explicit TABI treecode option and is not selected automatically. Full direct TABI reaction energies are not used as the large-system oracle. Duffy-adaptive near integration is explicit-only. The Barnase preconditioner contrast should not be generalized to all proteins.</w:t>
      </w:r>
    </w:p>
    <w:p>
      <w:r>
        <w:br w:type="page"/>
      </w:r>
    </w:p>
    <w:p>
      <w:pPr>
        <w:pStyle w:val="Heading1"/>
      </w:pPr>
      <w:r>
        <w:t>Primary Protein Panel</w:t>
      </w:r>
    </w:p>
    <w:p>
      <w:pPr>
        <w:pStyle w:val="Caption"/>
        <w:keepNext/>
        <w:jc w:val="left"/>
      </w:pPr>
      <w:r>
        <w:t>Table 1. Guarded p4 repeatability on the locked full-protein panel.</w:t>
      </w:r>
    </w:p>
    <w:tbl>
      <w:tblPr>
        <w:tblStyle w:val="TableGrid"/>
        <w:tblW w:type="dxa" w:w="10050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1100"/>
        <w:gridCol w:w="900"/>
        <w:gridCol w:w="1100"/>
        <w:gridCol w:w="1050"/>
        <w:gridCol w:w="1450"/>
        <w:gridCol w:w="1150"/>
        <w:gridCol w:w="900"/>
      </w:tblGrid>
      <w:tr>
        <w:trPr>
          <w:tblHeader/>
          <w:cantSplit/>
        </w:trPr>
        <w:tc>
          <w:tcPr>
            <w:tcW w:type="dxa" w:w="24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Protein</w:t>
            </w:r>
          </w:p>
        </w:tc>
        <w:tc>
          <w:tcPr>
            <w:tcW w:type="dxa" w:w="11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PDB/source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Panels</w:t>
            </w:r>
          </w:p>
        </w:tc>
        <w:tc>
          <w:tcPr>
            <w:tcW w:type="dxa" w:w="11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Energy</w:t>
            </w:r>
          </w:p>
        </w:tc>
        <w:tc>
          <w:tcPr>
            <w:tcW w:type="dxa" w:w="10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Audit max</w:t>
            </w:r>
          </w:p>
        </w:tc>
        <w:tc>
          <w:tcPr>
            <w:tcW w:type="dxa" w:w="14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Direct residual max</w:t>
            </w:r>
          </w:p>
        </w:tc>
        <w:tc>
          <w:tcPr>
            <w:tcW w:type="dxa" w:w="11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Energy spread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p4/deg1</w:t>
            </w:r>
          </w:p>
        </w:tc>
      </w:tr>
      <w:tr>
        <w:trPr>
          <w:cantSplit/>
          <w:cantSplit/>
        </w:trPr>
        <w:tc>
          <w:tcPr>
            <w:tcW w:type="dxa" w:w="24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Barnase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PyDelPhi benchmark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14942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-21030.83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6.383e-05</w:t>
            </w:r>
          </w:p>
        </w:tc>
        <w:tc>
          <w:tcPr>
            <w:tcW w:type="dxa" w:w="1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6.383e-05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0.450</w:t>
            </w:r>
          </w:p>
        </w:tc>
      </w:tr>
      <w:tr>
        <w:trPr>
          <w:cantSplit/>
          <w:cantSplit/>
        </w:trPr>
        <w:tc>
          <w:tcPr>
            <w:tcW w:type="dxa" w:w="24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RNA-binding domain of E. coli Rho factor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1A63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17250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-247716.08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2.357e-03</w:t>
            </w:r>
          </w:p>
        </w:tc>
        <w:tc>
          <w:tcPr>
            <w:tcW w:type="dxa" w:w="1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2.357e-03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0.674</w:t>
            </w:r>
          </w:p>
        </w:tc>
      </w:tr>
      <w:tr>
        <w:trPr>
          <w:cantSplit/>
          <w:cantSplit/>
        </w:trPr>
        <w:tc>
          <w:tcPr>
            <w:tcW w:type="dxa" w:w="24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Stichodactyla helianthus neurotoxin I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1SH1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6673</w:t>
            </w:r>
          </w:p>
        </w:tc>
        <w:tc>
          <w:tcPr>
            <w:tcW w:type="dxa" w:w="11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-4362.07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4.894e-06</w:t>
            </w:r>
          </w:p>
        </w:tc>
        <w:tc>
          <w:tcPr>
            <w:tcW w:type="dxa" w:w="1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4.894e-06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  <w:tc>
          <w:tcPr>
            <w:tcW w:type="dxa" w:w="9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0.383</w:t>
            </w:r>
          </w:p>
        </w:tc>
      </w:tr>
    </w:tbl>
    <w:p>
      <w:r>
        <w:br w:type="page"/>
      </w:r>
    </w:p>
    <w:p>
      <w:pPr>
        <w:pStyle w:val="Heading1"/>
      </w:pPr>
      <w:r>
        <w:t>Supplementary Repeatability Context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66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gbi_scope_z4q_repeatability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Figure 1. Supplementary public-protein guarded p4 repeatability for 1UBQ, 2CI2, and 1VII.</w:t>
      </w:r>
    </w:p>
    <w:p>
      <w:r>
        <w:br w:type="page"/>
      </w:r>
    </w:p>
    <w:p>
      <w:pPr>
        <w:pStyle w:val="Heading1"/>
      </w:pPr>
      <w:r>
        <w:t>Preconditioner Convergence Profile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3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gbi_scope_z5_preconditioner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Figure 2. Barnase dense/high-coupling convergence profile comparing local block-diagonal preconditioning with sparse near-field ILU(0).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648" w:footer="648" w:gutter="0"/>
          <w:cols w:space="720"/>
          <w:docGrid w:linePitch="360"/>
        </w:sectPr>
      </w:pPr>
    </w:p>
    <w:p>
      <w:pPr>
        <w:pStyle w:val="Heading1"/>
      </w:pPr>
      <w:r>
        <w:t>Supplementary Public-Protein Expansion</w:t>
      </w:r>
    </w:p>
    <w:p>
      <w:pPr>
        <w:pStyle w:val="Caption"/>
        <w:keepNext/>
        <w:jc w:val="left"/>
      </w:pPr>
      <w:r>
        <w:t>Table S1. Full public-protein supplement rows prepared without atom sampling.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2450"/>
        <w:gridCol w:w="850"/>
        <w:gridCol w:w="750"/>
        <w:gridCol w:w="850"/>
        <w:gridCol w:w="1050"/>
        <w:gridCol w:w="1150"/>
        <w:gridCol w:w="1500"/>
        <w:gridCol w:w="1200"/>
      </w:tblGrid>
      <w:tr>
        <w:trPr>
          <w:tblHeader/>
          <w:cantSplit/>
        </w:trPr>
        <w:tc>
          <w:tcPr>
            <w:tcW w:type="dxa" w:w="24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Protein</w:t>
            </w:r>
          </w:p>
        </w:tc>
        <w:tc>
          <w:tcPr>
            <w:tcW w:type="dxa" w:w="8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PDB</w:t>
            </w:r>
          </w:p>
        </w:tc>
        <w:tc>
          <w:tcPr>
            <w:tcW w:type="dxa" w:w="7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Atoms</w:t>
            </w:r>
          </w:p>
        </w:tc>
        <w:tc>
          <w:tcPr>
            <w:tcW w:type="dxa" w:w="8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Panels</w:t>
            </w:r>
          </w:p>
        </w:tc>
        <w:tc>
          <w:tcPr>
            <w:tcW w:type="dxa" w:w="10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Energy</w:t>
            </w:r>
          </w:p>
        </w:tc>
        <w:tc>
          <w:tcPr>
            <w:tcW w:type="dxa" w:w="115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Audit max</w:t>
            </w:r>
          </w:p>
        </w:tc>
        <w:tc>
          <w:tcPr>
            <w:tcW w:type="dxa" w:w="15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Direct residual max</w:t>
            </w:r>
          </w:p>
        </w:tc>
        <w:tc>
          <w:tcPr>
            <w:tcW w:type="dxa" w:w="1200"/>
            <w:vAlign w:val="center"/>
            <w:shd w:fill="E7E6E6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Energy spread</w:t>
            </w:r>
          </w:p>
        </w:tc>
      </w:tr>
      <w:tr>
        <w:trPr>
          <w:cantSplit/>
          <w:cantSplit/>
        </w:trPr>
        <w:tc>
          <w:tcPr>
            <w:tcW w:type="dxa" w:w="2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Ubiquitin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1UBQ</w:t>
            </w:r>
          </w:p>
        </w:tc>
        <w:tc>
          <w:tcPr>
            <w:tcW w:type="dxa" w:w="7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1231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11242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-4038.46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1.468e-05</w:t>
            </w:r>
          </w:p>
        </w:tc>
        <w:tc>
          <w:tcPr>
            <w:tcW w:type="dxa" w:w="15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1.468e-05</w:t>
            </w:r>
          </w:p>
        </w:tc>
        <w:tc>
          <w:tcPr>
            <w:tcW w:type="dxa" w:w="12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</w:tr>
      <w:tr>
        <w:trPr>
          <w:cantSplit/>
          <w:cantSplit/>
        </w:trPr>
        <w:tc>
          <w:tcPr>
            <w:tcW w:type="dxa" w:w="2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Villin headpiece subdomain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1VII</w:t>
            </w:r>
          </w:p>
        </w:tc>
        <w:tc>
          <w:tcPr>
            <w:tcW w:type="dxa" w:w="7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596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5032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-2355.70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5.871e-06</w:t>
            </w:r>
          </w:p>
        </w:tc>
        <w:tc>
          <w:tcPr>
            <w:tcW w:type="dxa" w:w="15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5.871e-06</w:t>
            </w:r>
          </w:p>
        </w:tc>
        <w:tc>
          <w:tcPr>
            <w:tcW w:type="dxa" w:w="12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</w:tr>
      <w:tr>
        <w:trPr>
          <w:cantSplit/>
          <w:cantSplit/>
        </w:trPr>
        <w:tc>
          <w:tcPr>
            <w:tcW w:type="dxa" w:w="24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Chymotrypsin inhibitor 2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2CI2</w:t>
            </w:r>
          </w:p>
        </w:tc>
        <w:tc>
          <w:tcPr>
            <w:tcW w:type="dxa" w:w="7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1076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9889</w:t>
            </w:r>
          </w:p>
        </w:tc>
        <w:tc>
          <w:tcPr>
            <w:tcW w:type="dxa" w:w="10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-4891.15</w:t>
            </w:r>
          </w:p>
        </w:tc>
        <w:tc>
          <w:tcPr>
            <w:tcW w:type="dxa" w:w="11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7.983e-06</w:t>
            </w:r>
          </w:p>
        </w:tc>
        <w:tc>
          <w:tcPr>
            <w:tcW w:type="dxa" w:w="15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7.983e-06</w:t>
            </w:r>
          </w:p>
        </w:tc>
        <w:tc>
          <w:tcPr>
            <w:tcW w:type="dxa" w:w="120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14"/>
              </w:rPr>
              <w:t>0.000</w:t>
            </w:r>
          </w:p>
        </w:tc>
      </w:tr>
    </w:tbl>
    <w:p>
      <w:pPr>
        <w:sectPr>
          <w:headerReference w:type="default" r:id="rId13"/>
          <w:footerReference w:type="default" r:id="rId14"/>
          <w:pgSz w:w="15840" w:h="12240" w:orient="landscape"/>
          <w:pgMar w:top="936" w:right="936" w:bottom="936" w:left="936" w:header="648" w:footer="648" w:gutter="0"/>
          <w:cols w:space="720"/>
          <w:docGrid w:linePitch="360"/>
        </w:sectPr>
      </w:pPr>
    </w:p>
    <w:p>
      <w:pPr>
        <w:pStyle w:val="Heading1"/>
      </w:pPr>
      <w:r>
        <w:t>References</w:t>
      </w:r>
    </w:p>
    <w:p>
      <w:pPr>
        <w:spacing w:after="0"/>
      </w:pPr>
      <w:r>
        <w:rPr>
          <w:rFonts w:ascii="Times New Roman" w:hAnsi="Times New Roman"/>
          <w:sz w:val="20"/>
        </w:rPr>
        <w:t>[1] J. Chen, J. Tausch, and W. Geng, A Cartesian FMM-accelerated Galerkin boundary integral Poisson-Boltzmann solver, arXiv:2110.13778, 2021.</w:t>
      </w:r>
    </w:p>
    <w:p>
      <w:pPr>
        <w:spacing w:after="0"/>
      </w:pPr>
      <w:r>
        <w:rPr>
          <w:rFonts w:ascii="Times New Roman" w:hAnsi="Times New Roman"/>
          <w:sz w:val="20"/>
        </w:rPr>
        <w:t>[2] L. Greengard and V. Rokhlin, A fast algorithm for particle simulations, Journal of Computational Physics 73, 325-348, 1987.</w:t>
      </w:r>
    </w:p>
    <w:p>
      <w:pPr>
        <w:spacing w:after="0"/>
      </w:pPr>
      <w:r>
        <w:rPr>
          <w:rFonts w:ascii="Times New Roman" w:hAnsi="Times New Roman"/>
          <w:sz w:val="20"/>
        </w:rPr>
        <w:t>[3] Y. Saad and M. H. Schultz, GMRES: A generalized minimal residual algorithm for solving nonsymmetric linear systems, SIAM Journal on Scientific and Statistical Computing 7, 856-869, 1986.</w:t>
      </w:r>
    </w:p>
    <w:p>
      <w:pPr>
        <w:spacing w:after="0"/>
      </w:pPr>
      <w:r>
        <w:rPr>
          <w:rFonts w:ascii="Times New Roman" w:hAnsi="Times New Roman"/>
          <w:sz w:val="20"/>
        </w:rPr>
        <w:t>[4] J. A. Meijerink and H. A. van der Vorst, An iterative solution method for linear systems of which the coefficient matrix is a symmetric M-matrix, Mathematics of Computation 31, 148-162, 1977.</w:t>
      </w:r>
    </w:p>
    <w:p>
      <w:pPr>
        <w:spacing w:after="0"/>
      </w:pPr>
      <w:r>
        <w:rPr>
          <w:rFonts w:ascii="Times New Roman" w:hAnsi="Times New Roman"/>
          <w:sz w:val="20"/>
        </w:rPr>
        <w:t>[5] M. G. Duffy, Quadrature over a pyramid or cube of integrands with a singularity at a vertex, SIAM Journal on Numerical Analysis 19, 1260-1262, 1982.</w:t>
      </w:r>
    </w:p>
    <w:p>
      <w:pPr>
        <w:spacing w:after="0"/>
      </w:pPr>
      <w:r>
        <w:rPr>
          <w:rFonts w:ascii="Times New Roman" w:hAnsi="Times New Roman"/>
          <w:sz w:val="20"/>
        </w:rPr>
        <w:t>[6] T. J. Dolinsky et al., PDB2PQR: an automated pipeline for the setup of Poisson-Boltzmann electrostatics calculations, Nucleic Acids Research 32, W665-W667, 2004.</w:t>
      </w:r>
    </w:p>
    <w:p>
      <w:pPr>
        <w:spacing w:after="0"/>
      </w:pPr>
      <w:r>
        <w:rPr>
          <w:rFonts w:ascii="Times New Roman" w:hAnsi="Times New Roman"/>
          <w:sz w:val="20"/>
        </w:rPr>
        <w:t>[7] E. Jurrus et al., Improvements to the APBS biomolecular solvation software suite, Protein Science 27, 112-128, 2018.</w:t>
      </w:r>
    </w:p>
    <w:p>
      <w:pPr>
        <w:spacing w:after="0"/>
      </w:pPr>
      <w:r>
        <w:rPr>
          <w:rFonts w:ascii="Times New Roman" w:hAnsi="Times New Roman"/>
          <w:sz w:val="20"/>
        </w:rPr>
        <w:t>[8] S. K. Burley et al., RCSB Protein Data Bank: powerful new tools for exploring 3D structures of biological macromolecules, Nucleic Acids Research 49, D437-D451, 2021.</w:t>
      </w:r>
    </w:p>
    <w:sectPr w:rsidR="00FC693F" w:rsidRPr="0006063C" w:rsidSect="00034616">
      <w:headerReference w:type="default" r:id="rId15"/>
      <w:footerReference w:type="default" r:id="rId16"/>
      <w:pgSz w:w="15840" w:h="12240" w:orient="landscape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i/>
        <w:color w:val="595959"/>
        <w:sz w:val="18"/>
      </w:rPr>
      <w:t>TITAN FMM/M2L manuscript draft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i/>
        <w:color w:val="595959"/>
        <w:sz w:val="18"/>
      </w:rPr>
      <w:t>TITAN FMM/M2L manuscript draft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i/>
        <w:color w:val="595959"/>
        <w:sz w:val="18"/>
      </w:rPr>
      <w:t>TITAN FMM/M2L manuscript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Times New Roman" w:hAnsi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TITAN: Analytical FMM/M2L Boundary-Integral Poisson-Boltzmann Solves with Sparse Near-Field ILU(0) Preconditioning</dc:title>
  <dc:subject/>
  <dc:creator/>
  <cp:keywords>Poisson-Boltzmann; FMM; M2L; ILU(0); boundary integral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