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TITAN: Analytical FMM/M2L Boundary-Integral Poisson-Boltzmann Solves with Sparse Near-Field ILU(0) Preconditioning</w:t>
      </w:r>
    </w:p>
    <w:p>
      <w:pPr>
        <w:jc w:val="center"/>
      </w:pPr>
      <w:r>
        <w:rPr>
          <w:rFonts w:ascii="Times New Roman" w:hAnsi="Times New Roman"/>
          <w:i/>
          <w:sz w:val="22"/>
        </w:rPr>
        <w:t>Guarded p4 repeatability refresh for external manuscript</w:t>
      </w:r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Boundary-integral Poisson-Boltzmann solvers avoid volumetric grids but require accurate acceleration and robust Krylov preconditioning. We present a guarded fourth-order analytical FMM/M2L path in TITAN that remains an advanced explicit TABI treecode option. The path uses static far-cell refinement, a strict geometric guard, compressed Green-function jets, packed AVX2 direct fallback, and sparse near-field ILU(0). Full prepared proteins were evaluated without atom sampling. Across three repeats per protein, the guarded path was finite, repeatable, and passed sampled direct-operator checks. Grid-based Poisson-Boltzmann remains TITAN's production default.</w:t>
      </w:r>
    </w:p>
    <w:p>
      <w:pPr>
        <w:pStyle w:val="Heading1"/>
      </w:pPr>
      <w:r>
        <w:t>Methods</w:t>
      </w:r>
    </w:p>
    <w:p>
      <w:pPr>
        <w:jc w:val="both"/>
      </w:pPr>
      <w:r>
        <w:t>The guarded p4 path is selected explicitly and is not the automatic TABI treecode policy. The measured configuration uses Taylor order 4, opening theta 0.6, static tail tolerance 0.002, strict-geometry MAC theta 0.5, compressed degree-9 Green jets, packed AVX2 direct fallback, analytic-singular near integration, and sparse near-field ILU(0) with 64 neighbors.</w:t>
      </w:r>
    </w:p>
    <w:p>
      <w:pPr>
        <w:jc w:val="both"/>
      </w:pPr>
      <w:r>
        <w:t>For panel i, the coupled unknown is u_i = (phi_i, partial_n phi_i)^T. The preconditioner retains 2 x 2 blocks on edges from the FMM near-source graph and applies ILU(0) without fill. Large-system verification uses sampled direct-operator RMS and sampled direct true residuals.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pStyle w:val="Heading1"/>
      </w:pPr>
      <w:r>
        <w:t>Results</w:t>
      </w:r>
    </w:p>
    <w:p>
      <w:pPr>
        <w:jc w:val="both"/>
      </w:pPr>
      <w:r>
        <w:t>Table 1 reports the repeatability evidence used for the guarded p4 claim. All three rows passed the Z4O gate with zero energy spread across repeats.</w:t>
      </w:r>
    </w:p>
    <w:tbl>
      <w:tblPr>
        <w:tblStyle w:val="TableGrid"/>
        <w:tblW w:type="dxa" w:w="1080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950"/>
        <w:gridCol w:w="750"/>
        <w:gridCol w:w="800"/>
        <w:gridCol w:w="950"/>
        <w:gridCol w:w="1050"/>
        <w:gridCol w:w="1300"/>
        <w:gridCol w:w="950"/>
        <w:gridCol w:w="850"/>
        <w:gridCol w:w="850"/>
      </w:tblGrid>
      <w:tr>
        <w:trPr>
          <w:tblHeader/>
          <w:cantSplit/>
        </w:trPr>
        <w:tc>
          <w:tcPr>
            <w:tcW w:type="dxa" w:w="23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Protein</w:t>
            </w:r>
          </w:p>
        </w:tc>
        <w:tc>
          <w:tcPr>
            <w:tcW w:type="dxa" w:w="9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PDB/source</w:t>
            </w:r>
          </w:p>
        </w:tc>
        <w:tc>
          <w:tcPr>
            <w:tcW w:type="dxa" w:w="7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N_atoms</w:t>
            </w:r>
          </w:p>
        </w:tc>
        <w:tc>
          <w:tcPr>
            <w:tcW w:type="dxa" w:w="8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N_panels</w:t>
            </w:r>
          </w:p>
        </w:tc>
        <w:tc>
          <w:tcPr>
            <w:tcW w:type="dxa" w:w="9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E_rxn</w:t>
            </w:r>
          </w:p>
        </w:tc>
        <w:tc>
          <w:tcPr>
            <w:tcW w:type="dxa" w:w="10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Audit max</w:t>
            </w:r>
          </w:p>
        </w:tc>
        <w:tc>
          <w:tcPr>
            <w:tcW w:type="dxa" w:w="13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Direct residual max</w:t>
            </w:r>
          </w:p>
        </w:tc>
        <w:tc>
          <w:tcPr>
            <w:tcW w:type="dxa" w:w="9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Energy spread</w:t>
            </w:r>
          </w:p>
        </w:tc>
        <w:tc>
          <w:tcPr>
            <w:tcW w:type="dxa" w:w="8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p4/deg1</w:t>
            </w:r>
          </w:p>
        </w:tc>
        <w:tc>
          <w:tcPr>
            <w:tcW w:type="dxa" w:w="8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RSS MB</w:t>
            </w:r>
          </w:p>
        </w:tc>
      </w:tr>
      <w:tr>
        <w:trPr>
          <w:cantSplit/>
          <w:cantSplit/>
        </w:trPr>
        <w:tc>
          <w:tcPr>
            <w:tcW w:type="dxa" w:w="23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Barnase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PyDelPhi benchmark</w:t>
            </w:r>
          </w:p>
        </w:tc>
        <w:tc>
          <w:tcPr>
            <w:tcW w:type="dxa" w:w="7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1700</w:t>
            </w:r>
          </w:p>
        </w:tc>
        <w:tc>
          <w:tcPr>
            <w:tcW w:type="dxa" w:w="8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14942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-21030.83</w:t>
            </w:r>
          </w:p>
        </w:tc>
        <w:tc>
          <w:tcPr>
            <w:tcW w:type="dxa" w:w="10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6.383e-05</w:t>
            </w:r>
          </w:p>
        </w:tc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6.383e-05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0.450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172.6</w:t>
            </w:r>
          </w:p>
        </w:tc>
      </w:tr>
      <w:tr>
        <w:trPr>
          <w:cantSplit/>
          <w:cantSplit/>
        </w:trPr>
        <w:tc>
          <w:tcPr>
            <w:tcW w:type="dxa" w:w="23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RNA-binding domain of E. coli Rho factor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1A63</w:t>
            </w:r>
          </w:p>
        </w:tc>
        <w:tc>
          <w:tcPr>
            <w:tcW w:type="dxa" w:w="7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2065</w:t>
            </w:r>
          </w:p>
        </w:tc>
        <w:tc>
          <w:tcPr>
            <w:tcW w:type="dxa" w:w="8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17250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-247716.08</w:t>
            </w:r>
          </w:p>
        </w:tc>
        <w:tc>
          <w:tcPr>
            <w:tcW w:type="dxa" w:w="10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2.357e-03</w:t>
            </w:r>
          </w:p>
        </w:tc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2.357e-03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0.674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369.4</w:t>
            </w:r>
          </w:p>
        </w:tc>
      </w:tr>
      <w:tr>
        <w:trPr>
          <w:cantSplit/>
          <w:cantSplit/>
        </w:trPr>
        <w:tc>
          <w:tcPr>
            <w:tcW w:type="dxa" w:w="23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Stichodactyla helianthus neurotoxin I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1SH1</w:t>
            </w:r>
          </w:p>
        </w:tc>
        <w:tc>
          <w:tcPr>
            <w:tcW w:type="dxa" w:w="7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696</w:t>
            </w:r>
          </w:p>
        </w:tc>
        <w:tc>
          <w:tcPr>
            <w:tcW w:type="dxa" w:w="8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6673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-4362.07</w:t>
            </w:r>
          </w:p>
        </w:tc>
        <w:tc>
          <w:tcPr>
            <w:tcW w:type="dxa" w:w="10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4.894e-06</w:t>
            </w:r>
          </w:p>
        </w:tc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4.894e-06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0.383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63.5</w:t>
            </w:r>
          </w:p>
        </w:tc>
      </w:tr>
    </w:tbl>
    <w:p>
      <w:r>
        <w:br w:type="page"/>
      </w:r>
    </w:p>
    <w:p>
      <w:pPr>
        <w:pStyle w:val="Heading1"/>
      </w:pPr>
      <w:r>
        <w:t>Repeatability Summary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63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gbi_scope_z4o_repeatability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Figure 1. Guarded p4 repeatability across the complete public-protein panel.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648" w:footer="648" w:gutter="0"/>
          <w:cols w:space="720"/>
          <w:docGrid w:linePitch="360"/>
        </w:sectPr>
      </w:pPr>
    </w:p>
    <w:p>
      <w:pPr>
        <w:pStyle w:val="Heading1"/>
      </w:pPr>
      <w:r>
        <w:t>Discussion</w:t>
      </w:r>
    </w:p>
    <w:p>
      <w:pPr>
        <w:jc w:val="both"/>
      </w:pPr>
      <w:r>
        <w:t>The guarded p4 path has moved from a diagnostic candidate to a repeatable advanced explicit solver path for the three complete public proteins tested. This does not change default behavior: the grid backend remains TITAN's production Poisson-Boltzmann default and the default TABI treecode engine remains degree-one.</w:t>
      </w:r>
    </w:p>
    <w:p>
      <w:pPr>
        <w:pStyle w:val="Heading1"/>
      </w:pPr>
      <w:r>
        <w:t>Limitations</w:t>
      </w:r>
    </w:p>
    <w:p>
      <w:pPr>
        <w:jc w:val="both"/>
      </w:pPr>
      <w:r>
        <w:t>Guarded p4 must be requested explicitly; it is not enabled by auto or default policy.</w:t>
      </w:r>
    </w:p>
    <w:p>
      <w:pPr>
        <w:jc w:val="both"/>
      </w:pPr>
      <w:r>
        <w:t>Large-system references use sampled direct-operator verification rather than full direct TABI energy.</w:t>
      </w:r>
    </w:p>
    <w:p>
      <w:pPr>
        <w:jc w:val="both"/>
      </w:pPr>
      <w:r>
        <w:t>Additional public proteins are reported as supplement evidence after passing the same repeatability gate.</w:t>
      </w:r>
    </w:p>
    <w:p>
      <w:pPr>
        <w:sectPr>
          <w:headerReference w:type="default" r:id="rId14"/>
          <w:footerReference w:type="default" r:id="rId15"/>
          <w:pgSz w:w="15840" w:h="12240" w:orient="landscape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pStyle w:val="Heading1"/>
      </w:pPr>
      <w:r>
        <w:t>Supplementary Public-Protein Expansion</w:t>
      </w:r>
    </w:p>
    <w:p>
      <w:pPr>
        <w:jc w:val="both"/>
      </w:pPr>
      <w:r>
        <w:t>Table S1 reports additional full-protein systems that passed the same guarded p4 repeatability gate. These rows broaden the benchmark panel as supplement evidence while the main claim remains anchored on Table 1.</w:t>
      </w:r>
    </w:p>
    <w:tbl>
      <w:tblPr>
        <w:tblStyle w:val="TableGrid"/>
        <w:tblW w:type="dxa" w:w="985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850"/>
        <w:gridCol w:w="750"/>
        <w:gridCol w:w="800"/>
        <w:gridCol w:w="950"/>
        <w:gridCol w:w="1050"/>
        <w:gridCol w:w="1300"/>
        <w:gridCol w:w="950"/>
        <w:gridCol w:w="850"/>
      </w:tblGrid>
      <w:tr>
        <w:trPr>
          <w:tblHeader/>
          <w:cantSplit/>
        </w:trPr>
        <w:tc>
          <w:tcPr>
            <w:tcW w:type="dxa" w:w="23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Protein</w:t>
            </w:r>
          </w:p>
        </w:tc>
        <w:tc>
          <w:tcPr>
            <w:tcW w:type="dxa" w:w="8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PDB</w:t>
            </w:r>
          </w:p>
        </w:tc>
        <w:tc>
          <w:tcPr>
            <w:tcW w:type="dxa" w:w="7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N_atoms</w:t>
            </w:r>
          </w:p>
        </w:tc>
        <w:tc>
          <w:tcPr>
            <w:tcW w:type="dxa" w:w="8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N_panels</w:t>
            </w:r>
          </w:p>
        </w:tc>
        <w:tc>
          <w:tcPr>
            <w:tcW w:type="dxa" w:w="9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E_rxn</w:t>
            </w:r>
          </w:p>
        </w:tc>
        <w:tc>
          <w:tcPr>
            <w:tcW w:type="dxa" w:w="10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Audit max</w:t>
            </w:r>
          </w:p>
        </w:tc>
        <w:tc>
          <w:tcPr>
            <w:tcW w:type="dxa" w:w="13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Direct residual max</w:t>
            </w:r>
          </w:p>
        </w:tc>
        <w:tc>
          <w:tcPr>
            <w:tcW w:type="dxa" w:w="9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Energy spread</w:t>
            </w:r>
          </w:p>
        </w:tc>
        <w:tc>
          <w:tcPr>
            <w:tcW w:type="dxa" w:w="8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p4/deg1</w:t>
            </w:r>
          </w:p>
        </w:tc>
      </w:tr>
      <w:tr>
        <w:trPr>
          <w:cantSplit/>
          <w:cantSplit/>
        </w:trPr>
        <w:tc>
          <w:tcPr>
            <w:tcW w:type="dxa" w:w="23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Ubiquitin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1UBQ</w:t>
            </w:r>
          </w:p>
        </w:tc>
        <w:tc>
          <w:tcPr>
            <w:tcW w:type="dxa" w:w="7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1231</w:t>
            </w:r>
          </w:p>
        </w:tc>
        <w:tc>
          <w:tcPr>
            <w:tcW w:type="dxa" w:w="8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11242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-4038.46</w:t>
            </w:r>
          </w:p>
        </w:tc>
        <w:tc>
          <w:tcPr>
            <w:tcW w:type="dxa" w:w="10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1.468e-05</w:t>
            </w:r>
          </w:p>
        </w:tc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1.468e-05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0.499</w:t>
            </w:r>
          </w:p>
        </w:tc>
      </w:tr>
      <w:tr>
        <w:trPr>
          <w:cantSplit/>
          <w:cantSplit/>
        </w:trPr>
        <w:tc>
          <w:tcPr>
            <w:tcW w:type="dxa" w:w="23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Villin headpiece subdomain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1VII</w:t>
            </w:r>
          </w:p>
        </w:tc>
        <w:tc>
          <w:tcPr>
            <w:tcW w:type="dxa" w:w="7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596</w:t>
            </w:r>
          </w:p>
        </w:tc>
        <w:tc>
          <w:tcPr>
            <w:tcW w:type="dxa" w:w="8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5032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-2355.70</w:t>
            </w:r>
          </w:p>
        </w:tc>
        <w:tc>
          <w:tcPr>
            <w:tcW w:type="dxa" w:w="10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5.871e-06</w:t>
            </w:r>
          </w:p>
        </w:tc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5.871e-06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0.412</w:t>
            </w:r>
          </w:p>
        </w:tc>
      </w:tr>
      <w:tr>
        <w:trPr>
          <w:cantSplit/>
          <w:cantSplit/>
        </w:trPr>
        <w:tc>
          <w:tcPr>
            <w:tcW w:type="dxa" w:w="23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Chymotrypsin inhibitor 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2CI2</w:t>
            </w:r>
          </w:p>
        </w:tc>
        <w:tc>
          <w:tcPr>
            <w:tcW w:type="dxa" w:w="7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1076</w:t>
            </w:r>
          </w:p>
        </w:tc>
        <w:tc>
          <w:tcPr>
            <w:tcW w:type="dxa" w:w="8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9889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-4891.15</w:t>
            </w:r>
          </w:p>
        </w:tc>
        <w:tc>
          <w:tcPr>
            <w:tcW w:type="dxa" w:w="10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7.983e-06</w:t>
            </w:r>
          </w:p>
        </w:tc>
        <w:tc>
          <w:tcPr>
            <w:tcW w:type="dxa" w:w="1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7.983e-06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0.547</w:t>
            </w:r>
          </w:p>
        </w:tc>
      </w:tr>
    </w:tbl>
    <w:p>
      <w:r>
        <w:br w:type="page"/>
      </w:r>
    </w:p>
    <w:p>
      <w:pPr>
        <w:pStyle w:val="Heading1"/>
      </w:pPr>
      <w:r>
        <w:t>Supplementary Provenance</w:t>
      </w:r>
    </w:p>
    <w:tbl>
      <w:tblPr>
        <w:tblStyle w:val="TableGrid"/>
        <w:tblW w:type="dxa" w:w="990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000"/>
        <w:gridCol w:w="650"/>
        <w:gridCol w:w="650"/>
        <w:gridCol w:w="900"/>
        <w:gridCol w:w="4300"/>
      </w:tblGrid>
      <w:tr>
        <w:trPr>
          <w:tblHeader/>
          <w:cantSplit/>
        </w:trPr>
        <w:tc>
          <w:tcPr>
            <w:tcW w:type="dxa" w:w="24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Protein</w:t>
            </w:r>
          </w:p>
        </w:tc>
        <w:tc>
          <w:tcPr>
            <w:tcW w:type="dxa" w:w="10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PDB/source</w:t>
            </w:r>
          </w:p>
        </w:tc>
        <w:tc>
          <w:tcPr>
            <w:tcW w:type="dxa" w:w="6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Model</w:t>
            </w:r>
          </w:p>
        </w:tc>
        <w:tc>
          <w:tcPr>
            <w:tcW w:type="dxa" w:w="65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Chain</w:t>
            </w:r>
          </w:p>
        </w:tc>
        <w:tc>
          <w:tcPr>
            <w:tcW w:type="dxa" w:w="9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PDB2PQR</w:t>
            </w:r>
          </w:p>
        </w:tc>
        <w:tc>
          <w:tcPr>
            <w:tcW w:type="dxa" w:w="4300"/>
            <w:vAlign w:val="center"/>
            <w:shd w:fill="E7E6E6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4"/>
              </w:rPr>
              <w:t>PQR SHA256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Barnase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PyDelPhi benchmark</w:t>
            </w:r>
          </w:p>
        </w:tc>
        <w:tc>
          <w:tcPr>
            <w:tcW w:type="dxa" w:w="6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A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3.7.1</w:t>
            </w:r>
          </w:p>
        </w:tc>
        <w:tc>
          <w:tcPr>
            <w:tcW w:type="dxa" w:w="4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5a8136a5cc07ab472fcfa0e817d9ecb16d2d705b2bb88ac026ea7fbe16885002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RNA-binding domain of E. coli Rho factor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1A63</w:t>
            </w:r>
          </w:p>
        </w:tc>
        <w:tc>
          <w:tcPr>
            <w:tcW w:type="dxa" w:w="6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A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3.7.1</w:t>
            </w:r>
          </w:p>
        </w:tc>
        <w:tc>
          <w:tcPr>
            <w:tcW w:type="dxa" w:w="4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a26d0c3e1fa32fde448a3571a3ab720e4fc8a2bb40d5989f77731ee678681c7a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Stichodactyla helianthus neurotoxin I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1SH1</w:t>
            </w:r>
          </w:p>
        </w:tc>
        <w:tc>
          <w:tcPr>
            <w:tcW w:type="dxa" w:w="6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6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A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3.7.1</w:t>
            </w:r>
          </w:p>
        </w:tc>
        <w:tc>
          <w:tcPr>
            <w:tcW w:type="dxa" w:w="430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14"/>
              </w:rPr>
              <w:t>c661ed6012607d92bbab2d43b970ae1ec954a16d0694ce60f7037a5cd5c9bd6e</w:t>
            </w:r>
          </w:p>
        </w:tc>
      </w:tr>
    </w:tbl>
    <w:sectPr w:rsidR="00FC693F" w:rsidRPr="0006063C" w:rsidSect="00034616">
      <w:headerReference w:type="default" r:id="rId16"/>
      <w:footerReference w:type="default" r:id="rId17"/>
      <w:pgSz w:w="15840" w:h="12240" w:orient="landscape"/>
      <w:pgMar w:top="936" w:right="936" w:bottom="936" w:left="93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Evidence-backed draft; grid remains production default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Evidence-backed draft; grid remains production default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Evidence-backed draft; grid remains production default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Evidence-backed draft; grid remains production default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TITAN guarded p4 manuscript refresh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TITAN guarded p4 manuscript refresh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TITAN guarded p4 manuscript refresh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TITAN guarded p4 manuscript refresh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Times New Roman" w:hAnsi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TITAN: Analytical FMM/M2L Boundary-Integral Poisson-Boltzmann Solves with Sparse Near-Field ILU(0) Preconditioning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