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2"/>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2"/>
        </w:rPr>
        <w:t>Hoang Linh Nguyen1,2,*</w:t>
      </w:r>
    </w:p>
    <w:p w14:paraId="3854554C" w14:textId="77777777" w:rsidR="000B62E7" w:rsidRDefault="00A65B0F">
      <w:pPr>
        <w:jc w:val="center"/>
      </w:pPr>
      <w:r>
        <w:rPr>
          <w:rFonts w:ascii="Times New Roman" w:hAnsi="Times New Roman"/>
          <w:sz w:val="22"/>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2"/>
        </w:rPr>
        <w:t>2Faculty of Environmental and Natural Sciences, Duy Tan University, Da Nang 550000, Vietnam</w:t>
      </w:r>
    </w:p>
    <w:p w14:paraId="6FF2A17D" w14:textId="77777777" w:rsidR="000B62E7" w:rsidRDefault="00A65B0F">
      <w:pPr>
        <w:jc w:val="center"/>
      </w:pPr>
      <w:r>
        <w:rPr>
          <w:rFonts w:ascii="Times New Roman" w:hAnsi="Times New Roman"/>
          <w:sz w:val="22"/>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rPr>
          <w:rFonts w:ascii="Times New Roman" w:hAnsi="Times New Roman"/>
          <w:sz w:val="22"/>
        </w:rPr>
        <w:t>Grid-based Poisson-Boltzmann solvers are robust and widely used, but volumetric discretization can impose substantial memory costs and can blur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exact 2 x 2 coupled local blocks on a capped spatial-neighbor graph, while the guarded operator uses algebraic and geometric acceptance checks with deterministic direct fallback for risky interactions. On the six-protein panel reported here, weakly preconditioned degree-one FMM configurations did not meet the convergence criterion, whereas the near-field ILU(0) rows converged in 128 iterations across all fixtures. The reported guarded p4 + sparse ILU(0) path retained this convergence and passed sampled direct-operator audits, with a maximum sampled residual of 2.534e-3 and peak resident memory of 369.6 MB. Additional p-order and neighbor-cap sweeps show that the reported p4/cap-64 setting is a reproducible operating point with a favorable balance of sampled accuracy, far-field compression, wall time, and memory on the tested cases; no general optimality claim is made.</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2"/>
        </w:rPr>
        <w:t>Implicit-solvent electrostatics is a standard approximation in biomolecular modeling.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2"/>
        </w:rPr>
        <w:t>Boundary-integral equation (BIE) formulations provide an alternative discretization.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2"/>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2"/>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2"/>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2"/>
        </w:rPr>
        <w:t>The reported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 The Results section also reports p-order, opening-angle, guard, and ILU neighbor-cap sensitivity tests to make the selected p4/cap-64 protocol easier to interpret.</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pStyle w:val="Caption"/>
        <w:jc w:val="both"/>
        <w:rPr>
          <w:lang w:val="vi-VN"/>
        </w:rPr>
      </w:pPr>
      <w:r>
        <w:rPr>
          <w:rFonts w:ascii="Times New Roman" w:hAnsi="Times New Roman"/>
          <w:sz w:val="20"/>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2"/>
        </w:rPr>
        <w:t>TITAN solves a coupled boundary-integral Poisson-Boltzmann system on triangulated molecular surfaces. Following the TABI boundary-integral formulation [10],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w:t>
      </w:r>
    </w:p>
    <w:p w14:paraId="1DC6D523" w14:textId="77777777" w:rsidR="006328A9" w:rsidRPr="006328A9" w:rsidRDefault="006328A9" w:rsidP="006328A9">
      <w:pPr>
        <w:jc w:val="both"/>
      </w:pPr>
      <w:r>
        <w:rPr>
          <w:rFonts w:ascii="Times New Roman" w:hAnsi="Times New Roman"/>
          <w:sz w:val="22"/>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2"/>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2"/>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2"/>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2"/>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rPr>
          <w:rFonts w:ascii="Times New Roman" w:hAnsi="Times New Roman"/>
          <w:sz w:val="22"/>
        </w:rP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2"/>
        </w:rPr>
        <w:t>Here C_gamma denotes the Coulomb or screened Green-function jet coefficient through degree 9. K1 and K3 use base Green jets, while K2 and K4 use source-normal derivatives reconstructed during contraction as D_{d,alpha} = (alpha_d + 1) C_{alpha + e_d}.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2"/>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2"/>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2"/>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2"/>
        </w:rPr>
        <w:t>For each target panel i, the graph contains the self-edge and a deterministic set of spatially adjacent source panels j, capped at 64 neighbors in the reported guarded configuration. On each graph edge, TITAN stores the exact 2 x 2 coupled local operator block A_ij. ILU(0) factorization [4] is then performed strictly on this sparsity pattern. The resulting preconditioner preserves selected cross-leaf near-field couplings while avoiding fill-in beyond the graph. Section 3.5 and the Supplement compare caps 32, 64, and 128 on the primary cap-sweep subset; cap 64 is used as the reported protocol value rather than as a claimed optimum.</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2"/>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2"/>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t>For the full-protein panel, full O(N^2) dense direct reaction-energy oracles were not computed. Instead, the reported verification uses sampled direct-operator residuals and sampled direct true residuals. These metrics test agreement with dense direct evaluations on audited panels and are reported separately from internal GMRES residuals. The sampled direct-operator gate separates known failed far-field configurations from guarded accepted rows and is applied in addition to the 10^-6 Krylov stopping tolerance because internal GMRES convergence alone does not verify agreement with the dense direct operator.</w:t>
      </w:r>
    </w:p>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2"/>
        </w:rPr>
        <w:t>Protein structures were prepared with PDB2PQR/APBS-family tooling [6], [7]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2"/>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pPr>
        <w:pStyle w:val="Caption"/>
        <w:spacing w:before="160" w:after="80"/>
      </w:pPr>
      <w:r>
        <w:rPr>
          <w:rFonts w:ascii="Times New Roman" w:hAnsi="Times New Roman"/>
          <w:sz w:val="20"/>
        </w:rPr>
        <w:t>Table M1. Reproducibility parameters for the manuscript-facing TITAN benchmarks.</w:t>
      </w:r>
    </w:p>
    <w:tbl>
      <w:tblPr>
        <w:tblStyle w:val="TableGrid"/>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1656"/>
            <w:vAlign w:val="center"/>
            <w:shd w:fill="E5E7EB"/>
          </w:tcPr>
          <w:p>
            <w:pPr>
              <w:spacing w:after="0" w:before="0"/>
            </w:pPr>
            <w:r>
              <w:rPr>
                <w:rFonts w:ascii="Times New Roman" w:hAnsi="Times New Roman"/>
                <w:b/>
                <w:sz w:val="16"/>
              </w:rPr>
            </w:r>
            <w:r>
              <w:rPr>
                <w:rFonts w:ascii="Times New Roman" w:hAnsi="Times New Roman"/>
                <w:b/>
                <w:sz w:val="16"/>
              </w:rPr>
              <w:t>Category</w:t>
            </w:r>
          </w:p>
        </w:tc>
        <w:tc>
          <w:tcPr>
            <w:tcW w:type="dxa" w:w="2232"/>
            <w:vAlign w:val="center"/>
            <w:shd w:fill="E5E7EB"/>
          </w:tcPr>
          <w:p>
            <w:pPr>
              <w:spacing w:after="0" w:before="0"/>
            </w:pPr>
            <w:r>
              <w:rPr>
                <w:rFonts w:ascii="Times New Roman" w:hAnsi="Times New Roman"/>
                <w:b/>
                <w:sz w:val="16"/>
              </w:rPr>
            </w:r>
            <w:r>
              <w:rPr>
                <w:rFonts w:ascii="Times New Roman" w:hAnsi="Times New Roman"/>
                <w:b/>
                <w:sz w:val="16"/>
              </w:rPr>
              <w:t>Parameter</w:t>
            </w:r>
          </w:p>
        </w:tc>
        <w:tc>
          <w:tcPr>
            <w:tcW w:type="dxa" w:w="3096"/>
            <w:vAlign w:val="center"/>
            <w:shd w:fill="E5E7EB"/>
          </w:tcPr>
          <w:p>
            <w:pPr>
              <w:spacing w:after="0" w:before="0"/>
            </w:pPr>
            <w:r>
              <w:rPr>
                <w:rFonts w:ascii="Times New Roman" w:hAnsi="Times New Roman"/>
                <w:b/>
                <w:sz w:val="16"/>
              </w:rPr>
            </w:r>
            <w:r>
              <w:rPr>
                <w:rFonts w:ascii="Times New Roman" w:hAnsi="Times New Roman"/>
                <w:b/>
                <w:sz w:val="16"/>
              </w:rPr>
              <w:t>Value used in the reported rows</w:t>
            </w:r>
          </w:p>
        </w:tc>
        <w:tc>
          <w:tcPr>
            <w:tcW w:type="dxa" w:w="3384"/>
            <w:vAlign w:val="center"/>
            <w:shd w:fill="E5E7EB"/>
          </w:tcPr>
          <w:p>
            <w:pPr>
              <w:spacing w:after="0" w:before="0"/>
            </w:pPr>
            <w:r>
              <w:rPr>
                <w:rFonts w:ascii="Times New Roman" w:hAnsi="Times New Roman"/>
                <w:b/>
                <w:sz w:val="16"/>
              </w:rPr>
            </w:r>
            <w:r>
              <w:rPr>
                <w:rFonts w:ascii="Times New Roman" w:hAnsi="Times New Roman"/>
                <w:b/>
                <w:sz w:val="16"/>
              </w:rPr>
              <w:t>Evidence and notes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Dielectric constants</w:t>
            </w:r>
          </w:p>
        </w:tc>
        <w:tc>
          <w:tcPr>
            <w:tcW w:type="dxa" w:w="3096"/>
            <w:vAlign w:val="center"/>
          </w:tcPr>
          <w:p>
            <w:pPr>
              <w:spacing w:after="0" w:before="0"/>
            </w:pPr>
            <w:r>
              <w:rPr>
                <w:rFonts w:ascii="Times New Roman" w:hAnsi="Times New Roman"/>
                <w:sz w:val="16"/>
              </w:rPr>
            </w:r>
            <w:r>
              <w:rPr>
                <w:rFonts w:ascii="Times New Roman" w:hAnsi="Times New Roman"/>
                <w:b w:val="0"/>
                <w:sz w:val="16"/>
              </w:rPr>
              <w:t>solute epsilon = 1; solvent epsilon = 80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-pbe-int-diel=1, -pbe-ext-diel=80</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Ionic strength and temperature</w:t>
            </w:r>
          </w:p>
        </w:tc>
        <w:tc>
          <w:tcPr>
            <w:tcW w:type="dxa" w:w="3096"/>
            <w:vAlign w:val="center"/>
          </w:tcPr>
          <w:p>
            <w:pPr>
              <w:spacing w:after="0" w:before="0"/>
            </w:pPr>
            <w:r>
              <w:rPr>
                <w:rFonts w:ascii="Times New Roman" w:hAnsi="Times New Roman"/>
                <w:sz w:val="16"/>
              </w:rPr>
            </w:r>
            <w:r>
              <w:rPr>
                <w:rFonts w:ascii="Times New Roman" w:hAnsi="Times New Roman"/>
                <w:b w:val="0"/>
                <w:sz w:val="16"/>
              </w:rPr>
              <w:t>0.15 M salt, 298.15 K</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-pbe-salt=0.15, -pbe-temp=298.15</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Screening parameter</w:t>
            </w:r>
          </w:p>
        </w:tc>
        <w:tc>
          <w:tcPr>
            <w:tcW w:type="dxa" w:w="3096"/>
            <w:vAlign w:val="center"/>
          </w:tcPr>
          <w:p>
            <w:pPr>
              <w:spacing w:after="0" w:before="0"/>
            </w:pPr>
            <w:r>
              <w:rPr>
                <w:rFonts w:ascii="Times New Roman" w:hAnsi="Times New Roman"/>
                <w:sz w:val="16"/>
              </w:rPr>
            </w:r>
            <w:r>
              <w:rPr>
                <w:rFonts w:ascii="Times New Roman" w:hAnsi="Times New Roman"/>
                <w:b w:val="0"/>
                <w:sz w:val="16"/>
              </w:rPr>
              <w:t>kappa = 0.12746 A^-1 in TABI profile at 0.15 M</w:t>
            </w:r>
          </w:p>
        </w:tc>
        <w:tc>
          <w:tcPr>
            <w:tcW w:type="dxa" w:w="3384"/>
            <w:vAlign w:val="center"/>
          </w:tcPr>
          <w:p>
            <w:pPr>
              <w:spacing w:after="0" w:before="0"/>
            </w:pPr>
            <w:r>
              <w:rPr>
                <w:rFonts w:ascii="Times New Roman" w:hAnsi="Times New Roman"/>
                <w:sz w:val="16"/>
              </w:rPr>
            </w:r>
            <w:r>
              <w:rPr>
                <w:rFonts w:ascii="Times New Roman" w:hAnsi="Times New Roman"/>
                <w:b w:val="0"/>
                <w:sz w:val="16"/>
              </w:rPr>
              <w:t>Reported as kappa_inv_A in pbe_tabi_profile.csv</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Charge/radius model</w:t>
            </w:r>
          </w:p>
        </w:tc>
        <w:tc>
          <w:tcPr>
            <w:tcW w:type="dxa" w:w="3096"/>
            <w:vAlign w:val="center"/>
          </w:tcPr>
          <w:p>
            <w:pPr>
              <w:spacing w:after="0" w:before="0"/>
            </w:pPr>
            <w:r>
              <w:rPr>
                <w:rFonts w:ascii="Times New Roman" w:hAnsi="Times New Roman"/>
                <w:sz w:val="16"/>
              </w:rPr>
            </w:r>
            <w:r>
              <w:rPr>
                <w:rFonts w:ascii="Times New Roman" w:hAnsi="Times New Roman"/>
                <w:b w:val="0"/>
                <w:sz w:val="16"/>
              </w:rPr>
              <w:t>AMBER/PDB2PQR charges and radii; TITAN force-field tag AMBER99SB</w:t>
            </w:r>
          </w:p>
        </w:tc>
        <w:tc>
          <w:tcPr>
            <w:tcW w:type="dxa" w:w="3384"/>
            <w:vAlign w:val="center"/>
          </w:tcPr>
          <w:p>
            <w:pPr>
              <w:spacing w:after="0" w:before="0"/>
            </w:pPr>
            <w:r>
              <w:rPr>
                <w:rFonts w:ascii="Times New Roman" w:hAnsi="Times New Roman"/>
                <w:sz w:val="16"/>
              </w:rPr>
            </w:r>
            <w:r>
              <w:rPr>
                <w:rFonts w:ascii="Times New Roman" w:hAnsi="Times New Roman"/>
                <w:b w:val="0"/>
                <w:sz w:val="16"/>
              </w:rPr>
              <w:t>PQR provenance plus -ff=AMBER99SB runtime option</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PDB2PQR preparation</w:t>
            </w:r>
          </w:p>
        </w:tc>
        <w:tc>
          <w:tcPr>
            <w:tcW w:type="dxa" w:w="3096"/>
            <w:vAlign w:val="center"/>
          </w:tcPr>
          <w:p>
            <w:pPr>
              <w:spacing w:after="0" w:before="0"/>
            </w:pPr>
            <w:r>
              <w:rPr>
                <w:rFonts w:ascii="Times New Roman" w:hAnsi="Times New Roman"/>
                <w:sz w:val="16"/>
              </w:rPr>
            </w:r>
            <w:r>
              <w:rPr>
                <w:rFonts w:ascii="Times New Roman" w:hAnsi="Times New Roman"/>
                <w:b w:val="0"/>
                <w:sz w:val="16"/>
              </w:rPr>
              <w:t>PDB2PQR 3.7.1, AMBER, pH 7.0, chain retained, PROPKA titration-state method</w:t>
            </w:r>
          </w:p>
        </w:tc>
        <w:tc>
          <w:tcPr>
            <w:tcW w:type="dxa" w:w="3384"/>
            <w:vAlign w:val="center"/>
          </w:tcPr>
          <w:p>
            <w:pPr>
              <w:spacing w:after="0" w:before="0"/>
            </w:pPr>
            <w:r>
              <w:rPr>
                <w:rFonts w:ascii="Times New Roman" w:hAnsi="Times New Roman"/>
                <w:sz w:val="16"/>
              </w:rPr>
            </w:r>
            <w:r>
              <w:rPr>
                <w:rFonts w:ascii="Times New Roman" w:hAnsi="Times New Roman"/>
                <w:b w:val="0"/>
                <w:sz w:val="16"/>
              </w:rPr>
              <w:t>Fixture manifests record command and SHA256 checksums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Radius floor</w:t>
            </w:r>
          </w:p>
        </w:tc>
        <w:tc>
          <w:tcPr>
            <w:tcW w:type="dxa" w:w="3096"/>
            <w:vAlign w:val="center"/>
          </w:tcPr>
          <w:p>
            <w:pPr>
              <w:spacing w:after="0" w:before="0"/>
            </w:pPr>
            <w:r>
              <w:rPr>
                <w:rFonts w:ascii="Times New Roman" w:hAnsi="Times New Roman"/>
                <w:sz w:val="16"/>
              </w:rPr>
            </w:r>
            <w:r>
              <w:rPr>
                <w:rFonts w:ascii="Times New Roman" w:hAnsi="Times New Roman"/>
                <w:b w:val="0"/>
                <w:sz w:val="16"/>
              </w:rPr>
              <w:t>0.6000 A post-processing floor for zero-radius PDB2PQR atoms</w:t>
            </w:r>
          </w:p>
        </w:tc>
        <w:tc>
          <w:tcPr>
            <w:tcW w:type="dxa" w:w="3384"/>
            <w:vAlign w:val="center"/>
          </w:tcPr>
          <w:p>
            <w:pPr>
              <w:spacing w:after="0" w:before="0"/>
            </w:pPr>
            <w:r>
              <w:rPr>
                <w:rFonts w:ascii="Times New Roman" w:hAnsi="Times New Roman"/>
                <w:sz w:val="16"/>
              </w:rPr>
            </w:r>
            <w:r>
              <w:rPr>
                <w:rFonts w:ascii="Times New Roman" w:hAnsi="Times New Roman"/>
                <w:b w:val="0"/>
                <w:sz w:val="16"/>
              </w:rPr>
              <w:t>Recorded as postprocess-radius-floor=0.6000A</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Boundary surface</w:t>
            </w:r>
          </w:p>
        </w:tc>
        <w:tc>
          <w:tcPr>
            <w:tcW w:type="dxa" w:w="3096"/>
            <w:vAlign w:val="center"/>
          </w:tcPr>
          <w:p>
            <w:pPr>
              <w:spacing w:after="0" w:before="0"/>
            </w:pPr>
            <w:r>
              <w:rPr>
                <w:rFonts w:ascii="Times New Roman" w:hAnsi="Times New Roman"/>
                <w:sz w:val="16"/>
              </w:rPr>
            </w:r>
            <w:r>
              <w:rPr>
                <w:rFonts w:ascii="Times New Roman" w:hAnsi="Times New Roman"/>
                <w:b w:val="0"/>
                <w:sz w:val="16"/>
              </w:rPr>
              <w:t>van der Waals molecular surface</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-pbe-surface=vdw</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Panel generation</w:t>
            </w:r>
          </w:p>
        </w:tc>
        <w:tc>
          <w:tcPr>
            <w:tcW w:type="dxa" w:w="3096"/>
            <w:vAlign w:val="center"/>
          </w:tcPr>
          <w:p>
            <w:pPr>
              <w:spacing w:after="0" w:before="0"/>
            </w:pPr>
            <w:r>
              <w:rPr>
                <w:rFonts w:ascii="Times New Roman" w:hAnsi="Times New Roman"/>
                <w:sz w:val="16"/>
              </w:rPr>
            </w:r>
            <w:r>
              <w:rPr>
                <w:rFonts w:ascii="Times New Roman" w:hAnsi="Times New Roman"/>
                <w:b w:val="0"/>
                <w:sz w:val="16"/>
              </w:rPr>
              <w:t>TABI sphere-patch triangular surface, surface-points request = 8</w:t>
            </w:r>
          </w:p>
        </w:tc>
        <w:tc>
          <w:tcPr>
            <w:tcW w:type="dxa" w:w="3384"/>
            <w:vAlign w:val="center"/>
          </w:tcPr>
          <w:p>
            <w:pPr>
              <w:spacing w:after="0" w:before="0"/>
            </w:pPr>
            <w:r>
              <w:rPr>
                <w:rFonts w:ascii="Times New Roman" w:hAnsi="Times New Roman"/>
                <w:sz w:val="16"/>
              </w:rPr>
            </w:r>
            <w:r>
              <w:rPr>
                <w:rFonts w:ascii="Times New Roman" w:hAnsi="Times New Roman"/>
                <w:b w:val="0"/>
                <w:sz w:val="16"/>
              </w:rPr>
              <w:t>Actual panel counts reported per protein in the system table</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Collocation/discretization</w:t>
            </w:r>
          </w:p>
        </w:tc>
        <w:tc>
          <w:tcPr>
            <w:tcW w:type="dxa" w:w="3096"/>
            <w:vAlign w:val="center"/>
          </w:tcPr>
          <w:p>
            <w:pPr>
              <w:spacing w:after="0" w:before="0"/>
            </w:pPr>
            <w:r>
              <w:rPr>
                <w:rFonts w:ascii="Times New Roman" w:hAnsi="Times New Roman"/>
                <w:sz w:val="16"/>
              </w:rPr>
            </w:r>
            <w:r>
              <w:rPr>
                <w:rFonts w:ascii="Times New Roman" w:hAnsi="Times New Roman"/>
                <w:b w:val="0"/>
                <w:sz w:val="16"/>
              </w:rPr>
              <w:t>centroid panel collocation with analytic-singular near integration</w:t>
            </w:r>
          </w:p>
        </w:tc>
        <w:tc>
          <w:tcPr>
            <w:tcW w:type="dxa" w:w="3384"/>
            <w:vAlign w:val="center"/>
          </w:tcPr>
          <w:p>
            <w:pPr>
              <w:spacing w:after="0" w:before="0"/>
            </w:pPr>
            <w:r>
              <w:rPr>
                <w:rFonts w:ascii="Times New Roman" w:hAnsi="Times New Roman"/>
                <w:sz w:val="16"/>
              </w:rPr>
            </w:r>
            <w:r>
              <w:rPr>
                <w:rFonts w:ascii="Times New Roman" w:hAnsi="Times New Roman"/>
                <w:b w:val="0"/>
                <w:sz w:val="16"/>
              </w:rPr>
              <w:t>profile: discretization=centroid, near_integration=analytic_singular</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Operator</w:t>
            </w:r>
          </w:p>
        </w:tc>
        <w:tc>
          <w:tcPr>
            <w:tcW w:type="dxa" w:w="3096"/>
            <w:vAlign w:val="center"/>
          </w:tcPr>
          <w:p>
            <w:pPr>
              <w:spacing w:after="0" w:before="0"/>
            </w:pPr>
            <w:r>
              <w:rPr>
                <w:rFonts w:ascii="Times New Roman" w:hAnsi="Times New Roman"/>
                <w:sz w:val="16"/>
              </w:rPr>
            </w:r>
            <w:r>
              <w:rPr>
                <w:rFonts w:ascii="Times New Roman" w:hAnsi="Times New Roman"/>
                <w:b w:val="0"/>
                <w:sz w:val="16"/>
              </w:rPr>
              <w:t>JCP2013 coupled two-row TABI boundary-integral system</w:t>
            </w:r>
          </w:p>
        </w:tc>
        <w:tc>
          <w:tcPr>
            <w:tcW w:type="dxa" w:w="3384"/>
            <w:vAlign w:val="center"/>
          </w:tcPr>
          <w:p>
            <w:pPr>
              <w:spacing w:after="0" w:before="0"/>
            </w:pPr>
            <w:r>
              <w:rPr>
                <w:rFonts w:ascii="Times New Roman" w:hAnsi="Times New Roman"/>
                <w:sz w:val="16"/>
              </w:rPr>
            </w:r>
            <w:r>
              <w:rPr>
                <w:rFonts w:ascii="Times New Roman" w:hAnsi="Times New Roman"/>
                <w:b w:val="0"/>
                <w:sz w:val="16"/>
              </w:rPr>
              <w:t>profile: bie_system=linear_pb_2x2</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Direct TABI reference meaning</w:t>
            </w:r>
          </w:p>
        </w:tc>
        <w:tc>
          <w:tcPr>
            <w:tcW w:type="dxa" w:w="3096"/>
            <w:vAlign w:val="center"/>
          </w:tcPr>
          <w:p>
            <w:pPr>
              <w:spacing w:after="0" w:before="0"/>
            </w:pPr>
            <w:r>
              <w:rPr>
                <w:rFonts w:ascii="Times New Roman" w:hAnsi="Times New Roman"/>
                <w:sz w:val="16"/>
              </w:rPr>
            </w:r>
            <w:r>
              <w:rPr>
                <w:rFonts w:ascii="Times New Roman" w:hAnsi="Times New Roman"/>
                <w:b w:val="0"/>
                <w:sz w:val="16"/>
              </w:rPr>
              <w:t>direct summation of the dense panel-panel boundary-integral operator</w:t>
            </w:r>
          </w:p>
        </w:tc>
        <w:tc>
          <w:tcPr>
            <w:tcW w:type="dxa" w:w="3384"/>
            <w:vAlign w:val="center"/>
          </w:tcPr>
          <w:p>
            <w:pPr>
              <w:spacing w:after="0" w:before="0"/>
            </w:pPr>
            <w:r>
              <w:rPr>
                <w:rFonts w:ascii="Times New Roman" w:hAnsi="Times New Roman"/>
                <w:sz w:val="16"/>
              </w:rPr>
            </w:r>
            <w:r>
              <w:rPr>
                <w:rFonts w:ascii="Times New Roman" w:hAnsi="Times New Roman"/>
                <w:b w:val="0"/>
                <w:sz w:val="16"/>
              </w:rPr>
              <w:t>No grid or FMM acceleration in direct TABI rows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GMRES controls</w:t>
            </w:r>
          </w:p>
        </w:tc>
        <w:tc>
          <w:tcPr>
            <w:tcW w:type="dxa" w:w="3096"/>
            <w:vAlign w:val="center"/>
          </w:tcPr>
          <w:p>
            <w:pPr>
              <w:spacing w:after="0" w:before="0"/>
            </w:pPr>
            <w:r>
              <w:rPr>
                <w:rFonts w:ascii="Times New Roman" w:hAnsi="Times New Roman"/>
                <w:sz w:val="16"/>
              </w:rPr>
            </w:r>
            <w:r>
              <w:rPr>
                <w:rFonts w:ascii="Times New Roman" w:hAnsi="Times New Roman"/>
                <w:b w:val="0"/>
                <w:sz w:val="16"/>
              </w:rPr>
              <w:t>relative tolerance 1e-6, dphi 1e-6, restart 128, max iterations 720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-pbe-rms, -pbe-dphi, -pbe-tabi-gmres-restart, -pbe-max-iter</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Preconditioning</w:t>
            </w:r>
          </w:p>
        </w:tc>
        <w:tc>
          <w:tcPr>
            <w:tcW w:type="dxa" w:w="2232"/>
            <w:vAlign w:val="center"/>
          </w:tcPr>
          <w:p>
            <w:pPr>
              <w:spacing w:after="0" w:before="0"/>
            </w:pPr>
            <w:r>
              <w:rPr>
                <w:rFonts w:ascii="Times New Roman" w:hAnsi="Times New Roman"/>
                <w:sz w:val="16"/>
              </w:rPr>
            </w:r>
            <w:r>
              <w:rPr>
                <w:rFonts w:ascii="Times New Roman" w:hAnsi="Times New Roman"/>
                <w:b w:val="0"/>
                <w:sz w:val="16"/>
              </w:rPr>
              <w:t>Guarded p4 preconditioner</w:t>
            </w:r>
          </w:p>
        </w:tc>
        <w:tc>
          <w:tcPr>
            <w:tcW w:type="dxa" w:w="3096"/>
            <w:vAlign w:val="center"/>
          </w:tcPr>
          <w:p>
            <w:pPr>
              <w:spacing w:after="0" w:before="0"/>
            </w:pPr>
            <w:r>
              <w:rPr>
                <w:rFonts w:ascii="Times New Roman" w:hAnsi="Times New Roman"/>
                <w:sz w:val="16"/>
              </w:rPr>
            </w:r>
            <w:r>
              <w:rPr>
                <w:rFonts w:ascii="Times New Roman" w:hAnsi="Times New Roman"/>
                <w:b w:val="0"/>
                <w:sz w:val="16"/>
              </w:rPr>
              <w:t>sparse near-field ILU(0), neighbor cap 64, drop tolerance 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-pbe-tabi-precond=fmm-nearfield-ilu0</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Verification</w:t>
            </w:r>
          </w:p>
        </w:tc>
        <w:tc>
          <w:tcPr>
            <w:tcW w:type="dxa" w:w="2232"/>
            <w:vAlign w:val="center"/>
          </w:tcPr>
          <w:p>
            <w:pPr>
              <w:spacing w:after="0" w:before="0"/>
            </w:pPr>
            <w:r>
              <w:rPr>
                <w:rFonts w:ascii="Times New Roman" w:hAnsi="Times New Roman"/>
                <w:sz w:val="16"/>
              </w:rPr>
            </w:r>
            <w:r>
              <w:rPr>
                <w:rFonts w:ascii="Times New Roman" w:hAnsi="Times New Roman"/>
                <w:b w:val="0"/>
                <w:sz w:val="16"/>
              </w:rPr>
              <w:t>Direct-operator audit</w:t>
            </w:r>
          </w:p>
        </w:tc>
        <w:tc>
          <w:tcPr>
            <w:tcW w:type="dxa" w:w="3096"/>
            <w:vAlign w:val="center"/>
          </w:tcPr>
          <w:p>
            <w:pPr>
              <w:spacing w:after="0" w:before="0"/>
            </w:pPr>
            <w:r>
              <w:rPr>
                <w:rFonts w:ascii="Times New Roman" w:hAnsi="Times New Roman"/>
                <w:sz w:val="16"/>
              </w:rPr>
            </w:r>
            <w:r>
              <w:rPr>
                <w:rFonts w:ascii="Times New Roman" w:hAnsi="Times New Roman"/>
                <w:b w:val="0"/>
                <w:sz w:val="16"/>
              </w:rPr>
              <w:t>512 sampled targets; audit RMS and sampled direct true residual gate &lt;= 8e-3</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-pbe-tabi-matvec-audit=sampled-detail</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Guarded p4</w:t>
            </w:r>
          </w:p>
        </w:tc>
        <w:tc>
          <w:tcPr>
            <w:tcW w:type="dxa" w:w="2232"/>
            <w:vAlign w:val="center"/>
          </w:tcPr>
          <w:p>
            <w:pPr>
              <w:spacing w:after="0" w:before="0"/>
            </w:pPr>
            <w:r>
              <w:rPr>
                <w:rFonts w:ascii="Times New Roman" w:hAnsi="Times New Roman"/>
                <w:sz w:val="16"/>
              </w:rPr>
            </w:r>
            <w:r>
              <w:rPr>
                <w:rFonts w:ascii="Times New Roman" w:hAnsi="Times New Roman"/>
                <w:b w:val="0"/>
                <w:sz w:val="16"/>
              </w:rPr>
              <w:t>Far-field policy</w:t>
            </w:r>
          </w:p>
        </w:tc>
        <w:tc>
          <w:tcPr>
            <w:tcW w:type="dxa" w:w="3096"/>
            <w:vAlign w:val="center"/>
          </w:tcPr>
          <w:p>
            <w:pPr>
              <w:spacing w:after="0" w:before="0"/>
            </w:pPr>
            <w:r>
              <w:rPr>
                <w:rFonts w:ascii="Times New Roman" w:hAnsi="Times New Roman"/>
                <w:sz w:val="16"/>
              </w:rPr>
            </w:r>
            <w:r>
              <w:rPr>
                <w:rFonts w:ascii="Times New Roman" w:hAnsi="Times New Roman"/>
                <w:b w:val="0"/>
                <w:sz w:val="16"/>
              </w:rPr>
              <w:t>Taylor order 4, theta 0.6, static tail tolerance 0.002, strict geometry guard theta 0.5</w:t>
            </w:r>
          </w:p>
        </w:tc>
        <w:tc>
          <w:tcPr>
            <w:tcW w:type="dxa" w:w="3384"/>
            <w:vAlign w:val="center"/>
          </w:tcPr>
          <w:p>
            <w:r>
              <w:rPr>
                <w:rFonts w:ascii="Times New Roman" w:hAnsi="Times New Roman"/>
                <w:sz w:val="16"/>
              </w:rPr>
              <w:t>Locked guarded p4 policy manifest</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pPr>
            <w:r>
              <w:rPr>
                <w:rFonts w:ascii="Times New Roman" w:hAnsi="Times New Roman"/>
                <w:sz w:val="16"/>
              </w:rPr>
            </w:r>
            <w:r>
              <w:rPr>
                <w:rFonts w:ascii="Times New Roman" w:hAnsi="Times New Roman"/>
                <w:b w:val="0"/>
                <w:sz w:val="16"/>
              </w:rPr>
              <w:t>Build and precision</w:t>
            </w:r>
          </w:p>
        </w:tc>
        <w:tc>
          <w:tcPr>
            <w:tcW w:type="dxa" w:w="3096"/>
            <w:vAlign w:val="center"/>
          </w:tcPr>
          <w:p>
            <w:pPr>
              <w:spacing w:after="0" w:before="0"/>
            </w:pPr>
            <w:r>
              <w:rPr>
                <w:rFonts w:ascii="Times New Roman" w:hAnsi="Times New Roman"/>
                <w:sz w:val="16"/>
              </w:rPr>
            </w:r>
            <w:r>
              <w:rPr>
                <w:rFonts w:ascii="Times New Roman" w:hAnsi="Times New Roman"/>
                <w:b w:val="0"/>
                <w:sz w:val="16"/>
              </w:rPr>
              <w:t>native MinGW build, AVX2 CPU path, double precision</w:t>
            </w:r>
          </w:p>
        </w:tc>
        <w:tc>
          <w:tcPr>
            <w:tcW w:type="dxa" w:w="3384"/>
            <w:vAlign w:val="center"/>
          </w:tcPr>
          <w:p>
            <w:pPr>
              <w:spacing w:after="0" w:before="0"/>
            </w:pPr>
            <w:r>
              <w:rPr>
                <w:rFonts w:ascii="Times New Roman" w:hAnsi="Times New Roman"/>
                <w:sz w:val="16"/>
              </w:rPr>
            </w:r>
            <w:r>
              <w:rPr>
                <w:rFonts w:ascii="Times New Roman" w:hAnsi="Times New Roman"/>
                <w:b w:val="0"/>
                <w:sz w:val="16"/>
              </w:rPr>
              <w:t>Build command used in gates: mingw32-make PROFILE=native TARGET=titan.exe</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pPr>
            <w:r>
              <w:rPr>
                <w:rFonts w:ascii="Times New Roman" w:hAnsi="Times New Roman"/>
                <w:sz w:val="16"/>
              </w:rPr>
            </w:r>
            <w:r>
              <w:rPr>
                <w:rFonts w:ascii="Times New Roman" w:hAnsi="Times New Roman"/>
                <w:b w:val="0"/>
                <w:sz w:val="16"/>
              </w:rPr>
              <w:t>Threads</w:t>
            </w:r>
          </w:p>
        </w:tc>
        <w:tc>
          <w:tcPr>
            <w:tcW w:type="dxa" w:w="3096"/>
            <w:vAlign w:val="center"/>
          </w:tcPr>
          <w:p>
            <w:pPr>
              <w:spacing w:after="0" w:before="0"/>
            </w:pPr>
            <w:r>
              <w:rPr>
                <w:rFonts w:ascii="Times New Roman" w:hAnsi="Times New Roman"/>
                <w:sz w:val="16"/>
              </w:rPr>
            </w:r>
            <w:r>
              <w:rPr>
                <w:rFonts w:ascii="Times New Roman" w:hAnsi="Times New Roman"/>
                <w:b w:val="0"/>
                <w:sz w:val="16"/>
              </w:rPr>
              <w:t>4 TITAN worker threads</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-nt=4</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Hardware</w:t>
            </w:r>
          </w:p>
        </w:tc>
        <w:tc>
          <w:tcPr>
            <w:tcW w:type="dxa" w:w="3096"/>
            <w:vAlign w:val="center"/>
          </w:tcPr>
          <w:p>
            <w:pPr>
              <w:spacing w:after="0" w:before="0"/>
            </w:pPr>
            <w:r>
              <w:rPr>
                <w:rFonts w:ascii="Times New Roman" w:hAnsi="Times New Roman"/>
                <w:sz w:val="16"/>
              </w:rPr>
            </w:r>
            <w:r>
              <w:rPr>
                <w:rFonts w:ascii="Times New Roman" w:hAnsi="Times New Roman"/>
                <w:b w:val="0"/>
                <w:sz w:val="16"/>
              </w:rPr>
              <w:t>Intel Core Ultra 7 255H workstation, 30.9 GB RAM, Windows</w:t>
            </w:r>
          </w:p>
        </w:tc>
        <w:tc>
          <w:tcPr>
            <w:tcW w:type="dxa" w:w="3384"/>
            <w:vAlign w:val="center"/>
          </w:tcPr>
          <w:p>
            <w:pPr>
              <w:spacing w:after="0" w:before="0"/>
            </w:pPr>
            <w:r>
              <w:rPr>
                <w:rFonts w:ascii="Times New Roman" w:hAnsi="Times New Roman"/>
                <w:sz w:val="16"/>
              </w:rPr>
            </w:r>
            <w:r>
              <w:rPr>
                <w:rFonts w:ascii="Times New Roman" w:hAnsi="Times New Roman"/>
                <w:b w:val="0"/>
                <w:sz w:val="16"/>
              </w:rPr>
              <w:t>Reported benchmark environment</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Thread pinning and power mode</w:t>
            </w:r>
          </w:p>
        </w:tc>
        <w:tc>
          <w:tcPr>
            <w:tcW w:type="dxa" w:w="3096"/>
            <w:vAlign w:val="center"/>
          </w:tcPr>
          <w:p>
            <w:pPr>
              <w:spacing w:after="0" w:before="0"/>
            </w:pPr>
            <w:r>
              <w:rPr>
                <w:rFonts w:ascii="Times New Roman" w:hAnsi="Times New Roman"/>
                <w:sz w:val="16"/>
              </w:rPr>
            </w:r>
            <w:r>
              <w:rPr>
                <w:rFonts w:ascii="Times New Roman" w:hAnsi="Times New Roman"/>
                <w:b w:val="0"/>
                <w:sz w:val="16"/>
              </w:rPr>
              <w:t>OS scheduler default; no explicit thread pinning or power-mode lock recorded</w:t>
            </w:r>
          </w:p>
        </w:tc>
        <w:tc>
          <w:tcPr>
            <w:tcW w:type="dxa" w:w="3384"/>
            <w:vAlign w:val="center"/>
          </w:tcPr>
          <w:p>
            <w:pPr>
              <w:spacing w:after="0" w:before="0"/>
            </w:pPr>
            <w:r>
              <w:rPr>
                <w:rFonts w:ascii="Times New Roman" w:hAnsi="Times New Roman"/>
                <w:sz w:val="16"/>
              </w:rPr>
            </w:r>
            <w:r>
              <w:rPr>
                <w:rFonts w:ascii="Times New Roman" w:hAnsi="Times New Roman"/>
                <w:b w:val="0"/>
                <w:sz w:val="16"/>
              </w:rPr>
              <w:t>Limitation for external timing reproduction</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Timer and RSS</w:t>
            </w:r>
          </w:p>
        </w:tc>
        <w:tc>
          <w:tcPr>
            <w:tcW w:type="dxa" w:w="3096"/>
            <w:vAlign w:val="center"/>
          </w:tcPr>
          <w:p>
            <w:pPr>
              <w:spacing w:after="0" w:before="0"/>
            </w:pPr>
            <w:r>
              <w:rPr>
                <w:rFonts w:ascii="Times New Roman" w:hAnsi="Times New Roman"/>
                <w:sz w:val="16"/>
              </w:rPr>
            </w:r>
            <w:r>
              <w:rPr>
                <w:rFonts w:ascii="Times New Roman" w:hAnsi="Times New Roman"/>
                <w:b w:val="0"/>
                <w:sz w:val="16"/>
              </w:rPr>
              <w:t>wall-clock process time; peak RSS from process working-set telemetry</w:t>
            </w:r>
          </w:p>
        </w:tc>
        <w:tc>
          <w:tcPr>
            <w:tcW w:type="dxa" w:w="3384"/>
            <w:vAlign w:val="center"/>
          </w:tcPr>
          <w:p>
            <w:pPr>
              <w:spacing w:after="0" w:before="0"/>
            </w:pPr>
            <w:r>
              <w:rPr>
                <w:rFonts w:ascii="Times New Roman" w:hAnsi="Times New Roman"/>
                <w:sz w:val="16"/>
              </w:rPr>
            </w:r>
            <w:r>
              <w:rPr>
                <w:rFonts w:ascii="Times New Roman" w:hAnsi="Times New Roman"/>
                <w:b w:val="0"/>
                <w:sz w:val="16"/>
              </w:rPr>
              <w:t>PowerShell runner records wall_seconds and peak_working_set_mb</w:t>
            </w:r>
          </w:p>
        </w:tc>
      </w:tr>
    </w:tbl>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fixed"/>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before="0"/>
            </w:pPr>
            <w:r>
              <w:rPr>
                <w:rFonts w:ascii="Times New Roman" w:hAnsi="Times New Roman"/>
                <w:b/>
                <w:sz w:val="16"/>
              </w:rPr>
              <w:t>Aspect</w:t>
            </w:r>
          </w:p>
        </w:tc>
        <w:tc>
          <w:tcPr>
            <w:tcW w:w="2720" w:type="dxa"/>
            <w:shd w:val="clear" w:color="auto" w:fill="E7E6E6"/>
            <w:vAlign w:val="center"/>
          </w:tcPr>
          <w:p>
            <w:pPr>
              <w:spacing w:after="0" w:before="0"/>
            </w:pPr>
            <w:r>
              <w:rPr>
                <w:rFonts w:ascii="Times New Roman" w:hAnsi="Times New Roman"/>
                <w:b/>
                <w:sz w:val="16"/>
              </w:rPr>
              <w:t>TABI-PB 2.0</w:t>
            </w:r>
          </w:p>
        </w:tc>
        <w:tc>
          <w:tcPr>
            <w:tcW w:w="2720" w:type="dxa"/>
            <w:shd w:val="clear" w:color="auto" w:fill="E7E6E6"/>
            <w:vAlign w:val="center"/>
          </w:tcPr>
          <w:p>
            <w:pPr>
              <w:spacing w:after="0" w:before="0"/>
            </w:pPr>
            <w:r>
              <w:rPr>
                <w:rFonts w:ascii="Times New Roman" w:hAnsi="Times New Roman"/>
                <w:b/>
                <w:sz w:val="16"/>
              </w:rPr>
              <w:t>FAGBI / Cartesian Galerkin FMM</w:t>
            </w:r>
          </w:p>
        </w:tc>
        <w:tc>
          <w:tcPr>
            <w:tcW w:w="2720" w:type="dxa"/>
            <w:shd w:val="clear" w:color="auto" w:fill="E7E6E6"/>
            <w:vAlign w:val="center"/>
          </w:tcPr>
          <w:p>
            <w:pPr>
              <w:spacing w:after="0" w:before="0"/>
            </w:pPr>
            <w:r>
              <w:rPr>
                <w:rFonts w:ascii="Times New Roman" w:hAnsi="Times New Roman"/>
                <w:b/>
                <w:sz w:val="16"/>
              </w:rPr>
              <w:t>TITAN guarded p4 path</w:t>
            </w:r>
          </w:p>
        </w:tc>
      </w:tr>
      <w:tr w:rsidR="000B62E7" w14:paraId="19C02A8C" w14:textId="77777777">
        <w:trPr>
          <w:cantSplit/>
          <w:jc w:val="center"/>
        </w:trPr>
        <w:tc>
          <w:tcPr>
            <w:tcW w:w="1200" w:type="dxa"/>
            <w:vAlign w:val="center"/>
          </w:tcPr>
          <w:p>
            <w:pPr>
              <w:spacing w:after="0" w:before="0"/>
            </w:pPr>
            <w:r>
              <w:rPr>
                <w:rFonts w:ascii="Times New Roman" w:hAnsi="Times New Roman"/>
                <w:b w:val="0"/>
                <w:sz w:val="16"/>
              </w:rPr>
              <w:t>Discretization</w:t>
            </w:r>
          </w:p>
        </w:tc>
        <w:tc>
          <w:tcPr>
            <w:tcW w:w="2720" w:type="dxa"/>
            <w:vAlign w:val="center"/>
          </w:tcPr>
          <w:p>
            <w:pPr>
              <w:spacing w:after="0" w:before="0"/>
            </w:pPr>
            <w:r>
              <w:rPr>
                <w:rFonts w:ascii="Times New Roman" w:hAnsi="Times New Roman"/>
                <w:b w:val="0"/>
                <w:sz w:val="16"/>
              </w:rPr>
              <w:t>Node-patch BIE on NanoShaper surfaces; surface-vertex/patch unknowns.</w:t>
            </w:r>
          </w:p>
        </w:tc>
        <w:tc>
          <w:tcPr>
            <w:tcW w:w="2720" w:type="dxa"/>
            <w:vAlign w:val="center"/>
          </w:tcPr>
          <w:p>
            <w:pPr>
              <w:spacing w:after="0" w:before="0"/>
            </w:pPr>
            <w:r>
              <w:rPr>
                <w:rFonts w:ascii="Times New Roman" w:hAnsi="Times New Roman"/>
                <w:b w:val="0"/>
                <w:sz w:val="16"/>
              </w:rPr>
              <w:t>Galerkin BIE PB with analytical integration and Cartesian FMM acceleration.</w:t>
            </w:r>
          </w:p>
        </w:tc>
        <w:tc>
          <w:tcPr>
            <w:tcW w:w="2720" w:type="dxa"/>
            <w:vAlign w:val="center"/>
          </w:tcPr>
          <w:p>
            <w:pPr>
              <w:spacing w:after="0" w:before="0"/>
            </w:pPr>
            <w:r>
              <w:rPr>
                <w:rFonts w:ascii="Times New Roman" w:hAnsi="Times New Roman"/>
                <w:b w:val="0"/>
                <w:sz w:val="16"/>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before="0"/>
            </w:pPr>
            <w:r>
              <w:rPr>
                <w:rFonts w:ascii="Times New Roman" w:hAnsi="Times New Roman"/>
                <w:b w:val="0"/>
                <w:sz w:val="16"/>
              </w:rPr>
              <w:t>Fast operator</w:t>
            </w:r>
          </w:p>
        </w:tc>
        <w:tc>
          <w:tcPr>
            <w:tcW w:w="2720" w:type="dxa"/>
            <w:vAlign w:val="center"/>
          </w:tcPr>
          <w:p>
            <w:pPr>
              <w:spacing w:after="0" w:before="0"/>
            </w:pPr>
            <w:r>
              <w:rPr>
                <w:rFonts w:ascii="Times New Roman" w:hAnsi="Times New Roman"/>
                <w:b w:val="0"/>
                <w:sz w:val="16"/>
              </w:rPr>
              <w:t>Barycentric Lagrange dual-tree traversal; GPU-oriented PP/PC/CP/CC kernels.</w:t>
            </w:r>
          </w:p>
        </w:tc>
        <w:tc>
          <w:tcPr>
            <w:tcW w:w="2720" w:type="dxa"/>
            <w:vAlign w:val="center"/>
          </w:tcPr>
          <w:p>
            <w:pPr>
              <w:spacing w:after="0" w:before="0"/>
            </w:pPr>
            <w:r>
              <w:rPr>
                <w:rFonts w:ascii="Times New Roman" w:hAnsi="Times New Roman"/>
                <w:b w:val="0"/>
                <w:sz w:val="16"/>
              </w:rPr>
              <w:t>Cartesian FMM-accelerated Galerkin operator with adaptive order and Duffy treatment.</w:t>
            </w:r>
          </w:p>
        </w:tc>
        <w:tc>
          <w:tcPr>
            <w:tcW w:w="2720" w:type="dxa"/>
            <w:vAlign w:val="center"/>
          </w:tcPr>
          <w:p>
            <w:pPr>
              <w:spacing w:after="0" w:before="0"/>
            </w:pPr>
            <w:r>
              <w:rPr>
                <w:rFonts w:ascii="Times New Roman" w:hAnsi="Times New Roman"/>
                <w:b w:val="0"/>
                <w:sz w:val="16"/>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before="0"/>
            </w:pPr>
            <w:r>
              <w:rPr>
                <w:rFonts w:ascii="Times New Roman" w:hAnsi="Times New Roman"/>
                <w:b w:val="0"/>
                <w:sz w:val="16"/>
              </w:rPr>
              <w:t>Acceptance policy</w:t>
            </w:r>
          </w:p>
        </w:tc>
        <w:tc>
          <w:tcPr>
            <w:tcW w:w="2720" w:type="dxa"/>
            <w:vAlign w:val="center"/>
          </w:tcPr>
          <w:p>
            <w:pPr>
              <w:spacing w:after="0" w:before="0"/>
            </w:pPr>
            <w:r>
              <w:rPr>
                <w:rFonts w:ascii="Times New Roman" w:hAnsi="Times New Roman"/>
                <w:b w:val="0"/>
                <w:sz w:val="16"/>
              </w:rPr>
              <w:t>MAC-controlled dual-tree traversal with interpolation degree and cluster lists tuned for accuracy.</w:t>
            </w:r>
          </w:p>
        </w:tc>
        <w:tc>
          <w:tcPr>
            <w:tcW w:w="2720" w:type="dxa"/>
            <w:vAlign w:val="center"/>
          </w:tcPr>
          <w:p>
            <w:pPr>
              <w:spacing w:after="0" w:before="0"/>
            </w:pPr>
            <w:r>
              <w:rPr>
                <w:rFonts w:ascii="Times New Roman" w:hAnsi="Times New Roman"/>
                <w:b w:val="0"/>
                <w:sz w:val="16"/>
              </w:rPr>
              <w:t>FMM acceptance and analytical integration policy designed for Galerkin accuracy targets.</w:t>
            </w:r>
          </w:p>
        </w:tc>
        <w:tc>
          <w:tcPr>
            <w:tcW w:w="2720" w:type="dxa"/>
            <w:vAlign w:val="center"/>
          </w:tcPr>
          <w:p>
            <w:pPr>
              <w:spacing w:after="0" w:before="0"/>
            </w:pPr>
            <w:r>
              <w:rPr>
                <w:rFonts w:ascii="Times New Roman" w:hAnsi="Times New Roman"/>
                <w:b w:val="0"/>
                <w:sz w:val="16"/>
              </w:rPr>
              <w:t>Opening theta plus p3/p4 tail refinement, geometric guard, and direct fallback.</w:t>
            </w:r>
          </w:p>
        </w:tc>
      </w:tr>
      <w:tr w:rsidR="000B62E7" w14:paraId="510F348A" w14:textId="77777777">
        <w:trPr>
          <w:cantSplit/>
          <w:jc w:val="center"/>
        </w:trPr>
        <w:tc>
          <w:tcPr>
            <w:tcW w:w="1200" w:type="dxa"/>
            <w:vAlign w:val="center"/>
          </w:tcPr>
          <w:p>
            <w:pPr>
              <w:spacing w:after="0" w:before="0"/>
            </w:pPr>
            <w:r>
              <w:rPr>
                <w:rFonts w:ascii="Times New Roman" w:hAnsi="Times New Roman"/>
                <w:b w:val="0"/>
                <w:sz w:val="16"/>
              </w:rPr>
              <w:t>Preconditioning</w:t>
            </w:r>
          </w:p>
        </w:tc>
        <w:tc>
          <w:tcPr>
            <w:tcW w:w="2720" w:type="dxa"/>
            <w:vAlign w:val="center"/>
          </w:tcPr>
          <w:p>
            <w:pPr>
              <w:spacing w:after="0" w:before="0"/>
            </w:pPr>
            <w:r>
              <w:rPr>
                <w:rFonts w:ascii="Times New Roman" w:hAnsi="Times New Roman"/>
                <w:b w:val="0"/>
                <w:sz w:val="16"/>
              </w:rPr>
              <w:t>Block preconditioning in a GPU-oriented TABI-PB 2.0 pipeline.</w:t>
            </w:r>
          </w:p>
        </w:tc>
        <w:tc>
          <w:tcPr>
            <w:tcW w:w="2720" w:type="dxa"/>
            <w:vAlign w:val="center"/>
          </w:tcPr>
          <w:p>
            <w:pPr>
              <w:spacing w:after="0" w:before="0"/>
            </w:pPr>
            <w:r>
              <w:rPr>
                <w:rFonts w:ascii="Times New Roman" w:hAnsi="Times New Roman"/>
                <w:b w:val="0"/>
                <w:sz w:val="16"/>
              </w:rPr>
              <w:t>Block-diagonal preconditioning in the Galerkin/FMM solver.</w:t>
            </w:r>
          </w:p>
        </w:tc>
        <w:tc>
          <w:tcPr>
            <w:tcW w:w="2720" w:type="dxa"/>
            <w:vAlign w:val="center"/>
          </w:tcPr>
          <w:p>
            <w:pPr>
              <w:spacing w:after="0" w:before="0"/>
            </w:pPr>
            <w:r>
              <w:rPr>
                <w:rFonts w:ascii="Times New Roman" w:hAnsi="Times New Roman"/>
                <w:b w:val="0"/>
                <w:sz w:val="16"/>
              </w:rPr>
              <w:t>Near-field graph ILU(0) with exact 2 x 2 local blocks; no fill beyond graph.</w:t>
            </w:r>
          </w:p>
        </w:tc>
      </w:tr>
      <w:tr w:rsidR="000B62E7" w14:paraId="065C6827" w14:textId="77777777">
        <w:trPr>
          <w:cantSplit/>
          <w:jc w:val="center"/>
        </w:trPr>
        <w:tc>
          <w:tcPr>
            <w:tcW w:w="1200" w:type="dxa"/>
            <w:vAlign w:val="center"/>
          </w:tcPr>
          <w:p>
            <w:pPr>
              <w:spacing w:after="0" w:before="0"/>
            </w:pPr>
            <w:r>
              <w:rPr>
                <w:rFonts w:ascii="Times New Roman" w:hAnsi="Times New Roman"/>
                <w:b w:val="0"/>
                <w:sz w:val="16"/>
              </w:rPr>
              <w:t>Verification emphasis</w:t>
            </w:r>
          </w:p>
        </w:tc>
        <w:tc>
          <w:tcPr>
            <w:tcW w:w="2720" w:type="dxa"/>
            <w:vAlign w:val="center"/>
          </w:tcPr>
          <w:p>
            <w:pPr>
              <w:spacing w:after="0" w:before="0"/>
            </w:pPr>
            <w:r>
              <w:rPr>
                <w:rFonts w:ascii="Times New Roman" w:hAnsi="Times New Roman"/>
                <w:b w:val="0"/>
                <w:sz w:val="16"/>
              </w:rPr>
              <w:t>Energy error and runtime against extrapolated surface-resolution references.</w:t>
            </w:r>
          </w:p>
        </w:tc>
        <w:tc>
          <w:tcPr>
            <w:tcW w:w="2720" w:type="dxa"/>
            <w:vAlign w:val="center"/>
          </w:tcPr>
          <w:p>
            <w:pPr>
              <w:spacing w:after="0" w:before="0"/>
            </w:pPr>
            <w:r>
              <w:rPr>
                <w:rFonts w:ascii="Times New Roman" w:hAnsi="Times New Roman"/>
                <w:b w:val="0"/>
                <w:sz w:val="16"/>
              </w:rPr>
              <w:t>Accuracy established under the reference tests of the published method.</w:t>
            </w:r>
          </w:p>
        </w:tc>
        <w:tc>
          <w:tcPr>
            <w:tcW w:w="2720" w:type="dxa"/>
            <w:vAlign w:val="center"/>
          </w:tcPr>
          <w:p>
            <w:pPr>
              <w:spacing w:after="0" w:before="0"/>
            </w:pPr>
            <w:r>
              <w:rPr>
                <w:rFonts w:ascii="Times New Roman" w:hAnsi="Times New Roman"/>
                <w:b w:val="0"/>
                <w:sz w:val="16"/>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before="0"/>
            </w:pPr>
            <w:r>
              <w:rPr>
                <w:rFonts w:ascii="Times New Roman" w:hAnsi="Times New Roman"/>
                <w:b w:val="0"/>
                <w:sz w:val="16"/>
              </w:rPr>
              <w:t>Hardware status</w:t>
            </w:r>
          </w:p>
        </w:tc>
        <w:tc>
          <w:tcPr>
            <w:tcW w:w="2720" w:type="dxa"/>
            <w:vAlign w:val="center"/>
          </w:tcPr>
          <w:p>
            <w:pPr>
              <w:spacing w:after="0" w:before="0"/>
            </w:pPr>
            <w:r>
              <w:rPr>
                <w:rFonts w:ascii="Times New Roman" w:hAnsi="Times New Roman"/>
                <w:b w:val="0"/>
                <w:sz w:val="16"/>
              </w:rPr>
              <w:t>Performance-critical BLDTT kernels implemented on GPU; V100 results reported for 1A63.</w:t>
            </w:r>
          </w:p>
        </w:tc>
        <w:tc>
          <w:tcPr>
            <w:tcW w:w="2720" w:type="dxa"/>
            <w:vAlign w:val="center"/>
          </w:tcPr>
          <w:p>
            <w:pPr>
              <w:spacing w:after="0" w:before="0"/>
            </w:pPr>
            <w:r>
              <w:rPr>
                <w:rFonts w:ascii="Times New Roman" w:hAnsi="Times New Roman"/>
                <w:b w:val="0"/>
                <w:sz w:val="16"/>
              </w:rPr>
              <w:t>Used here as the closest analytical FMM-BIE reference, not as a wall-time target.</w:t>
            </w:r>
          </w:p>
        </w:tc>
        <w:tc>
          <w:tcPr>
            <w:tcW w:w="2720" w:type="dxa"/>
            <w:vAlign w:val="center"/>
          </w:tcPr>
          <w:p>
            <w:pPr>
              <w:spacing w:after="0" w:before="0"/>
            </w:pPr>
            <w:r>
              <w:rPr>
                <w:rFonts w:ascii="Times New Roman" w:hAnsi="Times New Roman"/>
                <w:b w:val="0"/>
                <w:sz w:val="16"/>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2"/>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r>
        <w:rPr>
          <w:rFonts w:ascii="Times New Roman" w:hAnsi="Times New Roman"/>
          <w:sz w:val="22"/>
        </w:rPr>
        <w:t xml:space="preserve"> Here, Direct TABI denotes direct summation of the dense JCP panel-panel boundary-integral operator, not a grid PB solve and not a treecode/FMM approximation.</w:t>
      </w:r>
    </w:p>
    <w:p w14:paraId="3C89AD51" w14:textId="77777777" w:rsidR="000B62E7" w:rsidRDefault="00A65B0F">
      <w:pPr>
        <w:jc w:val="both"/>
      </w:pPr>
      <w:r>
        <w:rPr>
          <w:rFonts w:ascii="Times New Roman" w:hAnsi="Times New Roman"/>
          <w:sz w:val="22"/>
        </w:rPr>
        <w:t>Degree-one FMM reduced the cost of individual matrix-vector evaluations but did not by itself produce robust solves. With a diagonal preconditioner, 0/6 systems passed the convergence criterion; the median iteration count was 680 and the median sampled operator audit was 1.207e-02. Replacing the diagonal preconditioner with a strictly local block preconditioner reduced median wall time to 700.8 s but still resulted in 0/6 passing cases and a median iteration count at the 720-iteration cap.</w:t>
      </w:r>
    </w:p>
    <w:p w14:paraId="08CADB10" w14:textId="77777777" w:rsidR="000B62E7" w:rsidRDefault="00A65B0F">
      <w:pPr>
        <w:jc w:val="both"/>
      </w:pPr>
      <w:r>
        <w:rPr>
          <w:rFonts w:ascii="Times New Roman" w:hAnsi="Times New Roman"/>
          <w:sz w:val="22"/>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pStyle w:val="Caption"/>
        <w:jc w:val="both"/>
      </w:pPr>
      <w:r>
        <w:t>Figure 4 shows the same separation for 1A63. In this figure, convergence denotes an internal GMRES true residual below 10^-6; manuscript-facing rows additionally require sampled direct-operator residuals below 8 x 10^-3.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pStyle w:val="Caption"/>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2"/>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2"/>
        </w:rPr>
        <w:t>TITAN reconstructs a sparse approximation to this local connectivity from the FMM near-field worklist. For each target panel i, the graph records the self-edge and a capped deterministic set of nearby source panels j. The stored edge values are the exact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2"/>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2"/>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2"/>
        </w:rPr>
        <w:t>The guarded p4 path addresses the operator-accuracy issue exposed by the degree-one FMM + sparse ILU(0) row. Across the six-protein panel, all guarded p4 + sparse ILU(0) configurations converged in 128 iterations. The largest sampled audit RMS in Table 4 was 2.534e-03 for 1A63, and the largest reported resident set size was 369.6 MB. These metrics show that the high-order guarded path retained the Krylov benefits of near-field ILU(0) while improving sampled agreement with dense direct evaluations.</w:t>
      </w:r>
    </w:p>
    <w:p w14:paraId="031CD399" w14:textId="77777777" w:rsidR="00651B0A" w:rsidRPr="00651B0A" w:rsidRDefault="00651B0A" w:rsidP="00651B0A">
      <w:pPr>
        <w:jc w:val="both"/>
      </w:pPr>
      <w:r>
        <w:rPr>
          <w:rFonts w:ascii="Times New Roman" w:hAnsi="Times New Roman"/>
          <w:sz w:val="22"/>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2"/>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2"/>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2"/>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2"/>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14:paraId="32CF56F2" w14:textId="77777777" w:rsidR="00E03D67" w:rsidRPr="00E03D67" w:rsidRDefault="00E03D67" w:rsidP="00E03D67">
      <w:pPr>
        <w:jc w:val="both"/>
      </w:pPr>
      <w:r>
        <w:rPr>
          <w:rFonts w:ascii="Times New Roman" w:hAnsi="Times New Roman"/>
          <w:sz w:val="22"/>
        </w:rPr>
        <w:t>Reproducibility is handled by deterministic setup and traversal order. The refinement plan, cache layout, fallback worklist, and panel sampling order are fixed before GMRES begins. Table 5 reports zero energy spread at the displayed precision for the locked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pPr>
        <w:jc w:val="both"/>
      </w:pPr>
      <w:r>
        <w:rPr>
          <w:rFonts w:ascii="Times New Roman" w:hAnsi="Times New Roman"/>
          <w:sz w:val="22"/>
        </w:rPr>
        <w:t>The present evidence has explicit limits. The benchmark is CPU/AVX2-only, uses six protein fixtures, and relies on sampled direct-operator audits for full-protein verification rather than full dense O(N^2) reaction-energy oracles. Section 3.5 and the Supplement add p-order, opening-angle, guard, tail-policy, and ILU neighbor-cap sensitivity checks, but they do not replace a full dense small-system oracle, surface-density scaling, or a larger public-protein validation set. The reported settings should therefore be read as reproducible protocol choices for the tested cases, not as universal parameter optima.</w:t>
      </w:r>
    </w:p>
    <w:p w14:paraId="32CF127F" w14:textId="55B119BA" w:rsidR="00AA7954" w:rsidRPr="00AA7954" w:rsidRDefault="00E03D67" w:rsidP="00AA7954">
      <w:pPr>
        <w:jc w:val="both"/>
      </w:pPr>
      <w:r>
        <w:rPr>
          <w:rFonts w:ascii="Times New Roman" w:hAnsi="Times New Roman"/>
          <w:sz w:val="22"/>
        </w:rPr>
        <w:t>Within these limits, the results support a focused methodological conclusion: for the tested molecular surfaces, near-field graph ILU(0) removed the observed Krylov stalls, while guarded Cartesian FMM/M2L restored sampled agreement with dense direct evaluations. The architecture provides a reproducible CPU baseline that can be extended to broader validation sets and accelerated backends.</w:t>
      </w:r>
    </w:p>
    <w:p>
      <w:pPr>
        <w:pStyle w:val="Heading2"/>
      </w:pPr>
      <w:r>
        <w:t>3.5. Ablation and Sensitivity</w:t>
      </w:r>
    </w:p>
    <w:p>
      <w:pPr>
        <w:spacing w:after="120"/>
      </w:pPr>
      <w:r>
        <w:t>The ablation evidence is intended to make the reported protocol interpretable rather than to search the full parameter space. It asks five practical questions: whether fast matrix-vector evaluation alone removes the bottleneck, whether near-field ILU(0) is inexpensive enough to justify its setup cost, whether the geometric guard is needed for sampled direct-operator agreement, how the Taylor order changes the balance between compression and fallback, and how the ILU neighbor cap affects cost and memory.</w:t>
      </w:r>
    </w:p>
    <w:p>
      <w:pPr>
        <w:spacing w:after="120"/>
      </w:pPr>
      <w:r>
        <w:rPr>
          <w:rFonts w:ascii="Times New Roman" w:hAnsi="Times New Roman"/>
          <w:sz w:val="22"/>
        </w:rPr>
        <w:t>The performance ladder in Table 3 provides the first separation. Direct dense TABI is runtime-limited at the tested panel counts. Degree-one FMM reduces the cost of each matrix-vector product, but weak diagonal or leaf-local preconditioners still produce Krylov stalls. Sparse near-field ILU(0) removes this stall, while the guarded high-order path restores sampled agreement with the dense direct operator. In the 1A63 guarded p4 profile, ILU(0) setup accounts for 5.15 s and preconditioner application accounts for 6.37 s over the solve, compared with 151.9 s for p4 matrix-vector application and 312.6 s total wall time. This cost split supports the use of the graph factorization in the tested CPU workflow, while leaving larger-panel scaling as a separate question.</w:t>
      </w:r>
    </w:p>
    <w:p>
      <w:pPr>
        <w:spacing w:after="120"/>
      </w:pPr>
      <w:r>
        <w:rPr>
          <w:rFonts w:ascii="Times New Roman" w:hAnsi="Times New Roman"/>
          <w:sz w:val="22"/>
        </w:rPr>
        <w:t>The guard ablation separates internal convergence from operator agreement. In the six-protein guard-on/guard-off runs, removing the strict geometric guard still allowed internal GMRES convergence, but it caused full 1A63 to fail direct-operator verification: the sampled audit RMS was 5.18e-2 and the sampled direct true residual was 5.20e-2. Restoring the strict geometric guard at theta = 0.5 reduced the corresponding 1A63 audit to 2.53e-3. This result supports retaining the geometric guard as part of the accuracy contract for the reported p4 path.</w:t>
      </w:r>
    </w:p>
    <w:p>
      <w:pPr>
        <w:spacing w:after="120"/>
      </w:pPr>
      <w:r>
        <w:rPr>
          <w:rFonts w:ascii="Times New Roman" w:hAnsi="Times New Roman"/>
          <w:sz w:val="22"/>
        </w:rPr>
        <w:t>Opening-angle sensitivity was evaluated over theta = 0.4, 0.5, 0.6, and 0.7. All four settings passed the sampled direct-operator gate on the six-protein panel, and the median wall time decreased modestly from 142.9 s at theta = 0.4 to 126.2 s at theta = 0.7. The manuscript retains theta = 0.6 because it was the locked validation setting used in the repeatability gates. This result is read narrowly: within the tested range, the strict guard dominated the sampled accuracy behavior; no global theta optimum is inferred.</w:t>
      </w:r>
    </w:p>
    <w:p>
      <w:pPr>
        <w:pStyle w:val="Caption"/>
        <w:spacing w:before="160" w:after="60"/>
      </w:pPr>
      <w:r>
        <w:rPr>
          <w:rFonts w:ascii="Times New Roman" w:hAnsi="Times New Roman"/>
          <w:sz w:val="20"/>
        </w:rPr>
        <w:t>Table 6. Compact ablation and sensitivity summary for the reported p4/cap-64 protocol.</w:t>
      </w:r>
    </w:p>
    <w:tbl>
      <w:tblPr>
        <w:tblStyle w:val="TableGrid"/>
        <w:tblW w:type="auto" w:w="0"/>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rPr>
          <w:tblHeader w:val="true"/>
          <w:cantSplit/>
        </w:trPr>
        <w:tc>
          <w:tcPr>
            <w:tcW w:type="dxa" w:w="2088"/>
            <w:vAlign w:val="top"/>
            <w:shd w:fill="E5E7EB"/>
          </w:tcPr>
          <w:p>
            <w:r>
              <w:rPr>
                <w:b/>
              </w:rPr>
              <w:t>Axis</w:t>
            </w:r>
          </w:p>
        </w:tc>
        <w:tc>
          <w:tcPr>
            <w:tcW w:type="dxa" w:w="2448"/>
            <w:vAlign w:val="top"/>
            <w:shd w:fill="E5E7EB"/>
          </w:tcPr>
          <w:p>
            <w:r>
              <w:rPr>
                <w:b/>
              </w:rPr>
              <w:t>Evidence</w:t>
            </w:r>
          </w:p>
        </w:tc>
        <w:tc>
          <w:tcPr>
            <w:tcW w:type="dxa" w:w="3456"/>
            <w:vAlign w:val="top"/>
            <w:shd w:fill="E5E7EB"/>
          </w:tcPr>
          <w:p>
            <w:r>
              <w:rPr>
                <w:b/>
              </w:rPr>
              <w:t>Main observation</w:t>
            </w:r>
          </w:p>
        </w:tc>
        <w:tc>
          <w:tcPr>
            <w:tcW w:type="dxa" w:w="2232"/>
            <w:vAlign w:val="top"/>
            <w:shd w:fill="E5E7EB"/>
          </w:tcPr>
          <w:p>
            <w:r>
              <w:rPr>
                <w:b/>
              </w:rPr>
              <w:t>Boundary</w:t>
            </w:r>
          </w:p>
        </w:tc>
      </w:tr>
      <w:tr>
        <w:trPr>
          <w:cantSplit/>
        </w:trPr>
        <w:tc>
          <w:tcPr>
            <w:tcW w:type="dxa" w:w="2088"/>
            <w:vAlign w:val="top"/>
          </w:tcPr>
          <w:p>
            <w:r>
              <w:t>Direct/FMM/ILU ladder</w:t>
            </w:r>
          </w:p>
        </w:tc>
        <w:tc>
          <w:tcPr>
            <w:tcW w:type="dxa" w:w="2448"/>
            <w:vAlign w:val="top"/>
          </w:tcPr>
          <w:p>
            <w:r>
              <w:t>Six-protein ladder in Table 3</w:t>
            </w:r>
          </w:p>
        </w:tc>
        <w:tc>
          <w:tcPr>
            <w:tcW w:type="dxa" w:w="3456"/>
            <w:vAlign w:val="top"/>
          </w:tcPr>
          <w:p>
            <w:r>
              <w:t>Low-order FMM reduces matvec cost but does not remove Krylov stalls with weak preconditioners; near-field ILU(0) stabilizes the tested solves.</w:t>
            </w:r>
          </w:p>
        </w:tc>
        <w:tc>
          <w:tcPr>
            <w:tcW w:type="dxa" w:w="2232"/>
            <w:vAlign w:val="top"/>
          </w:tcPr>
          <w:p>
            <w:r>
              <w:t>Not an exhaustive preconditioner comparison.</w:t>
            </w:r>
          </w:p>
        </w:tc>
      </w:tr>
      <w:tr>
        <w:trPr>
          <w:cantSplit/>
        </w:trPr>
        <w:tc>
          <w:tcPr>
            <w:tcW w:type="dxa" w:w="2088"/>
            <w:vAlign w:val="top"/>
          </w:tcPr>
          <w:p>
            <w:r>
              <w:t>ILU(0) cost split</w:t>
            </w:r>
          </w:p>
        </w:tc>
        <w:tc>
          <w:tcPr>
            <w:tcW w:type="dxa" w:w="2448"/>
            <w:vAlign w:val="top"/>
          </w:tcPr>
          <w:p>
            <w:r>
              <w:t>1A63 profile: 5.15 s setup, 6.37 s total application, 151.9 s p4 matvec, 312.6 s wall</w:t>
            </w:r>
          </w:p>
        </w:tc>
        <w:tc>
          <w:tcPr>
            <w:tcW w:type="dxa" w:w="3456"/>
            <w:vAlign w:val="top"/>
          </w:tcPr>
          <w:p>
            <w:r>
              <w:t>The ILU(0) overhead is small relative to the measured solve cost in this CPU workflow.</w:t>
            </w:r>
          </w:p>
        </w:tc>
        <w:tc>
          <w:tcPr>
            <w:tcW w:type="dxa" w:w="2232"/>
            <w:vAlign w:val="top"/>
          </w:tcPr>
          <w:p>
            <w:r>
              <w:t>Larger-panel setup and factor-memory scaling remain open.</w:t>
            </w:r>
          </w:p>
        </w:tc>
      </w:tr>
      <w:tr>
        <w:trPr>
          <w:cantSplit/>
        </w:trPr>
        <w:tc>
          <w:tcPr>
            <w:tcW w:type="dxa" w:w="2088"/>
            <w:vAlign w:val="top"/>
          </w:tcPr>
          <w:p>
            <w:r>
              <w:t>Geometry guard</w:t>
            </w:r>
          </w:p>
        </w:tc>
        <w:tc>
          <w:tcPr>
            <w:tcW w:type="dxa" w:w="2448"/>
            <w:vAlign w:val="top"/>
          </w:tcPr>
          <w:p>
            <w:r>
              <w:t>Six-protein guard-on/guard-off runs</w:t>
            </w:r>
          </w:p>
        </w:tc>
        <w:tc>
          <w:tcPr>
            <w:tcW w:type="dxa" w:w="3456"/>
            <w:vAlign w:val="top"/>
          </w:tcPr>
          <w:p>
            <w:r>
              <w:t>Guard-off keeps GMRES convergence but fails 1A63 sampled audit (5.18e-2); guard-on reduces the 1A63 audit to 2.53e-3.</w:t>
            </w:r>
          </w:p>
        </w:tc>
        <w:tc>
          <w:tcPr>
            <w:tcW w:type="dxa" w:w="2232"/>
            <w:vAlign w:val="top"/>
          </w:tcPr>
          <w:p>
            <w:r>
              <w:t>Evidence supports the guard for this panel, not all geometries.</w:t>
            </w:r>
          </w:p>
        </w:tc>
      </w:tr>
      <w:tr>
        <w:trPr>
          <w:cantSplit/>
        </w:trPr>
        <w:tc>
          <w:tcPr>
            <w:tcW w:type="dxa" w:w="2088"/>
            <w:vAlign w:val="top"/>
          </w:tcPr>
          <w:p>
            <w:r>
              <w:t>Opening theta</w:t>
            </w:r>
          </w:p>
        </w:tc>
        <w:tc>
          <w:tcPr>
            <w:tcW w:type="dxa" w:w="2448"/>
            <w:vAlign w:val="top"/>
          </w:tcPr>
          <w:p>
            <w:r>
              <w:t>theta = 0.4, 0.5, 0.6, 0.7</w:t>
            </w:r>
          </w:p>
        </w:tc>
        <w:tc>
          <w:tcPr>
            <w:tcW w:type="dxa" w:w="3456"/>
            <w:vAlign w:val="top"/>
          </w:tcPr>
          <w:p>
            <w:r>
              <w:t>All four settings pass; median wall time ranges from 142.9 s to 126.2 s.</w:t>
            </w:r>
          </w:p>
        </w:tc>
        <w:tc>
          <w:tcPr>
            <w:tcW w:type="dxa" w:w="2232"/>
            <w:vAlign w:val="top"/>
          </w:tcPr>
          <w:p>
            <w:r>
              <w:t>theta = 0.6 is the locked protocol value, not a global optimum.</w:t>
            </w:r>
          </w:p>
        </w:tc>
      </w:tr>
      <w:tr>
        <w:trPr>
          <w:cantSplit/>
        </w:trPr>
        <w:tc>
          <w:tcPr>
            <w:tcW w:type="dxa" w:w="2088"/>
            <w:vAlign w:val="top"/>
          </w:tcPr>
          <w:p>
            <w:r>
              <w:t>Expansion order</w:t>
            </w:r>
          </w:p>
        </w:tc>
        <w:tc>
          <w:tcPr>
            <w:tcW w:type="dxa" w:w="2448"/>
            <w:vAlign w:val="top"/>
          </w:tcPr>
          <w:p>
            <w:r>
              <w:t>p2/p3/p4/p5 rows on six proteins</w:t>
            </w:r>
          </w:p>
        </w:tc>
        <w:tc>
          <w:tcPr>
            <w:tcW w:type="dxa" w:w="3456"/>
            <w:vAlign w:val="top"/>
          </w:tcPr>
          <w:p>
            <w:r>
              <w:t>All tested orders pass under the guard. p2 is fallback-dominated; p4 preserves far-field compression and gives the lowest observed mean wall time among far-compressed rows.</w:t>
            </w:r>
          </w:p>
        </w:tc>
        <w:tc>
          <w:tcPr>
            <w:tcW w:type="dxa" w:w="2232"/>
            <w:vAlign w:val="top"/>
          </w:tcPr>
          <w:p>
            <w:r>
              <w:t>Additional meshes and systems are needed before recommending a general p order.</w:t>
            </w:r>
          </w:p>
        </w:tc>
      </w:tr>
      <w:tr>
        <w:trPr>
          <w:cantSplit/>
        </w:trPr>
        <w:tc>
          <w:tcPr>
            <w:tcW w:type="dxa" w:w="2088"/>
            <w:vAlign w:val="top"/>
          </w:tcPr>
          <w:p>
            <w:r>
              <w:t>ILU neighbor cap</w:t>
            </w:r>
          </w:p>
        </w:tc>
        <w:tc>
          <w:tcPr>
            <w:tcW w:type="dxa" w:w="2448"/>
            <w:vAlign w:val="top"/>
          </w:tcPr>
          <w:p>
            <w:r>
              <w:t>Caps 32, 64, 128 on Barnase, 1A63, 1SH1</w:t>
            </w:r>
          </w:p>
        </w:tc>
        <w:tc>
          <w:tcPr>
            <w:tcW w:type="dxa" w:w="3456"/>
            <w:vAlign w:val="top"/>
          </w:tcPr>
          <w:p>
            <w:r>
              <w:t>All caps pass. Cap 64 gives the lowest mean matvec time with moderate graph size and memory in this subset.</w:t>
            </w:r>
          </w:p>
        </w:tc>
        <w:tc>
          <w:tcPr>
            <w:tcW w:type="dxa" w:w="2232"/>
            <w:vAlign w:val="top"/>
          </w:tcPr>
          <w:p>
            <w:r>
              <w:t>A larger cap sweep is needed before claiming cap optimality.</w:t>
            </w:r>
          </w:p>
        </w:tc>
      </w:tr>
      <w:tr>
        <w:trPr>
          <w:cantSplit/>
        </w:trPr>
        <w:tc>
          <w:tcPr>
            <w:tcW w:type="dxa" w:w="2088"/>
            <w:vAlign w:val="top"/>
          </w:tcPr>
          <w:p>
            <w:r>
              <w:t>Tail indicator</w:t>
            </w:r>
          </w:p>
        </w:tc>
        <w:tc>
          <w:tcPr>
            <w:tcW w:type="dxa" w:w="2448"/>
            <w:vAlign w:val="top"/>
          </w:tcPr>
          <w:p>
            <w:r>
              <w:t>Tail-on rows pass; tail-off rows stop at the guarded validator</w:t>
            </w:r>
          </w:p>
        </w:tc>
        <w:tc>
          <w:tcPr>
            <w:tcW w:type="dxa" w:w="3456"/>
            <w:vAlign w:val="top"/>
          </w:tcPr>
          <w:p>
            <w:r>
              <w:t>Tail refinement is part of the validated workflow.</w:t>
            </w:r>
          </w:p>
        </w:tc>
        <w:tc>
          <w:tcPr>
            <w:tcW w:type="dxa" w:w="2232"/>
            <w:vAlign w:val="top"/>
          </w:tcPr>
          <w:p>
            <w:r>
              <w:t>A deliberately relaxed tail-off numerical run would be needed to isolate the tail term alone.</w:t>
            </w:r>
          </w:p>
        </w:tc>
      </w:tr>
    </w:tbl>
    <w:p>
      <w:pPr>
        <w:spacing w:after="120"/>
      </w:pPr>
      <w:r>
        <w:t>The p-order sweep was run under the guarded policy on the six-protein panel. Orders p2, p3, p4, and p5 all passed the sampled audit gate, but they did so with different work decompositions. The p2 rows are conservative: they produce very small sampled residuals while accepting no far M2L pairs, so most risky far work is demoted to direct fallback. The reported p4 row is retained because it remains audit-passing while preserving substantial far-field compression and the lowest observed mean wall time among the far-compressed configurations in this panel. This is a protocol choice, not evidence that p4 is the best order in all regimes.</w:t>
      </w:r>
    </w:p>
    <w:p>
      <w:pPr/>
      <w:r>
        <w:rPr>
          <w:rFonts w:ascii="Times New Roman" w:hAnsi="Times New Roman"/>
        </w:rPr>
        <w:t>The p2 coverage logs rule out a simple skipped-work explanation. Across the six proteins, p2 accepted zero far M2L pairs, rejected 337,815 far cell pairs, and demoted 295,959,727 panel pairs to direct fallback. Every p2 solve also reports a nonzero total evaluated interaction count and at least 1024 independently sampled dense-audit rows. The p2 audit therefore reflects conservative direct evaluation of risky interactions, not omission of far-field work.</w:t>
      </w:r>
    </w:p>
    <w:p>
      <w:r>
        <w:t>The ILU neighbor-cap sweep was run on Barnase, 1A63, and 1SH1 under the guarded p4 protocol. Caps 32, 64, and 128 all passed the sampled direct-operator gate. Cap 32 was the most memory-lean row in mean RSS, cap 128 used the largest graph and memory, and cap 64 gave the lowest mean matrix-vector time in this three-protein sweep. The manuscript therefore uses cap 64 as a balanced protocol value for the reported runs, not as an accuracy-only optimum.</w:t>
      </w:r>
    </w:p>
    <w:p>
      <w:r>
        <w:t>Taken together, the ablations support the selected p4/cap-64 guarded workflow for the current benchmark panel while keeping the stronger questions--larger protein sets, mesh-density scaling, and full dense small-system oracles--outside the present claim.</w:t>
      </w: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rPr>
          <w:rFonts w:ascii="Times New Roman" w:hAnsi="Times New Roman"/>
          <w:sz w:val="22"/>
        </w:rPr>
        <w:t>TITAN contains a guarded fourth-order Cartesian FMM/M2L boundary-integral PB path with sparse near-field ILU(0) preconditioning. On the reported primary and supplementary protein fixtures, the guarded p4 workflow converged under the stated criteria, passed sampled direct-operator verification, and kept resident memory below 370 MB. The p-order and neighbor-cap sweeps support the reported p4/cap-64 setting as a reproducible operating point for the tested panel, while leaving broader optimality and scaling questions open. The supported claim is deliberately bounded: the method combines analytical fast evaluation, deterministic far-field guarding, and graph-based sparse preconditioning to make the tested dense molecular-surface PB solves Krylov-robust and auditable on CPU hardware.</w:t>
      </w:r>
    </w:p>
    <w:p>
      <w:pPr>
        <w:pStyle w:val="Heading1"/>
      </w:pPr>
      <w:r>
        <w:rPr>
          <w:rFonts w:ascii="Times New Roman" w:hAnsi="Times New Roman"/>
          <w:sz w:val="22"/>
        </w:rPr>
        <w:t>Code and Data Availability</w:t>
      </w:r>
    </w:p>
    <w:p>
      <w:pPr/>
      <w:r>
        <w:t>The TITAN source code, benchmark manifests, scripts, and reference outputs corresponding to the reported tables will be released under the MIT License at a versioned public repository and archived with a persistent DOI before submission. The repository URL and archive DOI will be inserted here after the public release is finalized. Public protein structures are identified by their RCSB PDB accession codes; derived surface metadata, run manifests, and tabulated outputs corresponding to the manuscript tables should be included in the archived release. A release-readiness manifest with SHA-256 checksums is maintained with the paper package; it records the manuscript, benchmark scripts, public-fixture manifests, figures, and tabulated reference outputs intended for the archived release.</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814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814204"/>
                    </a:xfrm>
                    <a:prstGeom prst="rect">
                      <a:avLst/>
                    </a:prstGeom>
                  </pic:spPr>
                </pic:pic>
              </a:graphicData>
            </a:graphic>
          </wp:inline>
        </w:drawing>
      </w:r>
    </w:p>
    <w:p w14:paraId="08BCDE75" w14:textId="77777777" w:rsidR="000B62E7" w:rsidRDefault="00A65B0F">
      <w:pPr>
        <w:pStyle w:val="Caption"/>
      </w:pPr>
      <w: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 Convergence in this figure denotes internal GMRES true residual below 10^-6; paper-facing acceptance additionally requires sampled direct-operator residual below 8 x 10^-3.</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fixed"/>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before="0"/>
            </w:pPr>
            <w:r>
              <w:rPr>
                <w:rFonts w:ascii="Times New Roman" w:hAnsi="Times New Roman"/>
                <w:b/>
                <w:sz w:val="16"/>
              </w:rPr>
              <w:t>Protein</w:t>
            </w:r>
          </w:p>
        </w:tc>
        <w:tc>
          <w:tcPr>
            <w:tcW w:w="1500" w:type="dxa"/>
            <w:shd w:val="clear" w:color="auto" w:fill="E7E6E6"/>
            <w:vAlign w:val="center"/>
          </w:tcPr>
          <w:p w14:paraId="4ADBF175" w14:textId="77777777" w:rsidR="000B62E7" w:rsidRDefault="00A65B0F">
            <w:pPr>
              <w:spacing w:after="0" w:line="240" w:lineRule="auto" w:before="0"/>
            </w:pPr>
            <w:r>
              <w:rPr>
                <w:rFonts w:ascii="Times New Roman" w:hAnsi="Times New Roman"/>
                <w:b/>
                <w:sz w:val="16"/>
              </w:rPr>
              <w:t>PDB/source</w:t>
            </w:r>
          </w:p>
        </w:tc>
        <w:tc>
          <w:tcPr>
            <w:tcW w:w="850" w:type="dxa"/>
            <w:shd w:val="clear" w:color="auto" w:fill="E7E6E6"/>
            <w:vAlign w:val="center"/>
          </w:tcPr>
          <w:p w14:paraId="72CAEAEB" w14:textId="77777777" w:rsidR="000B62E7" w:rsidRDefault="00A65B0F">
            <w:pPr>
              <w:spacing w:after="0" w:line="240" w:lineRule="auto" w:before="0"/>
            </w:pPr>
            <w:r>
              <w:rPr>
                <w:rFonts w:ascii="Times New Roman" w:hAnsi="Times New Roman"/>
                <w:b/>
                <w:sz w:val="16"/>
              </w:rPr>
              <w:t>Atoms</w:t>
            </w:r>
          </w:p>
        </w:tc>
        <w:tc>
          <w:tcPr>
            <w:tcW w:w="850" w:type="dxa"/>
            <w:shd w:val="clear" w:color="auto" w:fill="E7E6E6"/>
            <w:vAlign w:val="center"/>
          </w:tcPr>
          <w:p w14:paraId="6DA33C45" w14:textId="77777777" w:rsidR="000B62E7" w:rsidRDefault="00A65B0F">
            <w:pPr>
              <w:spacing w:after="0" w:line="240" w:lineRule="auto" w:before="0"/>
            </w:pPr>
            <w:r>
              <w:rPr>
                <w:rFonts w:ascii="Times New Roman" w:hAnsi="Times New Roman"/>
                <w:b/>
                <w:sz w:val="16"/>
              </w:rPr>
              <w:t>Panels</w:t>
            </w:r>
          </w:p>
        </w:tc>
        <w:tc>
          <w:tcPr>
            <w:tcW w:w="950" w:type="dxa"/>
            <w:shd w:val="clear" w:color="auto" w:fill="E7E6E6"/>
            <w:vAlign w:val="center"/>
          </w:tcPr>
          <w:p w14:paraId="2A4C097F" w14:textId="77777777" w:rsidR="000B62E7" w:rsidRDefault="00A65B0F">
            <w:pPr>
              <w:spacing w:after="0" w:line="240" w:lineRule="auto" w:before="0"/>
            </w:pPr>
            <w:r>
              <w:rPr>
                <w:rFonts w:ascii="Times New Roman" w:hAnsi="Times New Roman"/>
                <w:b/>
                <w:sz w:val="16"/>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before="0"/>
            </w:pPr>
            <w:r>
              <w:rPr>
                <w:rFonts w:ascii="Times New Roman" w:hAnsi="Times New Roman"/>
                <w:b w:val="0"/>
                <w:sz w:val="16"/>
              </w:rPr>
              <w:t>Barnase</w:t>
            </w:r>
          </w:p>
        </w:tc>
        <w:tc>
          <w:tcPr>
            <w:tcW w:w="1500" w:type="dxa"/>
            <w:vAlign w:val="center"/>
          </w:tcPr>
          <w:p w14:paraId="72D17816" w14:textId="77777777" w:rsidR="000B62E7" w:rsidRDefault="00A65B0F">
            <w:pPr>
              <w:spacing w:after="0" w:line="240" w:lineRule="auto" w:before="0"/>
            </w:pPr>
            <w:r>
              <w:rPr>
                <w:rFonts w:ascii="Times New Roman" w:hAnsi="Times New Roman"/>
                <w:b w:val="0"/>
                <w:sz w:val="16"/>
              </w:rPr>
              <w:t>PyDelPhi benchmark</w:t>
            </w:r>
          </w:p>
        </w:tc>
        <w:tc>
          <w:tcPr>
            <w:tcW w:w="850" w:type="dxa"/>
            <w:vAlign w:val="center"/>
          </w:tcPr>
          <w:p w14:paraId="68F8C64C" w14:textId="77777777" w:rsidR="000B62E7" w:rsidRDefault="00A65B0F">
            <w:pPr>
              <w:spacing w:after="0" w:line="240" w:lineRule="auto" w:before="0"/>
            </w:pPr>
            <w:r>
              <w:rPr>
                <w:rFonts w:ascii="Times New Roman" w:hAnsi="Times New Roman"/>
                <w:b w:val="0"/>
                <w:sz w:val="16"/>
              </w:rPr>
              <w:t>1700</w:t>
            </w:r>
          </w:p>
        </w:tc>
        <w:tc>
          <w:tcPr>
            <w:tcW w:w="850" w:type="dxa"/>
            <w:vAlign w:val="center"/>
          </w:tcPr>
          <w:p w14:paraId="2ADC3770" w14:textId="77777777" w:rsidR="000B62E7" w:rsidRDefault="00A65B0F">
            <w:pPr>
              <w:spacing w:after="0" w:line="240" w:lineRule="auto" w:before="0"/>
            </w:pPr>
            <w:r>
              <w:rPr>
                <w:rFonts w:ascii="Times New Roman" w:hAnsi="Times New Roman"/>
                <w:b w:val="0"/>
                <w:sz w:val="16"/>
              </w:rPr>
              <w:t>14942</w:t>
            </w:r>
          </w:p>
        </w:tc>
        <w:tc>
          <w:tcPr>
            <w:tcW w:w="950" w:type="dxa"/>
            <w:vAlign w:val="center"/>
          </w:tcPr>
          <w:p w14:paraId="5D4797C1" w14:textId="77777777" w:rsidR="000B62E7" w:rsidRDefault="00A65B0F">
            <w:pPr>
              <w:spacing w:after="0" w:line="240" w:lineRule="auto" w:before="0"/>
            </w:pPr>
            <w:r>
              <w:rPr>
                <w:rFonts w:ascii="Times New Roman" w:hAnsi="Times New Roman"/>
                <w:b w:val="0"/>
                <w:sz w:val="16"/>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before="0"/>
            </w:pPr>
            <w:r>
              <w:rPr>
                <w:rFonts w:ascii="Times New Roman" w:hAnsi="Times New Roman"/>
                <w:b w:val="0"/>
                <w:sz w:val="16"/>
              </w:rPr>
              <w:t>RNA-binding domain of E. coli Rho factor</w:t>
            </w:r>
          </w:p>
        </w:tc>
        <w:tc>
          <w:tcPr>
            <w:tcW w:w="1500" w:type="dxa"/>
            <w:vAlign w:val="center"/>
          </w:tcPr>
          <w:p w14:paraId="47F5A7A0" w14:textId="77777777" w:rsidR="000B62E7" w:rsidRDefault="00A65B0F">
            <w:pPr>
              <w:spacing w:after="0" w:line="240" w:lineRule="auto" w:before="0"/>
            </w:pPr>
            <w:r>
              <w:rPr>
                <w:rFonts w:ascii="Times New Roman" w:hAnsi="Times New Roman"/>
                <w:b w:val="0"/>
                <w:sz w:val="16"/>
              </w:rPr>
              <w:t>1A63</w:t>
            </w:r>
          </w:p>
        </w:tc>
        <w:tc>
          <w:tcPr>
            <w:tcW w:w="850" w:type="dxa"/>
            <w:vAlign w:val="center"/>
          </w:tcPr>
          <w:p w14:paraId="362C7393" w14:textId="77777777" w:rsidR="000B62E7" w:rsidRDefault="00A65B0F">
            <w:pPr>
              <w:spacing w:after="0" w:line="240" w:lineRule="auto" w:before="0"/>
            </w:pPr>
            <w:r>
              <w:rPr>
                <w:rFonts w:ascii="Times New Roman" w:hAnsi="Times New Roman"/>
                <w:b w:val="0"/>
                <w:sz w:val="16"/>
              </w:rPr>
              <w:t>2065</w:t>
            </w:r>
          </w:p>
        </w:tc>
        <w:tc>
          <w:tcPr>
            <w:tcW w:w="850" w:type="dxa"/>
            <w:vAlign w:val="center"/>
          </w:tcPr>
          <w:p w14:paraId="625AAF0F" w14:textId="77777777" w:rsidR="000B62E7" w:rsidRDefault="00A65B0F">
            <w:pPr>
              <w:spacing w:after="0" w:line="240" w:lineRule="auto" w:before="0"/>
            </w:pPr>
            <w:r>
              <w:rPr>
                <w:rFonts w:ascii="Times New Roman" w:hAnsi="Times New Roman"/>
                <w:b w:val="0"/>
                <w:sz w:val="16"/>
              </w:rPr>
              <w:t>17250</w:t>
            </w:r>
          </w:p>
        </w:tc>
        <w:tc>
          <w:tcPr>
            <w:tcW w:w="950" w:type="dxa"/>
            <w:vAlign w:val="center"/>
          </w:tcPr>
          <w:p w14:paraId="4BFAB86D" w14:textId="77777777" w:rsidR="000B62E7" w:rsidRDefault="00A65B0F">
            <w:pPr>
              <w:spacing w:after="0" w:line="240" w:lineRule="auto" w:before="0"/>
            </w:pPr>
            <w:r>
              <w:rPr>
                <w:rFonts w:ascii="Times New Roman" w:hAnsi="Times New Roman"/>
                <w:b w:val="0"/>
                <w:sz w:val="16"/>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before="0"/>
            </w:pPr>
            <w:r>
              <w:rPr>
                <w:rFonts w:ascii="Times New Roman" w:hAnsi="Times New Roman"/>
                <w:b w:val="0"/>
                <w:sz w:val="16"/>
              </w:rPr>
              <w:t>Stichodactyla helianthus neurotoxin I</w:t>
            </w:r>
          </w:p>
        </w:tc>
        <w:tc>
          <w:tcPr>
            <w:tcW w:w="1500" w:type="dxa"/>
            <w:vAlign w:val="center"/>
          </w:tcPr>
          <w:p w14:paraId="37F529F8" w14:textId="77777777" w:rsidR="000B62E7" w:rsidRDefault="00A65B0F">
            <w:pPr>
              <w:spacing w:after="0" w:line="240" w:lineRule="auto" w:before="0"/>
            </w:pPr>
            <w:r>
              <w:rPr>
                <w:rFonts w:ascii="Times New Roman" w:hAnsi="Times New Roman"/>
                <w:b w:val="0"/>
                <w:sz w:val="16"/>
              </w:rPr>
              <w:t>1SH1</w:t>
            </w:r>
          </w:p>
        </w:tc>
        <w:tc>
          <w:tcPr>
            <w:tcW w:w="850" w:type="dxa"/>
            <w:vAlign w:val="center"/>
          </w:tcPr>
          <w:p w14:paraId="5357E6C2" w14:textId="77777777" w:rsidR="000B62E7" w:rsidRDefault="00A65B0F">
            <w:pPr>
              <w:spacing w:after="0" w:line="240" w:lineRule="auto" w:before="0"/>
            </w:pPr>
            <w:r>
              <w:rPr>
                <w:rFonts w:ascii="Times New Roman" w:hAnsi="Times New Roman"/>
                <w:b w:val="0"/>
                <w:sz w:val="16"/>
              </w:rPr>
              <w:t>696</w:t>
            </w:r>
          </w:p>
        </w:tc>
        <w:tc>
          <w:tcPr>
            <w:tcW w:w="850" w:type="dxa"/>
            <w:vAlign w:val="center"/>
          </w:tcPr>
          <w:p w14:paraId="6E3C8E3E" w14:textId="77777777" w:rsidR="000B62E7" w:rsidRDefault="00A65B0F">
            <w:pPr>
              <w:spacing w:after="0" w:line="240" w:lineRule="auto" w:before="0"/>
            </w:pPr>
            <w:r>
              <w:rPr>
                <w:rFonts w:ascii="Times New Roman" w:hAnsi="Times New Roman"/>
                <w:b w:val="0"/>
                <w:sz w:val="16"/>
              </w:rPr>
              <w:t>6673</w:t>
            </w:r>
          </w:p>
        </w:tc>
        <w:tc>
          <w:tcPr>
            <w:tcW w:w="950" w:type="dxa"/>
            <w:vAlign w:val="center"/>
          </w:tcPr>
          <w:p w14:paraId="2429E4B3" w14:textId="77777777" w:rsidR="000B62E7" w:rsidRDefault="00A65B0F">
            <w:pPr>
              <w:spacing w:after="0" w:line="240" w:lineRule="auto" w:before="0"/>
            </w:pPr>
            <w:r>
              <w:rPr>
                <w:rFonts w:ascii="Times New Roman" w:hAnsi="Times New Roman"/>
                <w:b w:val="0"/>
                <w:sz w:val="16"/>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before="0"/>
            </w:pPr>
            <w:r>
              <w:rPr>
                <w:rFonts w:ascii="Times New Roman" w:hAnsi="Times New Roman"/>
                <w:b w:val="0"/>
                <w:sz w:val="16"/>
              </w:rPr>
              <w:t>Ubiquitin</w:t>
            </w:r>
          </w:p>
        </w:tc>
        <w:tc>
          <w:tcPr>
            <w:tcW w:w="1500" w:type="dxa"/>
            <w:vAlign w:val="center"/>
          </w:tcPr>
          <w:p w14:paraId="62AA8A21" w14:textId="77777777" w:rsidR="000B62E7" w:rsidRDefault="00A65B0F">
            <w:pPr>
              <w:spacing w:after="0" w:line="240" w:lineRule="auto" w:before="0"/>
            </w:pPr>
            <w:r>
              <w:rPr>
                <w:rFonts w:ascii="Times New Roman" w:hAnsi="Times New Roman"/>
                <w:b w:val="0"/>
                <w:sz w:val="16"/>
              </w:rPr>
              <w:t>1UBQ</w:t>
            </w:r>
          </w:p>
        </w:tc>
        <w:tc>
          <w:tcPr>
            <w:tcW w:w="850" w:type="dxa"/>
            <w:vAlign w:val="center"/>
          </w:tcPr>
          <w:p w14:paraId="4381F2D9" w14:textId="77777777" w:rsidR="000B62E7" w:rsidRDefault="00A65B0F">
            <w:pPr>
              <w:spacing w:after="0" w:line="240" w:lineRule="auto" w:before="0"/>
            </w:pPr>
            <w:r>
              <w:rPr>
                <w:rFonts w:ascii="Times New Roman" w:hAnsi="Times New Roman"/>
                <w:b w:val="0"/>
                <w:sz w:val="16"/>
              </w:rPr>
              <w:t>1231</w:t>
            </w:r>
          </w:p>
        </w:tc>
        <w:tc>
          <w:tcPr>
            <w:tcW w:w="850" w:type="dxa"/>
            <w:vAlign w:val="center"/>
          </w:tcPr>
          <w:p w14:paraId="6B4E4705" w14:textId="77777777" w:rsidR="000B62E7" w:rsidRDefault="00A65B0F">
            <w:pPr>
              <w:spacing w:after="0" w:line="240" w:lineRule="auto" w:before="0"/>
            </w:pPr>
            <w:r>
              <w:rPr>
                <w:rFonts w:ascii="Times New Roman" w:hAnsi="Times New Roman"/>
                <w:b w:val="0"/>
                <w:sz w:val="16"/>
              </w:rPr>
              <w:t>11242</w:t>
            </w:r>
          </w:p>
        </w:tc>
        <w:tc>
          <w:tcPr>
            <w:tcW w:w="950" w:type="dxa"/>
            <w:vAlign w:val="center"/>
          </w:tcPr>
          <w:p w14:paraId="35078301" w14:textId="77777777" w:rsidR="000B62E7" w:rsidRDefault="00A65B0F">
            <w:pPr>
              <w:spacing w:after="0" w:line="240" w:lineRule="auto" w:before="0"/>
            </w:pPr>
            <w:r>
              <w:rPr>
                <w:rFonts w:ascii="Times New Roman" w:hAnsi="Times New Roman"/>
                <w:b w:val="0"/>
                <w:sz w:val="16"/>
              </w:rPr>
              <w:t>Supplement</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before="0"/>
            </w:pPr>
            <w:r>
              <w:rPr>
                <w:rFonts w:ascii="Times New Roman" w:hAnsi="Times New Roman"/>
                <w:b w:val="0"/>
                <w:sz w:val="16"/>
              </w:rPr>
              <w:lastRenderedPageBreak/>
              <w:t>Chymotrypsin inhibitor 2</w:t>
            </w:r>
          </w:p>
        </w:tc>
        <w:tc>
          <w:tcPr>
            <w:tcW w:w="1500" w:type="dxa"/>
            <w:vAlign w:val="center"/>
          </w:tcPr>
          <w:p w14:paraId="34285527" w14:textId="77777777" w:rsidR="000B62E7" w:rsidRDefault="00A65B0F">
            <w:pPr>
              <w:spacing w:after="0" w:line="240" w:lineRule="auto" w:before="0"/>
            </w:pPr>
            <w:r>
              <w:rPr>
                <w:rFonts w:ascii="Times New Roman" w:hAnsi="Times New Roman"/>
                <w:b w:val="0"/>
                <w:sz w:val="16"/>
              </w:rPr>
              <w:t>2CI2</w:t>
            </w:r>
          </w:p>
        </w:tc>
        <w:tc>
          <w:tcPr>
            <w:tcW w:w="850" w:type="dxa"/>
            <w:vAlign w:val="center"/>
          </w:tcPr>
          <w:p w14:paraId="0A578C0B" w14:textId="77777777" w:rsidR="000B62E7" w:rsidRDefault="00A65B0F">
            <w:pPr>
              <w:spacing w:after="0" w:line="240" w:lineRule="auto" w:before="0"/>
            </w:pPr>
            <w:r>
              <w:rPr>
                <w:rFonts w:ascii="Times New Roman" w:hAnsi="Times New Roman"/>
                <w:b w:val="0"/>
                <w:sz w:val="16"/>
              </w:rPr>
              <w:t>1076</w:t>
            </w:r>
          </w:p>
        </w:tc>
        <w:tc>
          <w:tcPr>
            <w:tcW w:w="850" w:type="dxa"/>
            <w:vAlign w:val="center"/>
          </w:tcPr>
          <w:p w14:paraId="5BA4316D" w14:textId="77777777" w:rsidR="000B62E7" w:rsidRDefault="00A65B0F">
            <w:pPr>
              <w:spacing w:after="0" w:line="240" w:lineRule="auto" w:before="0"/>
            </w:pPr>
            <w:r>
              <w:rPr>
                <w:rFonts w:ascii="Times New Roman" w:hAnsi="Times New Roman"/>
                <w:b w:val="0"/>
                <w:sz w:val="16"/>
              </w:rPr>
              <w:t>9889</w:t>
            </w:r>
          </w:p>
        </w:tc>
        <w:tc>
          <w:tcPr>
            <w:tcW w:w="950" w:type="dxa"/>
            <w:vAlign w:val="center"/>
          </w:tcPr>
          <w:p w14:paraId="4508FB9D" w14:textId="77777777" w:rsidR="000B62E7" w:rsidRDefault="00A65B0F">
            <w:pPr>
              <w:spacing w:after="0" w:line="240" w:lineRule="auto" w:before="0"/>
            </w:pPr>
            <w:r>
              <w:rPr>
                <w:rFonts w:ascii="Times New Roman" w:hAnsi="Times New Roman"/>
                <w:b w:val="0"/>
                <w:sz w:val="16"/>
              </w:rPr>
              <w:t>Supplement</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before="0"/>
            </w:pPr>
            <w:r>
              <w:rPr>
                <w:rFonts w:ascii="Times New Roman" w:hAnsi="Times New Roman"/>
                <w:b w:val="0"/>
                <w:sz w:val="16"/>
              </w:rPr>
              <w:t>Villin headpiece subdomain</w:t>
            </w:r>
          </w:p>
        </w:tc>
        <w:tc>
          <w:tcPr>
            <w:tcW w:w="1500" w:type="dxa"/>
            <w:vAlign w:val="center"/>
          </w:tcPr>
          <w:p w14:paraId="609A378E" w14:textId="77777777" w:rsidR="000B62E7" w:rsidRDefault="00A65B0F">
            <w:pPr>
              <w:spacing w:after="0" w:line="240" w:lineRule="auto" w:before="0"/>
            </w:pPr>
            <w:r>
              <w:rPr>
                <w:rFonts w:ascii="Times New Roman" w:hAnsi="Times New Roman"/>
                <w:b w:val="0"/>
                <w:sz w:val="16"/>
              </w:rPr>
              <w:t>1VII</w:t>
            </w:r>
          </w:p>
        </w:tc>
        <w:tc>
          <w:tcPr>
            <w:tcW w:w="850" w:type="dxa"/>
            <w:vAlign w:val="center"/>
          </w:tcPr>
          <w:p w14:paraId="17523527" w14:textId="77777777" w:rsidR="000B62E7" w:rsidRDefault="00A65B0F">
            <w:pPr>
              <w:spacing w:after="0" w:line="240" w:lineRule="auto" w:before="0"/>
            </w:pPr>
            <w:r>
              <w:rPr>
                <w:rFonts w:ascii="Times New Roman" w:hAnsi="Times New Roman"/>
                <w:b w:val="0"/>
                <w:sz w:val="16"/>
              </w:rPr>
              <w:t>596</w:t>
            </w:r>
          </w:p>
        </w:tc>
        <w:tc>
          <w:tcPr>
            <w:tcW w:w="850" w:type="dxa"/>
            <w:vAlign w:val="center"/>
          </w:tcPr>
          <w:p w14:paraId="47CDE898" w14:textId="77777777" w:rsidR="000B62E7" w:rsidRDefault="00A65B0F">
            <w:pPr>
              <w:spacing w:after="0" w:line="240" w:lineRule="auto" w:before="0"/>
            </w:pPr>
            <w:r>
              <w:rPr>
                <w:rFonts w:ascii="Times New Roman" w:hAnsi="Times New Roman"/>
                <w:b w:val="0"/>
                <w:sz w:val="16"/>
              </w:rPr>
              <w:t>5032</w:t>
            </w:r>
          </w:p>
        </w:tc>
        <w:tc>
          <w:tcPr>
            <w:tcW w:w="950" w:type="dxa"/>
            <w:vAlign w:val="center"/>
          </w:tcPr>
          <w:p w14:paraId="4160D760" w14:textId="77777777" w:rsidR="000B62E7" w:rsidRDefault="00A65B0F">
            <w:pPr>
              <w:spacing w:after="0" w:line="240" w:lineRule="auto" w:before="0"/>
            </w:pPr>
            <w:r>
              <w:rPr>
                <w:rFonts w:ascii="Times New Roman" w:hAnsi="Times New Roman"/>
                <w:b w:val="0"/>
                <w:sz w:val="16"/>
              </w:rPr>
              <w:t>Supplement</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fixed"/>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before="0"/>
            </w:pPr>
            <w:r>
              <w:rPr>
                <w:rFonts w:ascii="Times New Roman" w:hAnsi="Times New Roman"/>
                <w:b/>
                <w:sz w:val="16"/>
              </w:rPr>
              <w:t>Stage</w:t>
            </w:r>
          </w:p>
        </w:tc>
        <w:tc>
          <w:tcPr>
            <w:tcW w:w="1350" w:type="dxa"/>
            <w:shd w:val="clear" w:color="auto" w:fill="E7E6E6"/>
            <w:vAlign w:val="center"/>
          </w:tcPr>
          <w:p w14:paraId="735111DC" w14:textId="77777777" w:rsidR="000B62E7" w:rsidRDefault="00A65B0F">
            <w:pPr>
              <w:spacing w:after="0" w:line="240" w:lineRule="auto" w:before="0"/>
            </w:pPr>
            <w:r>
              <w:rPr>
                <w:rFonts w:ascii="Times New Roman" w:hAnsi="Times New Roman"/>
                <w:b/>
                <w:sz w:val="16"/>
              </w:rPr>
              <w:t>Outcome</w:t>
            </w:r>
          </w:p>
        </w:tc>
        <w:tc>
          <w:tcPr>
            <w:tcW w:w="950" w:type="dxa"/>
            <w:shd w:val="clear" w:color="auto" w:fill="E7E6E6"/>
            <w:vAlign w:val="center"/>
          </w:tcPr>
          <w:p w14:paraId="08270DFA" w14:textId="77777777" w:rsidR="000B62E7" w:rsidRDefault="00A65B0F">
            <w:pPr>
              <w:spacing w:after="0" w:line="240" w:lineRule="auto" w:before="0"/>
            </w:pPr>
            <w:r>
              <w:rPr>
                <w:rFonts w:ascii="Times New Roman" w:hAnsi="Times New Roman"/>
                <w:b/>
                <w:sz w:val="16"/>
              </w:rPr>
              <w:t>Median wall</w:t>
            </w:r>
          </w:p>
        </w:tc>
        <w:tc>
          <w:tcPr>
            <w:tcW w:w="800" w:type="dxa"/>
            <w:shd w:val="clear" w:color="auto" w:fill="E7E6E6"/>
            <w:vAlign w:val="center"/>
          </w:tcPr>
          <w:p w14:paraId="5D4FD668" w14:textId="77777777" w:rsidR="000B62E7" w:rsidRDefault="00A65B0F">
            <w:pPr>
              <w:spacing w:after="0" w:line="240" w:lineRule="auto" w:before="0"/>
            </w:pPr>
            <w:r>
              <w:rPr>
                <w:rFonts w:ascii="Times New Roman" w:hAnsi="Times New Roman"/>
                <w:b/>
                <w:sz w:val="16"/>
              </w:rPr>
              <w:t>Median iter.</w:t>
            </w:r>
          </w:p>
        </w:tc>
        <w:tc>
          <w:tcPr>
            <w:tcW w:w="1400" w:type="dxa"/>
            <w:shd w:val="clear" w:color="auto" w:fill="E7E6E6"/>
            <w:vAlign w:val="center"/>
          </w:tcPr>
          <w:p w14:paraId="5AE14286" w14:textId="77777777" w:rsidR="000B62E7" w:rsidRDefault="00A65B0F">
            <w:pPr>
              <w:spacing w:after="0" w:line="240" w:lineRule="auto" w:before="0"/>
            </w:pPr>
            <w:r>
              <w:rPr>
                <w:rFonts w:ascii="Times New Roman" w:hAnsi="Times New Roman"/>
                <w:b/>
                <w:sz w:val="16"/>
              </w:rPr>
              <w:t>Operator audit</w:t>
            </w:r>
          </w:p>
        </w:tc>
        <w:tc>
          <w:tcPr>
            <w:tcW w:w="3260" w:type="dxa"/>
            <w:shd w:val="clear" w:color="auto" w:fill="E7E6E6"/>
            <w:vAlign w:val="center"/>
          </w:tcPr>
          <w:p w14:paraId="0EC1FA5B" w14:textId="77777777" w:rsidR="000B62E7" w:rsidRDefault="00A65B0F">
            <w:pPr>
              <w:spacing w:after="0" w:line="240" w:lineRule="auto" w:before="0"/>
            </w:pPr>
            <w:r>
              <w:rPr>
                <w:rFonts w:ascii="Times New Roman" w:hAnsi="Times New Roman"/>
                <w:b/>
                <w:sz w:val="16"/>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before="0"/>
            </w:pPr>
            <w:r>
              <w:rPr>
                <w:rFonts w:ascii="Times New Roman" w:hAnsi="Times New Roman"/>
                <w:b w:val="0"/>
                <w:sz w:val="16"/>
              </w:rPr>
              <w:t>Classical direct TABI</w:t>
            </w:r>
          </w:p>
        </w:tc>
        <w:tc>
          <w:tcPr>
            <w:tcW w:w="1350" w:type="dxa"/>
            <w:vAlign w:val="center"/>
          </w:tcPr>
          <w:p w14:paraId="10303E76" w14:textId="77777777" w:rsidR="000B62E7" w:rsidRDefault="00A65B0F">
            <w:pPr>
              <w:spacing w:after="0" w:line="240" w:lineRule="auto" w:before="0"/>
            </w:pPr>
            <w:r>
              <w:rPr>
                <w:rFonts w:ascii="Times New Roman" w:hAnsi="Times New Roman"/>
                <w:b w:val="0"/>
                <w:sz w:val="16"/>
              </w:rPr>
              <w:t>0/6 ok; 4 failed; 2 timeout</w:t>
            </w:r>
          </w:p>
        </w:tc>
        <w:tc>
          <w:tcPr>
            <w:tcW w:w="950" w:type="dxa"/>
            <w:vAlign w:val="center"/>
          </w:tcPr>
          <w:p w14:paraId="25D8E01A" w14:textId="77777777" w:rsidR="000B62E7" w:rsidRDefault="00A65B0F">
            <w:pPr>
              <w:spacing w:after="0" w:line="240" w:lineRule="auto" w:before="0"/>
            </w:pPr>
            <w:r>
              <w:rPr>
                <w:rFonts w:ascii="Times New Roman" w:hAnsi="Times New Roman"/>
                <w:b w:val="0"/>
                <w:sz w:val="16"/>
              </w:rPr>
              <w:t>31.1 min</w:t>
            </w:r>
          </w:p>
        </w:tc>
        <w:tc>
          <w:tcPr>
            <w:tcW w:w="800" w:type="dxa"/>
            <w:vAlign w:val="center"/>
          </w:tcPr>
          <w:p w14:paraId="0C1A17DF" w14:textId="77777777" w:rsidR="000B62E7" w:rsidRDefault="00A65B0F">
            <w:pPr>
              <w:spacing w:after="0" w:line="240" w:lineRule="auto" w:before="0"/>
            </w:pPr>
            <w:r>
              <w:rPr>
                <w:rFonts w:ascii="Times New Roman" w:hAnsi="Times New Roman"/>
                <w:b w:val="0"/>
                <w:sz w:val="16"/>
              </w:rPr>
              <w:t>576</w:t>
            </w:r>
          </w:p>
        </w:tc>
        <w:tc>
          <w:tcPr>
            <w:tcW w:w="1400" w:type="dxa"/>
            <w:vAlign w:val="center"/>
          </w:tcPr>
          <w:p>
            <w:pPr>
              <w:spacing w:after="0" w:before="0"/>
            </w:pPr>
            <w:r>
              <w:rPr>
                <w:rFonts w:ascii="Times New Roman" w:hAnsi="Times New Roman"/>
                <w:b w:val="0"/>
                <w:sz w:val="16"/>
              </w:rPr>
              <w:t>no passing solve under budget</w:t>
            </w:r>
          </w:p>
        </w:tc>
        <w:tc>
          <w:tcPr>
            <w:tcW w:w="3260" w:type="dxa"/>
            <w:vAlign w:val="center"/>
          </w:tcPr>
          <w:p>
            <w:pPr>
              <w:spacing w:after="0" w:before="0"/>
            </w:pPr>
            <w:r>
              <w:rPr>
                <w:rFonts w:ascii="Times New Roman" w:hAnsi="Times New Roman"/>
                <w:b w:val="0"/>
                <w:sz w:val="16"/>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before="0"/>
            </w:pPr>
            <w:r>
              <w:rPr>
                <w:rFonts w:ascii="Times New Roman" w:hAnsi="Times New Roman"/>
                <w:b w:val="0"/>
                <w:sz w:val="16"/>
              </w:rPr>
              <w:t>Degree-one FMM + diagonal</w:t>
            </w:r>
          </w:p>
        </w:tc>
        <w:tc>
          <w:tcPr>
            <w:tcW w:w="1350" w:type="dxa"/>
            <w:vAlign w:val="center"/>
          </w:tcPr>
          <w:p w14:paraId="0D96A7DA" w14:textId="77777777" w:rsidR="000B62E7" w:rsidRDefault="00A65B0F">
            <w:pPr>
              <w:spacing w:after="0" w:line="240" w:lineRule="auto" w:before="0"/>
            </w:pPr>
            <w:r>
              <w:rPr>
                <w:rFonts w:ascii="Times New Roman" w:hAnsi="Times New Roman"/>
                <w:b w:val="0"/>
                <w:sz w:val="16"/>
              </w:rPr>
              <w:t>0/6 ok; 5 failed; 1 timeout</w:t>
            </w:r>
          </w:p>
        </w:tc>
        <w:tc>
          <w:tcPr>
            <w:tcW w:w="950" w:type="dxa"/>
            <w:vAlign w:val="center"/>
          </w:tcPr>
          <w:p w14:paraId="67B21715" w14:textId="77777777" w:rsidR="000B62E7" w:rsidRDefault="00A65B0F">
            <w:pPr>
              <w:spacing w:after="0" w:line="240" w:lineRule="auto" w:before="0"/>
            </w:pPr>
            <w:r>
              <w:rPr>
                <w:rFonts w:ascii="Times New Roman" w:hAnsi="Times New Roman"/>
                <w:b w:val="0"/>
                <w:sz w:val="16"/>
              </w:rPr>
              <w:t>944.5 s</w:t>
            </w:r>
          </w:p>
        </w:tc>
        <w:tc>
          <w:tcPr>
            <w:tcW w:w="800" w:type="dxa"/>
            <w:vAlign w:val="center"/>
          </w:tcPr>
          <w:p w14:paraId="362C6602" w14:textId="77777777" w:rsidR="000B62E7" w:rsidRDefault="00A65B0F">
            <w:pPr>
              <w:spacing w:after="0" w:line="240" w:lineRule="auto" w:before="0"/>
            </w:pPr>
            <w:r>
              <w:rPr>
                <w:rFonts w:ascii="Times New Roman" w:hAnsi="Times New Roman"/>
                <w:b w:val="0"/>
                <w:sz w:val="16"/>
              </w:rPr>
              <w:t>680</w:t>
            </w:r>
          </w:p>
        </w:tc>
        <w:tc>
          <w:tcPr>
            <w:tcW w:w="1400" w:type="dxa"/>
            <w:vAlign w:val="center"/>
          </w:tcPr>
          <w:p w14:paraId="60522B59" w14:textId="77777777" w:rsidR="000B62E7" w:rsidRDefault="00A65B0F">
            <w:pPr>
              <w:spacing w:after="0" w:line="240" w:lineRule="auto" w:before="0"/>
            </w:pPr>
            <w:r>
              <w:rPr>
                <w:rFonts w:ascii="Times New Roman" w:hAnsi="Times New Roman"/>
                <w:b w:val="0"/>
                <w:sz w:val="16"/>
              </w:rPr>
              <w:t>median 1.207e-02</w:t>
            </w:r>
          </w:p>
        </w:tc>
        <w:tc>
          <w:tcPr>
            <w:tcW w:w="3260" w:type="dxa"/>
            <w:vAlign w:val="center"/>
          </w:tcPr>
          <w:p>
            <w:pPr>
              <w:spacing w:after="0" w:before="0"/>
            </w:pPr>
            <w:r>
              <w:rPr>
                <w:rFonts w:ascii="Times New Roman" w:hAnsi="Times New Roman"/>
                <w:b w:val="0"/>
                <w:sz w:val="16"/>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before="0"/>
            </w:pPr>
            <w:r>
              <w:rPr>
                <w:rFonts w:ascii="Times New Roman" w:hAnsi="Times New Roman"/>
                <w:b w:val="0"/>
                <w:sz w:val="16"/>
              </w:rPr>
              <w:t>Degree-one FMM + local block</w:t>
            </w:r>
          </w:p>
        </w:tc>
        <w:tc>
          <w:tcPr>
            <w:tcW w:w="1350" w:type="dxa"/>
            <w:vAlign w:val="center"/>
          </w:tcPr>
          <w:p w14:paraId="19F015B1" w14:textId="77777777" w:rsidR="000B62E7" w:rsidRDefault="00A65B0F">
            <w:pPr>
              <w:spacing w:after="0" w:line="240" w:lineRule="auto" w:before="0"/>
            </w:pPr>
            <w:r>
              <w:rPr>
                <w:rFonts w:ascii="Times New Roman" w:hAnsi="Times New Roman"/>
                <w:b w:val="0"/>
                <w:sz w:val="16"/>
              </w:rPr>
              <w:t>0/6 ok; 6 failed; 0 timeout</w:t>
            </w:r>
          </w:p>
        </w:tc>
        <w:tc>
          <w:tcPr>
            <w:tcW w:w="950" w:type="dxa"/>
            <w:vAlign w:val="center"/>
          </w:tcPr>
          <w:p w14:paraId="2A7CF5C1" w14:textId="77777777" w:rsidR="000B62E7" w:rsidRDefault="00A65B0F">
            <w:pPr>
              <w:spacing w:after="0" w:line="240" w:lineRule="auto" w:before="0"/>
            </w:pPr>
            <w:r>
              <w:rPr>
                <w:rFonts w:ascii="Times New Roman" w:hAnsi="Times New Roman"/>
                <w:b w:val="0"/>
                <w:sz w:val="16"/>
              </w:rPr>
              <w:t>700.8 s</w:t>
            </w:r>
          </w:p>
        </w:tc>
        <w:tc>
          <w:tcPr>
            <w:tcW w:w="800" w:type="dxa"/>
            <w:vAlign w:val="center"/>
          </w:tcPr>
          <w:p w14:paraId="16ECA769" w14:textId="77777777" w:rsidR="000B62E7" w:rsidRDefault="00A65B0F">
            <w:pPr>
              <w:spacing w:after="0" w:line="240" w:lineRule="auto" w:before="0"/>
            </w:pPr>
            <w:r>
              <w:rPr>
                <w:rFonts w:ascii="Times New Roman" w:hAnsi="Times New Roman"/>
                <w:b w:val="0"/>
                <w:sz w:val="16"/>
              </w:rPr>
              <w:t>720</w:t>
            </w:r>
          </w:p>
        </w:tc>
        <w:tc>
          <w:tcPr>
            <w:tcW w:w="1400" w:type="dxa"/>
            <w:vAlign w:val="center"/>
          </w:tcPr>
          <w:p w14:paraId="0FDF26C3" w14:textId="77777777" w:rsidR="000B62E7" w:rsidRDefault="00A65B0F">
            <w:pPr>
              <w:spacing w:after="0" w:line="240" w:lineRule="auto" w:before="0"/>
            </w:pPr>
            <w:r>
              <w:rPr>
                <w:rFonts w:ascii="Times New Roman" w:hAnsi="Times New Roman"/>
                <w:b w:val="0"/>
                <w:sz w:val="16"/>
              </w:rPr>
              <w:t>median 1.258e-02</w:t>
            </w:r>
          </w:p>
        </w:tc>
        <w:tc>
          <w:tcPr>
            <w:tcW w:w="3260" w:type="dxa"/>
            <w:vAlign w:val="center"/>
          </w:tcPr>
          <w:p>
            <w:pPr>
              <w:spacing w:after="0" w:before="0"/>
            </w:pPr>
            <w:r>
              <w:rPr>
                <w:rFonts w:ascii="Times New Roman" w:hAnsi="Times New Roman"/>
                <w:b w:val="0"/>
                <w:sz w:val="16"/>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before="0"/>
            </w:pPr>
            <w:r>
              <w:rPr>
                <w:rFonts w:ascii="Times New Roman" w:hAnsi="Times New Roman"/>
                <w:b w:val="0"/>
                <w:sz w:val="16"/>
              </w:rPr>
              <w:t>Degree-one FMM + sparse ILU(0)</w:t>
            </w:r>
          </w:p>
        </w:tc>
        <w:tc>
          <w:tcPr>
            <w:tcW w:w="1350" w:type="dxa"/>
            <w:vAlign w:val="center"/>
          </w:tcPr>
          <w:p w14:paraId="165A2D28" w14:textId="77777777" w:rsidR="000B62E7" w:rsidRDefault="00A65B0F">
            <w:pPr>
              <w:spacing w:after="0" w:line="240" w:lineRule="auto" w:before="0"/>
            </w:pPr>
            <w:r>
              <w:rPr>
                <w:rFonts w:ascii="Times New Roman" w:hAnsi="Times New Roman"/>
                <w:b w:val="0"/>
                <w:sz w:val="16"/>
              </w:rPr>
              <w:t>6/6 ok; 0 failed; 0 timeout</w:t>
            </w:r>
          </w:p>
        </w:tc>
        <w:tc>
          <w:tcPr>
            <w:tcW w:w="950" w:type="dxa"/>
            <w:vAlign w:val="center"/>
          </w:tcPr>
          <w:p w14:paraId="1C831F17" w14:textId="77777777" w:rsidR="000B62E7" w:rsidRDefault="00A65B0F">
            <w:pPr>
              <w:spacing w:after="0" w:line="240" w:lineRule="auto" w:before="0"/>
            </w:pPr>
            <w:r>
              <w:rPr>
                <w:rFonts w:ascii="Times New Roman" w:hAnsi="Times New Roman"/>
                <w:b w:val="0"/>
                <w:sz w:val="16"/>
              </w:rPr>
              <w:t>133.3 s</w:t>
            </w:r>
          </w:p>
        </w:tc>
        <w:tc>
          <w:tcPr>
            <w:tcW w:w="800" w:type="dxa"/>
            <w:vAlign w:val="center"/>
          </w:tcPr>
          <w:p w14:paraId="6D4C7ABD" w14:textId="77777777" w:rsidR="000B62E7" w:rsidRDefault="00A65B0F">
            <w:pPr>
              <w:spacing w:after="0" w:line="240" w:lineRule="auto" w:before="0"/>
            </w:pPr>
            <w:r>
              <w:rPr>
                <w:rFonts w:ascii="Times New Roman" w:hAnsi="Times New Roman"/>
                <w:b w:val="0"/>
                <w:sz w:val="16"/>
              </w:rPr>
              <w:t>128</w:t>
            </w:r>
          </w:p>
        </w:tc>
        <w:tc>
          <w:tcPr>
            <w:tcW w:w="1400" w:type="dxa"/>
            <w:vAlign w:val="center"/>
          </w:tcPr>
          <w:p w14:paraId="2A0D8625" w14:textId="77777777" w:rsidR="000B62E7" w:rsidRDefault="00A65B0F">
            <w:pPr>
              <w:spacing w:after="0" w:line="240" w:lineRule="auto" w:before="0"/>
            </w:pPr>
            <w:r>
              <w:rPr>
                <w:rFonts w:ascii="Times New Roman" w:hAnsi="Times New Roman"/>
                <w:b w:val="0"/>
                <w:sz w:val="16"/>
              </w:rPr>
              <w:t>median 4.052e-02; max 9.671e-01</w:t>
            </w:r>
          </w:p>
        </w:tc>
        <w:tc>
          <w:tcPr>
            <w:tcW w:w="3260" w:type="dxa"/>
            <w:vAlign w:val="center"/>
          </w:tcPr>
          <w:p>
            <w:pPr>
              <w:spacing w:after="0" w:before="0"/>
            </w:pPr>
            <w:r>
              <w:rPr>
                <w:rFonts w:ascii="Times New Roman" w:hAnsi="Times New Roman"/>
                <w:b w:val="0"/>
                <w:sz w:val="16"/>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before="0"/>
            </w:pPr>
            <w:r>
              <w:rPr>
                <w:rFonts w:ascii="Times New Roman" w:hAnsi="Times New Roman"/>
                <w:b w:val="0"/>
                <w:sz w:val="16"/>
              </w:rPr>
              <w:t>Guarded p4 FMM + sparse ILU(0)</w:t>
            </w:r>
          </w:p>
        </w:tc>
        <w:tc>
          <w:tcPr>
            <w:tcW w:w="1350" w:type="dxa"/>
            <w:vAlign w:val="center"/>
          </w:tcPr>
          <w:p w14:paraId="1AA0350A" w14:textId="77777777" w:rsidR="000B62E7" w:rsidRDefault="00A65B0F">
            <w:pPr>
              <w:spacing w:after="0" w:line="240" w:lineRule="auto" w:before="0"/>
            </w:pPr>
            <w:r>
              <w:rPr>
                <w:rFonts w:ascii="Times New Roman" w:hAnsi="Times New Roman"/>
                <w:b w:val="0"/>
                <w:sz w:val="16"/>
              </w:rPr>
              <w:t>6/6 ok; 0 failed; 0 timeout</w:t>
            </w:r>
          </w:p>
        </w:tc>
        <w:tc>
          <w:tcPr>
            <w:tcW w:w="950" w:type="dxa"/>
            <w:vAlign w:val="center"/>
          </w:tcPr>
          <w:p w14:paraId="0F1F9155" w14:textId="77777777" w:rsidR="000B62E7" w:rsidRDefault="00A65B0F">
            <w:pPr>
              <w:spacing w:after="0" w:line="240" w:lineRule="auto" w:before="0"/>
            </w:pPr>
            <w:r>
              <w:rPr>
                <w:rFonts w:ascii="Times New Roman" w:hAnsi="Times New Roman"/>
                <w:b w:val="0"/>
                <w:sz w:val="16"/>
              </w:rPr>
              <w:t>140.6 s</w:t>
            </w:r>
          </w:p>
        </w:tc>
        <w:tc>
          <w:tcPr>
            <w:tcW w:w="800" w:type="dxa"/>
            <w:vAlign w:val="center"/>
          </w:tcPr>
          <w:p w14:paraId="49173568" w14:textId="77777777" w:rsidR="000B62E7" w:rsidRDefault="00A65B0F">
            <w:pPr>
              <w:spacing w:after="0" w:line="240" w:lineRule="auto" w:before="0"/>
            </w:pPr>
            <w:r>
              <w:rPr>
                <w:rFonts w:ascii="Times New Roman" w:hAnsi="Times New Roman"/>
                <w:b w:val="0"/>
                <w:sz w:val="16"/>
              </w:rPr>
              <w:t>128</w:t>
            </w:r>
          </w:p>
        </w:tc>
        <w:tc>
          <w:tcPr>
            <w:tcW w:w="1400" w:type="dxa"/>
            <w:vAlign w:val="center"/>
          </w:tcPr>
          <w:p w14:paraId="1A68B438" w14:textId="77777777" w:rsidR="000B62E7" w:rsidRDefault="00A65B0F">
            <w:pPr>
              <w:spacing w:after="0" w:line="240" w:lineRule="auto" w:before="0"/>
            </w:pPr>
            <w:r>
              <w:rPr>
                <w:rFonts w:ascii="Times New Roman" w:hAnsi="Times New Roman"/>
                <w:b w:val="0"/>
                <w:sz w:val="16"/>
              </w:rPr>
              <w:t>median 1.121e-05; max 2.534e-03</w:t>
            </w:r>
          </w:p>
        </w:tc>
        <w:tc>
          <w:tcPr>
            <w:tcW w:w="3260" w:type="dxa"/>
            <w:vAlign w:val="center"/>
          </w:tcPr>
          <w:p>
            <w:pPr>
              <w:spacing w:after="0" w:before="0"/>
            </w:pPr>
            <w:r>
              <w:rPr>
                <w:rFonts w:ascii="Times New Roman" w:hAnsi="Times New Roman"/>
                <w:b w:val="0"/>
                <w:sz w:val="16"/>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fixed"/>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before="0"/>
            </w:pPr>
            <w:r>
              <w:rPr>
                <w:rFonts w:ascii="Times New Roman" w:hAnsi="Times New Roman"/>
                <w:b/>
                <w:sz w:val="16"/>
              </w:rPr>
              <w:t>Protein</w:t>
            </w:r>
          </w:p>
        </w:tc>
        <w:tc>
          <w:tcPr>
            <w:tcW w:w="1100" w:type="dxa"/>
            <w:shd w:val="clear" w:color="auto" w:fill="E7E6E6"/>
            <w:vAlign w:val="center"/>
          </w:tcPr>
          <w:p w14:paraId="303AC7B7" w14:textId="77777777" w:rsidR="000B62E7" w:rsidRDefault="00A65B0F">
            <w:pPr>
              <w:spacing w:after="0" w:line="240" w:lineRule="auto" w:before="0"/>
            </w:pPr>
            <w:r>
              <w:rPr>
                <w:rFonts w:ascii="Times New Roman" w:hAnsi="Times New Roman"/>
                <w:b/>
                <w:sz w:val="16"/>
              </w:rPr>
              <w:t>PDB/source</w:t>
            </w:r>
          </w:p>
        </w:tc>
        <w:tc>
          <w:tcPr>
            <w:tcW w:w="700" w:type="dxa"/>
            <w:shd w:val="clear" w:color="auto" w:fill="E7E6E6"/>
            <w:vAlign w:val="center"/>
          </w:tcPr>
          <w:p w14:paraId="5A0C7F30" w14:textId="77777777" w:rsidR="000B62E7" w:rsidRDefault="00A65B0F">
            <w:pPr>
              <w:spacing w:after="0" w:line="240" w:lineRule="auto" w:before="0"/>
            </w:pPr>
            <w:r>
              <w:rPr>
                <w:rFonts w:ascii="Times New Roman" w:hAnsi="Times New Roman"/>
                <w:b/>
                <w:sz w:val="16"/>
              </w:rPr>
              <w:t>Panels</w:t>
            </w:r>
          </w:p>
        </w:tc>
        <w:tc>
          <w:tcPr>
            <w:tcW w:w="600" w:type="dxa"/>
            <w:shd w:val="clear" w:color="auto" w:fill="E7E6E6"/>
            <w:vAlign w:val="center"/>
          </w:tcPr>
          <w:p w14:paraId="2C7827C2" w14:textId="77777777" w:rsidR="000B62E7" w:rsidRDefault="00A65B0F">
            <w:pPr>
              <w:spacing w:after="0" w:line="240" w:lineRule="auto" w:before="0"/>
            </w:pPr>
            <w:r>
              <w:rPr>
                <w:rFonts w:ascii="Times New Roman" w:hAnsi="Times New Roman"/>
                <w:b/>
                <w:sz w:val="16"/>
              </w:rPr>
              <w:t>Iter.</w:t>
            </w:r>
          </w:p>
        </w:tc>
        <w:tc>
          <w:tcPr>
            <w:tcW w:w="1200" w:type="dxa"/>
            <w:shd w:val="clear" w:color="auto" w:fill="E7E6E6"/>
            <w:vAlign w:val="center"/>
          </w:tcPr>
          <w:p w14:paraId="189A16B8" w14:textId="77777777" w:rsidR="000B62E7" w:rsidRDefault="00A65B0F">
            <w:pPr>
              <w:spacing w:after="0" w:line="240" w:lineRule="auto" w:before="0"/>
            </w:pPr>
            <w:r>
              <w:rPr>
                <w:rFonts w:ascii="Times New Roman" w:hAnsi="Times New Roman"/>
                <w:b/>
                <w:sz w:val="16"/>
              </w:rPr>
              <w:t>Internal residual</w:t>
            </w:r>
          </w:p>
        </w:tc>
        <w:tc>
          <w:tcPr>
            <w:tcW w:w="1050" w:type="dxa"/>
            <w:shd w:val="clear" w:color="auto" w:fill="E7E6E6"/>
            <w:vAlign w:val="center"/>
          </w:tcPr>
          <w:p w14:paraId="6A665121" w14:textId="77777777" w:rsidR="000B62E7" w:rsidRDefault="00A65B0F">
            <w:pPr>
              <w:spacing w:after="0" w:line="240" w:lineRule="auto" w:before="0"/>
            </w:pPr>
            <w:r>
              <w:rPr>
                <w:rFonts w:ascii="Times New Roman" w:hAnsi="Times New Roman"/>
                <w:b/>
                <w:sz w:val="16"/>
              </w:rPr>
              <w:t>Audit RMS</w:t>
            </w:r>
          </w:p>
        </w:tc>
        <w:tc>
          <w:tcPr>
            <w:tcW w:w="1200" w:type="dxa"/>
            <w:shd w:val="clear" w:color="auto" w:fill="E7E6E6"/>
            <w:vAlign w:val="center"/>
          </w:tcPr>
          <w:p w14:paraId="72435958" w14:textId="77777777" w:rsidR="000B62E7" w:rsidRDefault="00A65B0F">
            <w:pPr>
              <w:spacing w:after="0" w:line="240" w:lineRule="auto" w:before="0"/>
            </w:pPr>
            <w:r>
              <w:rPr>
                <w:rFonts w:ascii="Times New Roman" w:hAnsi="Times New Roman"/>
                <w:b/>
                <w:sz w:val="16"/>
              </w:rPr>
              <w:t>Direct residual</w:t>
            </w:r>
          </w:p>
        </w:tc>
        <w:tc>
          <w:tcPr>
            <w:tcW w:w="700" w:type="dxa"/>
            <w:shd w:val="clear" w:color="auto" w:fill="E7E6E6"/>
            <w:vAlign w:val="center"/>
          </w:tcPr>
          <w:p w14:paraId="1CC77690" w14:textId="77777777" w:rsidR="000B62E7" w:rsidRDefault="00A65B0F">
            <w:pPr>
              <w:spacing w:after="0" w:line="240" w:lineRule="auto" w:before="0"/>
            </w:pPr>
            <w:r>
              <w:rPr>
                <w:rFonts w:ascii="Times New Roman" w:hAnsi="Times New Roman"/>
                <w:b/>
                <w:sz w:val="16"/>
              </w:rPr>
              <w:t>Wall</w:t>
            </w:r>
          </w:p>
        </w:tc>
        <w:tc>
          <w:tcPr>
            <w:tcW w:w="650" w:type="dxa"/>
            <w:shd w:val="clear" w:color="auto" w:fill="E7E6E6"/>
            <w:vAlign w:val="center"/>
          </w:tcPr>
          <w:p w14:paraId="2B1C33E0" w14:textId="77777777" w:rsidR="000B62E7" w:rsidRDefault="00A65B0F">
            <w:pPr>
              <w:spacing w:after="0" w:line="240" w:lineRule="auto" w:before="0"/>
            </w:pPr>
            <w:r>
              <w:rPr>
                <w:rFonts w:ascii="Times New Roman" w:hAnsi="Times New Roman"/>
                <w:b/>
                <w:sz w:val="16"/>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before="0"/>
            </w:pPr>
            <w:r>
              <w:rPr>
                <w:rFonts w:ascii="Times New Roman" w:hAnsi="Times New Roman"/>
                <w:b w:val="0"/>
                <w:sz w:val="16"/>
              </w:rPr>
              <w:t>Barnase</w:t>
            </w:r>
          </w:p>
        </w:tc>
        <w:tc>
          <w:tcPr>
            <w:tcW w:w="1100" w:type="dxa"/>
            <w:vAlign w:val="center"/>
          </w:tcPr>
          <w:p w14:paraId="34C8AEBE" w14:textId="77777777" w:rsidR="000B62E7" w:rsidRDefault="00A65B0F">
            <w:pPr>
              <w:spacing w:after="0" w:line="240" w:lineRule="auto" w:before="0"/>
            </w:pPr>
            <w:r>
              <w:rPr>
                <w:rFonts w:ascii="Times New Roman" w:hAnsi="Times New Roman"/>
                <w:b w:val="0"/>
                <w:sz w:val="16"/>
              </w:rPr>
              <w:t>PyDelPhi benchmark</w:t>
            </w:r>
          </w:p>
        </w:tc>
        <w:tc>
          <w:tcPr>
            <w:tcW w:w="700" w:type="dxa"/>
            <w:vAlign w:val="center"/>
          </w:tcPr>
          <w:p w14:paraId="11E477DB" w14:textId="77777777" w:rsidR="000B62E7" w:rsidRDefault="00A65B0F">
            <w:pPr>
              <w:spacing w:after="0" w:line="240" w:lineRule="auto" w:before="0"/>
            </w:pPr>
            <w:r>
              <w:rPr>
                <w:rFonts w:ascii="Times New Roman" w:hAnsi="Times New Roman"/>
                <w:b w:val="0"/>
                <w:sz w:val="16"/>
              </w:rPr>
              <w:t>14942</w:t>
            </w:r>
          </w:p>
        </w:tc>
        <w:tc>
          <w:tcPr>
            <w:tcW w:w="600" w:type="dxa"/>
            <w:vAlign w:val="center"/>
          </w:tcPr>
          <w:p w14:paraId="04D6D551"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40C24637" w14:textId="77777777" w:rsidR="000B62E7" w:rsidRDefault="00A65B0F">
            <w:pPr>
              <w:spacing w:after="0" w:line="240" w:lineRule="auto" w:before="0"/>
            </w:pPr>
            <w:r>
              <w:rPr>
                <w:rFonts w:ascii="Times New Roman" w:hAnsi="Times New Roman"/>
                <w:b w:val="0"/>
                <w:sz w:val="16"/>
              </w:rPr>
              <w:t>8.579e-13</w:t>
            </w:r>
          </w:p>
        </w:tc>
        <w:tc>
          <w:tcPr>
            <w:tcW w:w="1050" w:type="dxa"/>
            <w:vAlign w:val="center"/>
          </w:tcPr>
          <w:p w14:paraId="780C71E3" w14:textId="77777777" w:rsidR="000B62E7" w:rsidRDefault="00A65B0F">
            <w:pPr>
              <w:spacing w:after="0" w:line="240" w:lineRule="auto" w:before="0"/>
            </w:pPr>
            <w:r>
              <w:rPr>
                <w:rFonts w:ascii="Times New Roman" w:hAnsi="Times New Roman"/>
                <w:b w:val="0"/>
                <w:sz w:val="16"/>
              </w:rPr>
              <w:t>7.647e-05</w:t>
            </w:r>
          </w:p>
        </w:tc>
        <w:tc>
          <w:tcPr>
            <w:tcW w:w="1200" w:type="dxa"/>
            <w:vAlign w:val="center"/>
          </w:tcPr>
          <w:p w14:paraId="1079FD5D" w14:textId="77777777" w:rsidR="000B62E7" w:rsidRDefault="00A65B0F">
            <w:pPr>
              <w:spacing w:after="0" w:line="240" w:lineRule="auto" w:before="0"/>
            </w:pPr>
            <w:r>
              <w:rPr>
                <w:rFonts w:ascii="Times New Roman" w:hAnsi="Times New Roman"/>
                <w:b w:val="0"/>
                <w:sz w:val="16"/>
              </w:rPr>
              <w:t>7.647e-05</w:t>
            </w:r>
          </w:p>
        </w:tc>
        <w:tc>
          <w:tcPr>
            <w:tcW w:w="700" w:type="dxa"/>
            <w:vAlign w:val="center"/>
          </w:tcPr>
          <w:p w14:paraId="32F9A1D7" w14:textId="77777777" w:rsidR="000B62E7" w:rsidRDefault="00A65B0F">
            <w:pPr>
              <w:spacing w:after="0" w:line="240" w:lineRule="auto" w:before="0"/>
            </w:pPr>
            <w:r>
              <w:rPr>
                <w:rFonts w:ascii="Times New Roman" w:hAnsi="Times New Roman"/>
                <w:b w:val="0"/>
                <w:sz w:val="16"/>
              </w:rPr>
              <w:t>245.0 s</w:t>
            </w:r>
          </w:p>
        </w:tc>
        <w:tc>
          <w:tcPr>
            <w:tcW w:w="650" w:type="dxa"/>
            <w:vAlign w:val="center"/>
          </w:tcPr>
          <w:p w14:paraId="2DC292C4" w14:textId="77777777" w:rsidR="000B62E7" w:rsidRDefault="00A65B0F">
            <w:pPr>
              <w:spacing w:after="0" w:line="240" w:lineRule="auto" w:before="0"/>
            </w:pPr>
            <w:r>
              <w:rPr>
                <w:rFonts w:ascii="Times New Roman" w:hAnsi="Times New Roman"/>
                <w:b w:val="0"/>
                <w:sz w:val="16"/>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before="0"/>
            </w:pPr>
            <w:r>
              <w:rPr>
                <w:rFonts w:ascii="Times New Roman" w:hAnsi="Times New Roman"/>
                <w:b w:val="0"/>
                <w:sz w:val="16"/>
              </w:rPr>
              <w:t>RNA-binding domain of E. coli Rho factor</w:t>
            </w:r>
          </w:p>
        </w:tc>
        <w:tc>
          <w:tcPr>
            <w:tcW w:w="1100" w:type="dxa"/>
            <w:vAlign w:val="center"/>
          </w:tcPr>
          <w:p w14:paraId="0C5110AC" w14:textId="77777777" w:rsidR="000B62E7" w:rsidRDefault="00A65B0F">
            <w:pPr>
              <w:spacing w:after="0" w:line="240" w:lineRule="auto" w:before="0"/>
            </w:pPr>
            <w:r>
              <w:rPr>
                <w:rFonts w:ascii="Times New Roman" w:hAnsi="Times New Roman"/>
                <w:b w:val="0"/>
                <w:sz w:val="16"/>
              </w:rPr>
              <w:t>1A63</w:t>
            </w:r>
          </w:p>
        </w:tc>
        <w:tc>
          <w:tcPr>
            <w:tcW w:w="700" w:type="dxa"/>
            <w:vAlign w:val="center"/>
          </w:tcPr>
          <w:p w14:paraId="1CF94817" w14:textId="77777777" w:rsidR="000B62E7" w:rsidRDefault="00A65B0F">
            <w:pPr>
              <w:spacing w:after="0" w:line="240" w:lineRule="auto" w:before="0"/>
            </w:pPr>
            <w:r>
              <w:rPr>
                <w:rFonts w:ascii="Times New Roman" w:hAnsi="Times New Roman"/>
                <w:b w:val="0"/>
                <w:sz w:val="16"/>
              </w:rPr>
              <w:t>17250</w:t>
            </w:r>
          </w:p>
        </w:tc>
        <w:tc>
          <w:tcPr>
            <w:tcW w:w="600" w:type="dxa"/>
            <w:vAlign w:val="center"/>
          </w:tcPr>
          <w:p w14:paraId="224F5746"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58D3E5C1" w14:textId="77777777" w:rsidR="000B62E7" w:rsidRDefault="00A65B0F">
            <w:pPr>
              <w:spacing w:after="0" w:line="240" w:lineRule="auto" w:before="0"/>
            </w:pPr>
            <w:r>
              <w:rPr>
                <w:rFonts w:ascii="Times New Roman" w:hAnsi="Times New Roman"/>
                <w:b w:val="0"/>
                <w:sz w:val="16"/>
              </w:rPr>
              <w:t>1.337e-11</w:t>
            </w:r>
          </w:p>
        </w:tc>
        <w:tc>
          <w:tcPr>
            <w:tcW w:w="1050" w:type="dxa"/>
            <w:vAlign w:val="center"/>
          </w:tcPr>
          <w:p w14:paraId="54220856" w14:textId="77777777" w:rsidR="000B62E7" w:rsidRDefault="00A65B0F">
            <w:pPr>
              <w:spacing w:after="0" w:line="240" w:lineRule="auto" w:before="0"/>
            </w:pPr>
            <w:r>
              <w:rPr>
                <w:rFonts w:ascii="Times New Roman" w:hAnsi="Times New Roman"/>
                <w:b w:val="0"/>
                <w:sz w:val="16"/>
              </w:rPr>
              <w:t>2.534e-03</w:t>
            </w:r>
          </w:p>
        </w:tc>
        <w:tc>
          <w:tcPr>
            <w:tcW w:w="1200" w:type="dxa"/>
            <w:vAlign w:val="center"/>
          </w:tcPr>
          <w:p w14:paraId="38A6A24F" w14:textId="77777777" w:rsidR="000B62E7" w:rsidRDefault="00A65B0F">
            <w:pPr>
              <w:spacing w:after="0" w:line="240" w:lineRule="auto" w:before="0"/>
            </w:pPr>
            <w:r>
              <w:rPr>
                <w:rFonts w:ascii="Times New Roman" w:hAnsi="Times New Roman"/>
                <w:b w:val="0"/>
                <w:sz w:val="16"/>
              </w:rPr>
              <w:t>2.535e-03</w:t>
            </w:r>
          </w:p>
        </w:tc>
        <w:tc>
          <w:tcPr>
            <w:tcW w:w="700" w:type="dxa"/>
            <w:vAlign w:val="center"/>
          </w:tcPr>
          <w:p w14:paraId="6BAD8D15" w14:textId="77777777" w:rsidR="000B62E7" w:rsidRDefault="00A65B0F">
            <w:pPr>
              <w:spacing w:after="0" w:line="240" w:lineRule="auto" w:before="0"/>
            </w:pPr>
            <w:r>
              <w:rPr>
                <w:rFonts w:ascii="Times New Roman" w:hAnsi="Times New Roman"/>
                <w:b w:val="0"/>
                <w:sz w:val="16"/>
              </w:rPr>
              <w:t>312.6 s</w:t>
            </w:r>
          </w:p>
        </w:tc>
        <w:tc>
          <w:tcPr>
            <w:tcW w:w="650" w:type="dxa"/>
            <w:vAlign w:val="center"/>
          </w:tcPr>
          <w:p w14:paraId="7C0A5D67" w14:textId="77777777" w:rsidR="000B62E7" w:rsidRDefault="00A65B0F">
            <w:pPr>
              <w:spacing w:after="0" w:line="240" w:lineRule="auto" w:before="0"/>
            </w:pPr>
            <w:r>
              <w:rPr>
                <w:rFonts w:ascii="Times New Roman" w:hAnsi="Times New Roman"/>
                <w:b w:val="0"/>
                <w:sz w:val="16"/>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before="0"/>
            </w:pPr>
            <w:r>
              <w:rPr>
                <w:rFonts w:ascii="Times New Roman" w:hAnsi="Times New Roman"/>
                <w:b w:val="0"/>
                <w:sz w:val="16"/>
              </w:rPr>
              <w:t>Stichodactyla helianthus neurotoxin I</w:t>
            </w:r>
          </w:p>
        </w:tc>
        <w:tc>
          <w:tcPr>
            <w:tcW w:w="1100" w:type="dxa"/>
            <w:vAlign w:val="center"/>
          </w:tcPr>
          <w:p w14:paraId="435F69C7" w14:textId="77777777" w:rsidR="000B62E7" w:rsidRDefault="00A65B0F">
            <w:pPr>
              <w:spacing w:after="0" w:line="240" w:lineRule="auto" w:before="0"/>
            </w:pPr>
            <w:r>
              <w:rPr>
                <w:rFonts w:ascii="Times New Roman" w:hAnsi="Times New Roman"/>
                <w:b w:val="0"/>
                <w:sz w:val="16"/>
              </w:rPr>
              <w:t>1SH1</w:t>
            </w:r>
          </w:p>
        </w:tc>
        <w:tc>
          <w:tcPr>
            <w:tcW w:w="700" w:type="dxa"/>
            <w:vAlign w:val="center"/>
          </w:tcPr>
          <w:p w14:paraId="3E69DB79" w14:textId="77777777" w:rsidR="000B62E7" w:rsidRDefault="00A65B0F">
            <w:pPr>
              <w:spacing w:after="0" w:line="240" w:lineRule="auto" w:before="0"/>
            </w:pPr>
            <w:r>
              <w:rPr>
                <w:rFonts w:ascii="Times New Roman" w:hAnsi="Times New Roman"/>
                <w:b w:val="0"/>
                <w:sz w:val="16"/>
              </w:rPr>
              <w:t>6673</w:t>
            </w:r>
          </w:p>
        </w:tc>
        <w:tc>
          <w:tcPr>
            <w:tcW w:w="600" w:type="dxa"/>
            <w:vAlign w:val="center"/>
          </w:tcPr>
          <w:p w14:paraId="7E15852C"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1AA2EF7C" w14:textId="77777777" w:rsidR="000B62E7" w:rsidRDefault="00A65B0F">
            <w:pPr>
              <w:spacing w:after="0" w:line="240" w:lineRule="auto" w:before="0"/>
            </w:pPr>
            <w:r>
              <w:rPr>
                <w:rFonts w:ascii="Times New Roman" w:hAnsi="Times New Roman"/>
                <w:b w:val="0"/>
                <w:sz w:val="16"/>
              </w:rPr>
              <w:t>1.164e-14</w:t>
            </w:r>
          </w:p>
        </w:tc>
        <w:tc>
          <w:tcPr>
            <w:tcW w:w="1050" w:type="dxa"/>
            <w:vAlign w:val="center"/>
          </w:tcPr>
          <w:p w14:paraId="77CA1D51" w14:textId="77777777" w:rsidR="000B62E7" w:rsidRDefault="00A65B0F">
            <w:pPr>
              <w:spacing w:after="0" w:line="240" w:lineRule="auto" w:before="0"/>
            </w:pPr>
            <w:r>
              <w:rPr>
                <w:rFonts w:ascii="Times New Roman" w:hAnsi="Times New Roman"/>
                <w:b w:val="0"/>
                <w:sz w:val="16"/>
              </w:rPr>
              <w:t>5.519e-06</w:t>
            </w:r>
          </w:p>
        </w:tc>
        <w:tc>
          <w:tcPr>
            <w:tcW w:w="1200" w:type="dxa"/>
            <w:vAlign w:val="center"/>
          </w:tcPr>
          <w:p w14:paraId="1FD3B240" w14:textId="77777777" w:rsidR="000B62E7" w:rsidRDefault="00A65B0F">
            <w:pPr>
              <w:spacing w:after="0" w:line="240" w:lineRule="auto" w:before="0"/>
            </w:pPr>
            <w:r>
              <w:rPr>
                <w:rFonts w:ascii="Times New Roman" w:hAnsi="Times New Roman"/>
                <w:b w:val="0"/>
                <w:sz w:val="16"/>
              </w:rPr>
              <w:t>5.519e-06</w:t>
            </w:r>
          </w:p>
        </w:tc>
        <w:tc>
          <w:tcPr>
            <w:tcW w:w="700" w:type="dxa"/>
            <w:vAlign w:val="center"/>
          </w:tcPr>
          <w:p w14:paraId="176A049D" w14:textId="77777777" w:rsidR="000B62E7" w:rsidRDefault="00A65B0F">
            <w:pPr>
              <w:spacing w:after="0" w:line="240" w:lineRule="auto" w:before="0"/>
            </w:pPr>
            <w:r>
              <w:rPr>
                <w:rFonts w:ascii="Times New Roman" w:hAnsi="Times New Roman"/>
                <w:b w:val="0"/>
                <w:sz w:val="16"/>
              </w:rPr>
              <w:t>57.0 s</w:t>
            </w:r>
          </w:p>
        </w:tc>
        <w:tc>
          <w:tcPr>
            <w:tcW w:w="650" w:type="dxa"/>
            <w:vAlign w:val="center"/>
          </w:tcPr>
          <w:p w14:paraId="593FB9D3" w14:textId="77777777" w:rsidR="000B62E7" w:rsidRDefault="00A65B0F">
            <w:pPr>
              <w:spacing w:after="0" w:line="240" w:lineRule="auto" w:before="0"/>
            </w:pPr>
            <w:r>
              <w:rPr>
                <w:rFonts w:ascii="Times New Roman" w:hAnsi="Times New Roman"/>
                <w:b w:val="0"/>
                <w:sz w:val="16"/>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before="0"/>
            </w:pPr>
            <w:r>
              <w:rPr>
                <w:rFonts w:ascii="Times New Roman" w:hAnsi="Times New Roman"/>
                <w:b w:val="0"/>
                <w:sz w:val="16"/>
              </w:rPr>
              <w:t>Ubiquitin</w:t>
            </w:r>
          </w:p>
        </w:tc>
        <w:tc>
          <w:tcPr>
            <w:tcW w:w="1100" w:type="dxa"/>
            <w:vAlign w:val="center"/>
          </w:tcPr>
          <w:p w14:paraId="40BE4AC7" w14:textId="77777777" w:rsidR="000B62E7" w:rsidRDefault="00A65B0F">
            <w:pPr>
              <w:spacing w:after="0" w:line="240" w:lineRule="auto" w:before="0"/>
            </w:pPr>
            <w:r>
              <w:rPr>
                <w:rFonts w:ascii="Times New Roman" w:hAnsi="Times New Roman"/>
                <w:b w:val="0"/>
                <w:sz w:val="16"/>
              </w:rPr>
              <w:t>1UBQ</w:t>
            </w:r>
          </w:p>
        </w:tc>
        <w:tc>
          <w:tcPr>
            <w:tcW w:w="700" w:type="dxa"/>
            <w:vAlign w:val="center"/>
          </w:tcPr>
          <w:p w14:paraId="5F47855D" w14:textId="77777777" w:rsidR="000B62E7" w:rsidRDefault="00A65B0F">
            <w:pPr>
              <w:spacing w:after="0" w:line="240" w:lineRule="auto" w:before="0"/>
            </w:pPr>
            <w:r>
              <w:rPr>
                <w:rFonts w:ascii="Times New Roman" w:hAnsi="Times New Roman"/>
                <w:b w:val="0"/>
                <w:sz w:val="16"/>
              </w:rPr>
              <w:t>11242</w:t>
            </w:r>
          </w:p>
        </w:tc>
        <w:tc>
          <w:tcPr>
            <w:tcW w:w="600" w:type="dxa"/>
            <w:vAlign w:val="center"/>
          </w:tcPr>
          <w:p w14:paraId="55D42F27"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4821DA5D" w14:textId="77777777" w:rsidR="000B62E7" w:rsidRDefault="00A65B0F">
            <w:pPr>
              <w:spacing w:after="0" w:line="240" w:lineRule="auto" w:before="0"/>
            </w:pPr>
            <w:r>
              <w:rPr>
                <w:rFonts w:ascii="Times New Roman" w:hAnsi="Times New Roman"/>
                <w:b w:val="0"/>
                <w:sz w:val="16"/>
              </w:rPr>
              <w:t>2.719e-13</w:t>
            </w:r>
          </w:p>
        </w:tc>
        <w:tc>
          <w:tcPr>
            <w:tcW w:w="1050" w:type="dxa"/>
            <w:vAlign w:val="center"/>
          </w:tcPr>
          <w:p w14:paraId="55C2EA8A" w14:textId="77777777" w:rsidR="000B62E7" w:rsidRDefault="00A65B0F">
            <w:pPr>
              <w:spacing w:after="0" w:line="240" w:lineRule="auto" w:before="0"/>
            </w:pPr>
            <w:r>
              <w:rPr>
                <w:rFonts w:ascii="Times New Roman" w:hAnsi="Times New Roman"/>
                <w:b w:val="0"/>
                <w:sz w:val="16"/>
              </w:rPr>
              <w:t>1.440e-05</w:t>
            </w:r>
          </w:p>
        </w:tc>
        <w:tc>
          <w:tcPr>
            <w:tcW w:w="1200" w:type="dxa"/>
            <w:vAlign w:val="center"/>
          </w:tcPr>
          <w:p w14:paraId="31AC9849" w14:textId="77777777" w:rsidR="000B62E7" w:rsidRDefault="00A65B0F">
            <w:pPr>
              <w:spacing w:after="0" w:line="240" w:lineRule="auto" w:before="0"/>
            </w:pPr>
            <w:r>
              <w:rPr>
                <w:rFonts w:ascii="Times New Roman" w:hAnsi="Times New Roman"/>
                <w:b w:val="0"/>
                <w:sz w:val="16"/>
              </w:rPr>
              <w:t>1.440e-05</w:t>
            </w:r>
          </w:p>
        </w:tc>
        <w:tc>
          <w:tcPr>
            <w:tcW w:w="700" w:type="dxa"/>
            <w:vAlign w:val="center"/>
          </w:tcPr>
          <w:p w14:paraId="455AEE6D" w14:textId="77777777" w:rsidR="000B62E7" w:rsidRDefault="00A65B0F">
            <w:pPr>
              <w:spacing w:after="0" w:line="240" w:lineRule="auto" w:before="0"/>
            </w:pPr>
            <w:r>
              <w:rPr>
                <w:rFonts w:ascii="Times New Roman" w:hAnsi="Times New Roman"/>
                <w:b w:val="0"/>
                <w:sz w:val="16"/>
              </w:rPr>
              <w:t>154.9 s</w:t>
            </w:r>
          </w:p>
        </w:tc>
        <w:tc>
          <w:tcPr>
            <w:tcW w:w="650" w:type="dxa"/>
            <w:vAlign w:val="center"/>
          </w:tcPr>
          <w:p w14:paraId="4C79B77E" w14:textId="77777777" w:rsidR="000B62E7" w:rsidRDefault="00A65B0F">
            <w:pPr>
              <w:spacing w:after="0" w:line="240" w:lineRule="auto" w:before="0"/>
            </w:pPr>
            <w:r>
              <w:rPr>
                <w:rFonts w:ascii="Times New Roman" w:hAnsi="Times New Roman"/>
                <w:b w:val="0"/>
                <w:sz w:val="16"/>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before="0"/>
            </w:pPr>
            <w:r>
              <w:rPr>
                <w:rFonts w:ascii="Times New Roman" w:hAnsi="Times New Roman"/>
                <w:b w:val="0"/>
                <w:sz w:val="16"/>
              </w:rPr>
              <w:t>Chymotrypsin inhibitor 2</w:t>
            </w:r>
          </w:p>
        </w:tc>
        <w:tc>
          <w:tcPr>
            <w:tcW w:w="1100" w:type="dxa"/>
            <w:vAlign w:val="center"/>
          </w:tcPr>
          <w:p w14:paraId="13F477CF" w14:textId="77777777" w:rsidR="000B62E7" w:rsidRDefault="00A65B0F">
            <w:pPr>
              <w:spacing w:after="0" w:line="240" w:lineRule="auto" w:before="0"/>
            </w:pPr>
            <w:r>
              <w:rPr>
                <w:rFonts w:ascii="Times New Roman" w:hAnsi="Times New Roman"/>
                <w:b w:val="0"/>
                <w:sz w:val="16"/>
              </w:rPr>
              <w:t>2CI2</w:t>
            </w:r>
          </w:p>
        </w:tc>
        <w:tc>
          <w:tcPr>
            <w:tcW w:w="700" w:type="dxa"/>
            <w:vAlign w:val="center"/>
          </w:tcPr>
          <w:p w14:paraId="24A4EECE" w14:textId="77777777" w:rsidR="000B62E7" w:rsidRDefault="00A65B0F">
            <w:pPr>
              <w:spacing w:after="0" w:line="240" w:lineRule="auto" w:before="0"/>
            </w:pPr>
            <w:r>
              <w:rPr>
                <w:rFonts w:ascii="Times New Roman" w:hAnsi="Times New Roman"/>
                <w:b w:val="0"/>
                <w:sz w:val="16"/>
              </w:rPr>
              <w:t>9889</w:t>
            </w:r>
          </w:p>
        </w:tc>
        <w:tc>
          <w:tcPr>
            <w:tcW w:w="600" w:type="dxa"/>
            <w:vAlign w:val="center"/>
          </w:tcPr>
          <w:p w14:paraId="666A2DEC"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1270B5D1" w14:textId="77777777" w:rsidR="000B62E7" w:rsidRDefault="00A65B0F">
            <w:pPr>
              <w:spacing w:after="0" w:line="240" w:lineRule="auto" w:before="0"/>
            </w:pPr>
            <w:r>
              <w:rPr>
                <w:rFonts w:ascii="Times New Roman" w:hAnsi="Times New Roman"/>
                <w:b w:val="0"/>
                <w:sz w:val="16"/>
              </w:rPr>
              <w:t>5.964e-14</w:t>
            </w:r>
          </w:p>
        </w:tc>
        <w:tc>
          <w:tcPr>
            <w:tcW w:w="1050" w:type="dxa"/>
            <w:vAlign w:val="center"/>
          </w:tcPr>
          <w:p w14:paraId="08FBC8CE" w14:textId="77777777" w:rsidR="000B62E7" w:rsidRDefault="00A65B0F">
            <w:pPr>
              <w:spacing w:after="0" w:line="240" w:lineRule="auto" w:before="0"/>
            </w:pPr>
            <w:r>
              <w:rPr>
                <w:rFonts w:ascii="Times New Roman" w:hAnsi="Times New Roman"/>
                <w:b w:val="0"/>
                <w:sz w:val="16"/>
              </w:rPr>
              <w:t>8.022e-06</w:t>
            </w:r>
          </w:p>
        </w:tc>
        <w:tc>
          <w:tcPr>
            <w:tcW w:w="1200" w:type="dxa"/>
            <w:vAlign w:val="center"/>
          </w:tcPr>
          <w:p w14:paraId="3E532AF4" w14:textId="77777777" w:rsidR="000B62E7" w:rsidRDefault="00A65B0F">
            <w:pPr>
              <w:spacing w:after="0" w:line="240" w:lineRule="auto" w:before="0"/>
            </w:pPr>
            <w:r>
              <w:rPr>
                <w:rFonts w:ascii="Times New Roman" w:hAnsi="Times New Roman"/>
                <w:b w:val="0"/>
                <w:sz w:val="16"/>
              </w:rPr>
              <w:t>8.022e-06</w:t>
            </w:r>
          </w:p>
        </w:tc>
        <w:tc>
          <w:tcPr>
            <w:tcW w:w="700" w:type="dxa"/>
            <w:vAlign w:val="center"/>
          </w:tcPr>
          <w:p w14:paraId="17A39B40" w14:textId="77777777" w:rsidR="000B62E7" w:rsidRDefault="00A65B0F">
            <w:pPr>
              <w:spacing w:after="0" w:line="240" w:lineRule="auto" w:before="0"/>
            </w:pPr>
            <w:r>
              <w:rPr>
                <w:rFonts w:ascii="Times New Roman" w:hAnsi="Times New Roman"/>
                <w:b w:val="0"/>
                <w:sz w:val="16"/>
              </w:rPr>
              <w:t>126.3 s</w:t>
            </w:r>
          </w:p>
        </w:tc>
        <w:tc>
          <w:tcPr>
            <w:tcW w:w="650" w:type="dxa"/>
            <w:vAlign w:val="center"/>
          </w:tcPr>
          <w:p w14:paraId="7A879A19" w14:textId="77777777" w:rsidR="000B62E7" w:rsidRDefault="00A65B0F">
            <w:pPr>
              <w:spacing w:after="0" w:line="240" w:lineRule="auto" w:before="0"/>
            </w:pPr>
            <w:r>
              <w:rPr>
                <w:rFonts w:ascii="Times New Roman" w:hAnsi="Times New Roman"/>
                <w:b w:val="0"/>
                <w:sz w:val="16"/>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before="0"/>
            </w:pPr>
            <w:r>
              <w:rPr>
                <w:rFonts w:ascii="Times New Roman" w:hAnsi="Times New Roman"/>
                <w:b w:val="0"/>
                <w:sz w:val="16"/>
              </w:rPr>
              <w:t>Villin headpiece subdomain</w:t>
            </w:r>
          </w:p>
        </w:tc>
        <w:tc>
          <w:tcPr>
            <w:tcW w:w="1100" w:type="dxa"/>
            <w:vAlign w:val="center"/>
          </w:tcPr>
          <w:p w14:paraId="27BAFD1F" w14:textId="77777777" w:rsidR="000B62E7" w:rsidRDefault="00A65B0F">
            <w:pPr>
              <w:spacing w:after="0" w:line="240" w:lineRule="auto" w:before="0"/>
            </w:pPr>
            <w:r>
              <w:rPr>
                <w:rFonts w:ascii="Times New Roman" w:hAnsi="Times New Roman"/>
                <w:b w:val="0"/>
                <w:sz w:val="16"/>
              </w:rPr>
              <w:t>1VII</w:t>
            </w:r>
          </w:p>
        </w:tc>
        <w:tc>
          <w:tcPr>
            <w:tcW w:w="700" w:type="dxa"/>
            <w:vAlign w:val="center"/>
          </w:tcPr>
          <w:p w14:paraId="4B8D4449" w14:textId="77777777" w:rsidR="000B62E7" w:rsidRDefault="00A65B0F">
            <w:pPr>
              <w:spacing w:after="0" w:line="240" w:lineRule="auto" w:before="0"/>
            </w:pPr>
            <w:r>
              <w:rPr>
                <w:rFonts w:ascii="Times New Roman" w:hAnsi="Times New Roman"/>
                <w:b w:val="0"/>
                <w:sz w:val="16"/>
              </w:rPr>
              <w:t>5032</w:t>
            </w:r>
          </w:p>
        </w:tc>
        <w:tc>
          <w:tcPr>
            <w:tcW w:w="600" w:type="dxa"/>
            <w:vAlign w:val="center"/>
          </w:tcPr>
          <w:p w14:paraId="05817CF0"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53A2C38D" w14:textId="77777777" w:rsidR="000B62E7" w:rsidRDefault="00A65B0F">
            <w:pPr>
              <w:spacing w:after="0" w:line="240" w:lineRule="auto" w:before="0"/>
            </w:pPr>
            <w:r>
              <w:rPr>
                <w:rFonts w:ascii="Times New Roman" w:hAnsi="Times New Roman"/>
                <w:b w:val="0"/>
                <w:sz w:val="16"/>
              </w:rPr>
              <w:t>7.353e-13</w:t>
            </w:r>
          </w:p>
        </w:tc>
        <w:tc>
          <w:tcPr>
            <w:tcW w:w="1050" w:type="dxa"/>
            <w:vAlign w:val="center"/>
          </w:tcPr>
          <w:p w14:paraId="2634D330" w14:textId="77777777" w:rsidR="000B62E7" w:rsidRDefault="00A65B0F">
            <w:pPr>
              <w:spacing w:after="0" w:line="240" w:lineRule="auto" w:before="0"/>
            </w:pPr>
            <w:r>
              <w:rPr>
                <w:rFonts w:ascii="Times New Roman" w:hAnsi="Times New Roman"/>
                <w:b w:val="0"/>
                <w:sz w:val="16"/>
              </w:rPr>
              <w:t>5.357e-06</w:t>
            </w:r>
          </w:p>
        </w:tc>
        <w:tc>
          <w:tcPr>
            <w:tcW w:w="1200" w:type="dxa"/>
            <w:vAlign w:val="center"/>
          </w:tcPr>
          <w:p w14:paraId="53969F8B" w14:textId="77777777" w:rsidR="000B62E7" w:rsidRDefault="00A65B0F">
            <w:pPr>
              <w:spacing w:after="0" w:line="240" w:lineRule="auto" w:before="0"/>
            </w:pPr>
            <w:r>
              <w:rPr>
                <w:rFonts w:ascii="Times New Roman" w:hAnsi="Times New Roman"/>
                <w:b w:val="0"/>
                <w:sz w:val="16"/>
              </w:rPr>
              <w:t>5.357e-06</w:t>
            </w:r>
          </w:p>
        </w:tc>
        <w:tc>
          <w:tcPr>
            <w:tcW w:w="700" w:type="dxa"/>
            <w:vAlign w:val="center"/>
          </w:tcPr>
          <w:p w14:paraId="54737FCC" w14:textId="77777777" w:rsidR="000B62E7" w:rsidRDefault="00A65B0F">
            <w:pPr>
              <w:spacing w:after="0" w:line="240" w:lineRule="auto" w:before="0"/>
            </w:pPr>
            <w:r>
              <w:rPr>
                <w:rFonts w:ascii="Times New Roman" w:hAnsi="Times New Roman"/>
                <w:b w:val="0"/>
                <w:sz w:val="16"/>
              </w:rPr>
              <w:t>37.4 s</w:t>
            </w:r>
          </w:p>
        </w:tc>
        <w:tc>
          <w:tcPr>
            <w:tcW w:w="650" w:type="dxa"/>
            <w:vAlign w:val="center"/>
          </w:tcPr>
          <w:p w14:paraId="6DFA88F4" w14:textId="77777777" w:rsidR="000B62E7" w:rsidRDefault="00A65B0F">
            <w:pPr>
              <w:spacing w:after="0" w:line="240" w:lineRule="auto" w:before="0"/>
            </w:pPr>
            <w:r>
              <w:rPr>
                <w:rFonts w:ascii="Times New Roman" w:hAnsi="Times New Roman"/>
                <w:b w:val="0"/>
                <w:sz w:val="16"/>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locked full-protein panel.</w:t>
      </w:r>
    </w:p>
    <w:tbl>
      <w:tblPr>
        <w:tblStyle w:val="TableGrid"/>
        <w:tblW w:w="10050" w:type="dxa"/>
        <w:jc w:val="center"/>
        <w:tblLayout w:type="fixed"/>
        <w:tblLook w:val="04A0" w:firstRow="1" w:lastRow="0" w:firstColumn="1" w:lastColumn="0" w:noHBand="0" w:noVBand="1"/>
      </w:tblPr>
      <w:tblGrid>
        <w:gridCol w:w="2400"/>
        <w:gridCol w:w="1100"/>
        <w:gridCol w:w="900"/>
        <w:gridCol w:w="1100"/>
        <w:gridCol w:w="1050"/>
        <w:gridCol w:w="1450"/>
        <w:gridCol w:w="1150"/>
        <w:gridCol w:w="90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before="0"/>
            </w:pPr>
            <w:r>
              <w:rPr>
                <w:rFonts w:ascii="Times New Roman" w:hAnsi="Times New Roman"/>
                <w:b/>
                <w:sz w:val="16"/>
              </w:rPr>
              <w:t>Protein</w:t>
            </w:r>
          </w:p>
        </w:tc>
        <w:tc>
          <w:tcPr>
            <w:tcW w:w="1100" w:type="dxa"/>
            <w:shd w:val="clear" w:color="auto" w:fill="E7E6E6"/>
            <w:vAlign w:val="center"/>
          </w:tcPr>
          <w:p w14:paraId="7C75105B" w14:textId="77777777" w:rsidR="000B62E7" w:rsidRDefault="00A65B0F">
            <w:pPr>
              <w:spacing w:after="0" w:line="240" w:lineRule="auto" w:before="0"/>
            </w:pPr>
            <w:r>
              <w:rPr>
                <w:rFonts w:ascii="Times New Roman" w:hAnsi="Times New Roman"/>
                <w:b/>
                <w:sz w:val="16"/>
              </w:rPr>
              <w:t>PDB/source</w:t>
            </w:r>
          </w:p>
        </w:tc>
        <w:tc>
          <w:tcPr>
            <w:tcW w:w="900" w:type="dxa"/>
            <w:shd w:val="clear" w:color="auto" w:fill="E7E6E6"/>
            <w:vAlign w:val="center"/>
          </w:tcPr>
          <w:p w14:paraId="32016061" w14:textId="77777777" w:rsidR="000B62E7" w:rsidRDefault="00A65B0F">
            <w:pPr>
              <w:spacing w:after="0" w:line="240" w:lineRule="auto" w:before="0"/>
            </w:pPr>
            <w:r>
              <w:rPr>
                <w:rFonts w:ascii="Times New Roman" w:hAnsi="Times New Roman"/>
                <w:b/>
                <w:sz w:val="16"/>
              </w:rPr>
              <w:t>Panels</w:t>
            </w:r>
          </w:p>
        </w:tc>
        <w:tc>
          <w:tcPr>
            <w:tcW w:w="1100" w:type="dxa"/>
            <w:shd w:val="clear" w:color="auto" w:fill="E7E6E6"/>
            <w:vAlign w:val="center"/>
          </w:tcPr>
          <w:p w14:paraId="79DB43AC" w14:textId="77777777" w:rsidR="000B62E7" w:rsidRDefault="00A65B0F">
            <w:pPr>
              <w:spacing w:after="0" w:line="240" w:lineRule="auto" w:before="0"/>
            </w:pPr>
            <w:r>
              <w:rPr>
                <w:rFonts w:ascii="Times New Roman" w:hAnsi="Times New Roman"/>
                <w:b/>
                <w:sz w:val="16"/>
              </w:rPr>
              <w:t>Energy</w:t>
            </w:r>
          </w:p>
        </w:tc>
        <w:tc>
          <w:tcPr>
            <w:tcW w:w="1050" w:type="dxa"/>
            <w:shd w:val="clear" w:color="auto" w:fill="E7E6E6"/>
            <w:vAlign w:val="center"/>
          </w:tcPr>
          <w:p w14:paraId="6BC026E7" w14:textId="77777777" w:rsidR="000B62E7" w:rsidRDefault="00A65B0F">
            <w:pPr>
              <w:spacing w:after="0" w:line="240" w:lineRule="auto" w:before="0"/>
            </w:pPr>
            <w:r>
              <w:rPr>
                <w:rFonts w:ascii="Times New Roman" w:hAnsi="Times New Roman"/>
                <w:b/>
                <w:sz w:val="16"/>
              </w:rPr>
              <w:t>Audit max</w:t>
            </w:r>
          </w:p>
        </w:tc>
        <w:tc>
          <w:tcPr>
            <w:tcW w:w="1450" w:type="dxa"/>
            <w:shd w:val="clear" w:color="auto" w:fill="E7E6E6"/>
            <w:vAlign w:val="center"/>
          </w:tcPr>
          <w:p w14:paraId="45A14ADA" w14:textId="77777777" w:rsidR="000B62E7" w:rsidRDefault="00A65B0F">
            <w:pPr>
              <w:spacing w:after="0" w:line="240" w:lineRule="auto" w:before="0"/>
            </w:pPr>
            <w:r>
              <w:rPr>
                <w:rFonts w:ascii="Times New Roman" w:hAnsi="Times New Roman"/>
                <w:b/>
                <w:sz w:val="16"/>
              </w:rPr>
              <w:t>Direct residual max</w:t>
            </w:r>
          </w:p>
        </w:tc>
        <w:tc>
          <w:tcPr>
            <w:tcW w:w="1150" w:type="dxa"/>
            <w:shd w:val="clear" w:color="auto" w:fill="E7E6E6"/>
            <w:vAlign w:val="center"/>
          </w:tcPr>
          <w:p w14:paraId="57C16C6E" w14:textId="77777777" w:rsidR="000B62E7" w:rsidRDefault="00A65B0F">
            <w:pPr>
              <w:spacing w:after="0" w:line="240" w:lineRule="auto" w:before="0"/>
            </w:pPr>
            <w:r>
              <w:rPr>
                <w:rFonts w:ascii="Times New Roman" w:hAnsi="Times New Roman"/>
                <w:b/>
                <w:sz w:val="16"/>
              </w:rPr>
              <w:t>Energy spread</w:t>
            </w:r>
          </w:p>
        </w:tc>
        <w:tc>
          <w:tcPr>
            <w:tcW w:w="900" w:type="dxa"/>
            <w:shd w:val="clear" w:color="auto" w:fill="E7E6E6"/>
            <w:vAlign w:val="center"/>
          </w:tcPr>
          <w:p w14:paraId="32698CA2" w14:textId="77777777" w:rsidR="000B62E7" w:rsidRDefault="00A65B0F">
            <w:pPr>
              <w:spacing w:after="0" w:line="240" w:lineRule="auto" w:before="0"/>
            </w:pPr>
            <w:r>
              <w:rPr>
                <w:rFonts w:ascii="Times New Roman" w:hAnsi="Times New Roman"/>
                <w:b/>
                <w:sz w:val="16"/>
              </w:rPr>
              <w:t>p4/deg1</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before="0"/>
            </w:pPr>
            <w:r>
              <w:rPr>
                <w:rFonts w:ascii="Times New Roman" w:hAnsi="Times New Roman"/>
                <w:b w:val="0"/>
                <w:sz w:val="16"/>
              </w:rPr>
              <w:t>Barnase</w:t>
            </w:r>
          </w:p>
        </w:tc>
        <w:tc>
          <w:tcPr>
            <w:tcW w:w="1100" w:type="dxa"/>
            <w:vAlign w:val="center"/>
          </w:tcPr>
          <w:p w14:paraId="308A9E9D" w14:textId="77777777" w:rsidR="000B62E7" w:rsidRDefault="00A65B0F">
            <w:pPr>
              <w:spacing w:after="0" w:line="240" w:lineRule="auto" w:before="0"/>
            </w:pPr>
            <w:r>
              <w:rPr>
                <w:rFonts w:ascii="Times New Roman" w:hAnsi="Times New Roman"/>
                <w:b w:val="0"/>
                <w:sz w:val="16"/>
              </w:rPr>
              <w:t>PyDelPhi benchmark</w:t>
            </w:r>
          </w:p>
        </w:tc>
        <w:tc>
          <w:tcPr>
            <w:tcW w:w="900" w:type="dxa"/>
            <w:vAlign w:val="center"/>
          </w:tcPr>
          <w:p w14:paraId="50F3C5AD" w14:textId="77777777" w:rsidR="000B62E7" w:rsidRDefault="00A65B0F">
            <w:pPr>
              <w:spacing w:after="0" w:line="240" w:lineRule="auto" w:before="0"/>
            </w:pPr>
            <w:r>
              <w:rPr>
                <w:rFonts w:ascii="Times New Roman" w:hAnsi="Times New Roman"/>
                <w:b w:val="0"/>
                <w:sz w:val="16"/>
              </w:rPr>
              <w:t>14942</w:t>
            </w:r>
          </w:p>
        </w:tc>
        <w:tc>
          <w:tcPr>
            <w:tcW w:w="1100" w:type="dxa"/>
            <w:vAlign w:val="center"/>
          </w:tcPr>
          <w:p w14:paraId="32F3531E" w14:textId="77777777" w:rsidR="000B62E7" w:rsidRDefault="00A65B0F">
            <w:pPr>
              <w:spacing w:after="0" w:line="240" w:lineRule="auto" w:before="0"/>
            </w:pPr>
            <w:r>
              <w:rPr>
                <w:rFonts w:ascii="Times New Roman" w:hAnsi="Times New Roman"/>
                <w:b w:val="0"/>
                <w:sz w:val="16"/>
              </w:rPr>
              <w:t>-21030.83</w:t>
            </w:r>
          </w:p>
        </w:tc>
        <w:tc>
          <w:tcPr>
            <w:tcW w:w="1050" w:type="dxa"/>
            <w:vAlign w:val="center"/>
          </w:tcPr>
          <w:p w14:paraId="3BC87480" w14:textId="77777777" w:rsidR="000B62E7" w:rsidRDefault="00A65B0F">
            <w:pPr>
              <w:spacing w:after="0" w:line="240" w:lineRule="auto" w:before="0"/>
            </w:pPr>
            <w:r>
              <w:rPr>
                <w:rFonts w:ascii="Times New Roman" w:hAnsi="Times New Roman"/>
                <w:b w:val="0"/>
                <w:sz w:val="16"/>
              </w:rPr>
              <w:t>6.383e-05</w:t>
            </w:r>
          </w:p>
        </w:tc>
        <w:tc>
          <w:tcPr>
            <w:tcW w:w="1450" w:type="dxa"/>
            <w:vAlign w:val="center"/>
          </w:tcPr>
          <w:p w14:paraId="142A1ABC" w14:textId="77777777" w:rsidR="000B62E7" w:rsidRDefault="00A65B0F">
            <w:pPr>
              <w:spacing w:after="0" w:line="240" w:lineRule="auto" w:before="0"/>
            </w:pPr>
            <w:r>
              <w:rPr>
                <w:rFonts w:ascii="Times New Roman" w:hAnsi="Times New Roman"/>
                <w:b w:val="0"/>
                <w:sz w:val="16"/>
              </w:rPr>
              <w:t>6.383e-05</w:t>
            </w:r>
          </w:p>
        </w:tc>
        <w:tc>
          <w:tcPr>
            <w:tcW w:w="1150" w:type="dxa"/>
            <w:vAlign w:val="center"/>
          </w:tcPr>
          <w:p w14:paraId="2E5055AC" w14:textId="77777777" w:rsidR="000B62E7" w:rsidRDefault="00A65B0F">
            <w:pPr>
              <w:spacing w:after="0" w:line="240" w:lineRule="auto" w:before="0"/>
            </w:pPr>
            <w:r>
              <w:rPr>
                <w:rFonts w:ascii="Times New Roman" w:hAnsi="Times New Roman"/>
                <w:b w:val="0"/>
                <w:sz w:val="16"/>
              </w:rPr>
              <w:t>0.000</w:t>
            </w:r>
          </w:p>
        </w:tc>
        <w:tc>
          <w:tcPr>
            <w:tcW w:w="900" w:type="dxa"/>
            <w:vAlign w:val="center"/>
          </w:tcPr>
          <w:p w14:paraId="5AF363E0" w14:textId="77777777" w:rsidR="000B62E7" w:rsidRDefault="00A65B0F">
            <w:pPr>
              <w:spacing w:after="0" w:line="240" w:lineRule="auto" w:before="0"/>
            </w:pPr>
            <w:r>
              <w:rPr>
                <w:rFonts w:ascii="Times New Roman" w:hAnsi="Times New Roman"/>
                <w:b w:val="0"/>
                <w:sz w:val="16"/>
              </w:rPr>
              <w:t>0.450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before="0"/>
            </w:pPr>
            <w:r>
              <w:rPr>
                <w:rFonts w:ascii="Times New Roman" w:hAnsi="Times New Roman"/>
                <w:b w:val="0"/>
                <w:sz w:val="16"/>
              </w:rPr>
              <w:t>RNA-binding domain of E. coli Rho factor</w:t>
            </w:r>
          </w:p>
        </w:tc>
        <w:tc>
          <w:tcPr>
            <w:tcW w:w="1100" w:type="dxa"/>
            <w:vAlign w:val="center"/>
          </w:tcPr>
          <w:p w14:paraId="45397A89" w14:textId="77777777" w:rsidR="000B62E7" w:rsidRDefault="00A65B0F">
            <w:pPr>
              <w:spacing w:after="0" w:line="240" w:lineRule="auto" w:before="0"/>
            </w:pPr>
            <w:r>
              <w:rPr>
                <w:rFonts w:ascii="Times New Roman" w:hAnsi="Times New Roman"/>
                <w:b w:val="0"/>
                <w:sz w:val="16"/>
              </w:rPr>
              <w:t>1A63</w:t>
            </w:r>
          </w:p>
        </w:tc>
        <w:tc>
          <w:tcPr>
            <w:tcW w:w="900" w:type="dxa"/>
            <w:vAlign w:val="center"/>
          </w:tcPr>
          <w:p w14:paraId="491EA872" w14:textId="77777777" w:rsidR="000B62E7" w:rsidRDefault="00A65B0F">
            <w:pPr>
              <w:spacing w:after="0" w:line="240" w:lineRule="auto" w:before="0"/>
            </w:pPr>
            <w:r>
              <w:rPr>
                <w:rFonts w:ascii="Times New Roman" w:hAnsi="Times New Roman"/>
                <w:b w:val="0"/>
                <w:sz w:val="16"/>
              </w:rPr>
              <w:t>17250</w:t>
            </w:r>
          </w:p>
        </w:tc>
        <w:tc>
          <w:tcPr>
            <w:tcW w:w="1100" w:type="dxa"/>
            <w:vAlign w:val="center"/>
          </w:tcPr>
          <w:p w14:paraId="3830EC9D" w14:textId="77777777" w:rsidR="000B62E7" w:rsidRDefault="00A65B0F">
            <w:pPr>
              <w:spacing w:after="0" w:line="240" w:lineRule="auto" w:before="0"/>
            </w:pPr>
            <w:r>
              <w:rPr>
                <w:rFonts w:ascii="Times New Roman" w:hAnsi="Times New Roman"/>
                <w:b w:val="0"/>
                <w:sz w:val="16"/>
              </w:rPr>
              <w:t>-247716.08</w:t>
            </w:r>
          </w:p>
        </w:tc>
        <w:tc>
          <w:tcPr>
            <w:tcW w:w="1050" w:type="dxa"/>
            <w:vAlign w:val="center"/>
          </w:tcPr>
          <w:p w14:paraId="47F21CA6" w14:textId="77777777" w:rsidR="000B62E7" w:rsidRDefault="00A65B0F">
            <w:pPr>
              <w:spacing w:after="0" w:line="240" w:lineRule="auto" w:before="0"/>
            </w:pPr>
            <w:r>
              <w:rPr>
                <w:rFonts w:ascii="Times New Roman" w:hAnsi="Times New Roman"/>
                <w:b w:val="0"/>
                <w:sz w:val="16"/>
              </w:rPr>
              <w:t>2.357e-03</w:t>
            </w:r>
          </w:p>
        </w:tc>
        <w:tc>
          <w:tcPr>
            <w:tcW w:w="1450" w:type="dxa"/>
            <w:vAlign w:val="center"/>
          </w:tcPr>
          <w:p w14:paraId="2E41EF70" w14:textId="77777777" w:rsidR="000B62E7" w:rsidRDefault="00A65B0F">
            <w:pPr>
              <w:spacing w:after="0" w:line="240" w:lineRule="auto" w:before="0"/>
            </w:pPr>
            <w:r>
              <w:rPr>
                <w:rFonts w:ascii="Times New Roman" w:hAnsi="Times New Roman"/>
                <w:b w:val="0"/>
                <w:sz w:val="16"/>
              </w:rPr>
              <w:t>2.357e-03</w:t>
            </w:r>
          </w:p>
        </w:tc>
        <w:tc>
          <w:tcPr>
            <w:tcW w:w="1150" w:type="dxa"/>
            <w:vAlign w:val="center"/>
          </w:tcPr>
          <w:p w14:paraId="328B5B14" w14:textId="77777777" w:rsidR="000B62E7" w:rsidRDefault="00A65B0F">
            <w:pPr>
              <w:spacing w:after="0" w:line="240" w:lineRule="auto" w:before="0"/>
            </w:pPr>
            <w:r>
              <w:rPr>
                <w:rFonts w:ascii="Times New Roman" w:hAnsi="Times New Roman"/>
                <w:b w:val="0"/>
                <w:sz w:val="16"/>
              </w:rPr>
              <w:t>0.000</w:t>
            </w:r>
          </w:p>
        </w:tc>
        <w:tc>
          <w:tcPr>
            <w:tcW w:w="900" w:type="dxa"/>
            <w:vAlign w:val="center"/>
          </w:tcPr>
          <w:p w14:paraId="2731DB5E" w14:textId="77777777" w:rsidR="000B62E7" w:rsidRDefault="00A65B0F">
            <w:pPr>
              <w:spacing w:after="0" w:line="240" w:lineRule="auto" w:before="0"/>
            </w:pPr>
            <w:r>
              <w:rPr>
                <w:rFonts w:ascii="Times New Roman" w:hAnsi="Times New Roman"/>
                <w:b w:val="0"/>
                <w:sz w:val="16"/>
              </w:rPr>
              <w:t>0.674</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before="0"/>
            </w:pPr>
            <w:r>
              <w:rPr>
                <w:rFonts w:ascii="Times New Roman" w:hAnsi="Times New Roman"/>
                <w:b w:val="0"/>
                <w:sz w:val="16"/>
              </w:rPr>
              <w:t>Stichodactyla helianthus neurotoxin I</w:t>
            </w:r>
          </w:p>
        </w:tc>
        <w:tc>
          <w:tcPr>
            <w:tcW w:w="1100" w:type="dxa"/>
            <w:vAlign w:val="center"/>
          </w:tcPr>
          <w:p w14:paraId="790F99A7" w14:textId="77777777" w:rsidR="000B62E7" w:rsidRDefault="00A65B0F">
            <w:pPr>
              <w:spacing w:after="0" w:line="240" w:lineRule="auto" w:before="0"/>
            </w:pPr>
            <w:r>
              <w:rPr>
                <w:rFonts w:ascii="Times New Roman" w:hAnsi="Times New Roman"/>
                <w:b w:val="0"/>
                <w:sz w:val="16"/>
              </w:rPr>
              <w:t>1SH1</w:t>
            </w:r>
          </w:p>
        </w:tc>
        <w:tc>
          <w:tcPr>
            <w:tcW w:w="900" w:type="dxa"/>
            <w:vAlign w:val="center"/>
          </w:tcPr>
          <w:p w14:paraId="6686A529" w14:textId="77777777" w:rsidR="000B62E7" w:rsidRDefault="00A65B0F">
            <w:pPr>
              <w:spacing w:after="0" w:line="240" w:lineRule="auto" w:before="0"/>
            </w:pPr>
            <w:r>
              <w:rPr>
                <w:rFonts w:ascii="Times New Roman" w:hAnsi="Times New Roman"/>
                <w:b w:val="0"/>
                <w:sz w:val="16"/>
              </w:rPr>
              <w:t>6673</w:t>
            </w:r>
          </w:p>
        </w:tc>
        <w:tc>
          <w:tcPr>
            <w:tcW w:w="1100" w:type="dxa"/>
            <w:vAlign w:val="center"/>
          </w:tcPr>
          <w:p w14:paraId="567AFBB9" w14:textId="77777777" w:rsidR="000B62E7" w:rsidRDefault="00A65B0F">
            <w:pPr>
              <w:spacing w:after="0" w:line="240" w:lineRule="auto" w:before="0"/>
            </w:pPr>
            <w:r>
              <w:rPr>
                <w:rFonts w:ascii="Times New Roman" w:hAnsi="Times New Roman"/>
                <w:b w:val="0"/>
                <w:sz w:val="16"/>
              </w:rPr>
              <w:t>-4362.07</w:t>
            </w:r>
          </w:p>
        </w:tc>
        <w:tc>
          <w:tcPr>
            <w:tcW w:w="1050" w:type="dxa"/>
            <w:vAlign w:val="center"/>
          </w:tcPr>
          <w:p w14:paraId="4717BC47" w14:textId="77777777" w:rsidR="000B62E7" w:rsidRDefault="00A65B0F">
            <w:pPr>
              <w:spacing w:after="0" w:line="240" w:lineRule="auto" w:before="0"/>
            </w:pPr>
            <w:r>
              <w:rPr>
                <w:rFonts w:ascii="Times New Roman" w:hAnsi="Times New Roman"/>
                <w:b w:val="0"/>
                <w:sz w:val="16"/>
              </w:rPr>
              <w:t>4.894e-06</w:t>
            </w:r>
          </w:p>
        </w:tc>
        <w:tc>
          <w:tcPr>
            <w:tcW w:w="1450" w:type="dxa"/>
            <w:vAlign w:val="center"/>
          </w:tcPr>
          <w:p w14:paraId="749EC1FD" w14:textId="77777777" w:rsidR="000B62E7" w:rsidRDefault="00A65B0F">
            <w:pPr>
              <w:spacing w:after="0" w:line="240" w:lineRule="auto" w:before="0"/>
            </w:pPr>
            <w:r>
              <w:rPr>
                <w:rFonts w:ascii="Times New Roman" w:hAnsi="Times New Roman"/>
                <w:b w:val="0"/>
                <w:sz w:val="16"/>
              </w:rPr>
              <w:t>4.894e-06</w:t>
            </w:r>
          </w:p>
        </w:tc>
        <w:tc>
          <w:tcPr>
            <w:tcW w:w="1150" w:type="dxa"/>
            <w:vAlign w:val="center"/>
          </w:tcPr>
          <w:p w14:paraId="0984EAB8" w14:textId="77777777" w:rsidR="000B62E7" w:rsidRDefault="00A65B0F">
            <w:pPr>
              <w:spacing w:after="0" w:line="240" w:lineRule="auto" w:before="0"/>
            </w:pPr>
            <w:r>
              <w:rPr>
                <w:rFonts w:ascii="Times New Roman" w:hAnsi="Times New Roman"/>
                <w:b w:val="0"/>
                <w:sz w:val="16"/>
              </w:rPr>
              <w:t>0.000</w:t>
            </w:r>
          </w:p>
        </w:tc>
        <w:tc>
          <w:tcPr>
            <w:tcW w:w="900" w:type="dxa"/>
            <w:vAlign w:val="center"/>
          </w:tcPr>
          <w:p w14:paraId="4B2D4639" w14:textId="77777777" w:rsidR="000B62E7" w:rsidRDefault="00A65B0F">
            <w:pPr>
              <w:spacing w:after="0" w:line="240" w:lineRule="auto" w:before="0"/>
            </w:pPr>
            <w:r>
              <w:rPr>
                <w:rFonts w:ascii="Times New Roman" w:hAnsi="Times New Roman"/>
                <w:b w:val="0"/>
                <w:sz w:val="16"/>
              </w:rPr>
              <w:t>0.383</w:t>
            </w:r>
          </w:p>
        </w:tc>
      </w:tr>
    </w:tbl>
    <w:p w14:paraId="4A414A51" w14:textId="77777777" w:rsidR="000B62E7" w:rsidRDefault="00A65B0F">
      <w:r>
        <w:rPr>
          <w:rFonts w:ascii="Times New Roman" w:hAnsi="Times New Roman"/>
          <w:sz w:val="20"/>
        </w:rPr>
        <w:br w:type="page"/>
      </w:r>
    </w:p>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5"/>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pPr>
        <w:pStyle w:val="Caption"/>
        <w:jc w:val="center"/>
      </w:pPr>
      <w:r>
        <w:drawing>
          <wp:inline xmlns:a="http://schemas.openxmlformats.org/drawingml/2006/main" xmlns:pic="http://schemas.openxmlformats.org/drawingml/2006/picture">
            <wp:extent cx="6126480" cy="4016248"/>
            <wp:docPr id="6" name="Picture 6"/>
            <wp:cNvGraphicFramePr>
              <a:graphicFrameLocks noChangeAspect="1"/>
            </wp:cNvGraphicFramePr>
            <a:graphic>
              <a:graphicData uri="http://schemas.openxmlformats.org/drawingml/2006/picture">
                <pic:pic>
                  <pic:nvPicPr>
                    <pic:cNvPr id="0" name="fagbi_scope_z4x_global_p_order_panels.png"/>
                    <pic:cNvPicPr/>
                  </pic:nvPicPr>
                  <pic:blipFill>
                    <a:blip r:embed="rId22"/>
                    <a:stretch>
                      <a:fillRect/>
                    </a:stretch>
                  </pic:blipFill>
                  <pic:spPr>
                    <a:xfrm>
                      <a:off x="0" y="0"/>
                      <a:ext cx="6126480" cy="4016248"/>
                    </a:xfrm>
                    <a:prstGeom prst="rect"/>
                  </pic:spPr>
                </pic:pic>
              </a:graphicData>
            </a:graphic>
          </wp:inline>
        </w:drawing>
      </w:r>
    </w:p>
    <w:p>
      <w:pPr>
        <w:pStyle w:val="Caption"/>
      </w:pPr>
      <w:r>
        <w:rPr>
          <w:rFonts w:ascii="Times New Roman" w:hAnsi="Times New Roman"/>
        </w:rPr>
        <w:t>Figure 6 | Guarded p-order trade-off across the six-protein panel. A, sampled direct-operator audit RMS. B, total wall time. C, peak resident set size. D, accepted far M2L pairs and direct-fallback panel pairs. Points and bars show mean +/- s.d. across the six proteins. The p2 rows pass the audit by demoting essentially all far work to direct fallback. The reported p4 policy is retained because it passes the audit while preserving far-field compression in the current panel; no general p-order optimum is implied.</w:t>
      </w: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2"/>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2"/>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2"/>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2"/>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2"/>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2"/>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2"/>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2"/>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2"/>
        </w:rPr>
        <w:t>[9] L. Wilson, W. Geng, and R. Krasny, TABI-PB 2.0: An improved version of the treecode-accelerated boundary integral Poisson-Boltzmann solver, Journal of Physical Chemistry B 126, 7104-7113, 2022.</w:t>
      </w:r>
    </w:p>
    <w:p>
      <w:pPr/>
      <w:r>
        <w:rPr>
          <w:rFonts w:ascii="Times New Roman" w:hAnsi="Times New Roman"/>
          <w:sz w:val="22"/>
        </w:rPr>
        <w:t>[10] W. Geng and R. Krasny, A treecode-accelerated boundary integral Poisson-Boltzmann solver for electrostatics of solvated biomolecules, Journal of Computational Physics 247, 62-78, 2013.</w:t>
      </w:r>
    </w:p>
    <w:p>
      <w:pPr/>
      <w:r>
        <w:rPr>
          <w:rFonts w:ascii="Times New Roman" w:hAnsi="Times New Roman"/>
          <w:sz w:val="22"/>
        </w:rPr>
        <w:t>[11] J. Chen and W. Geng, On preconditioning the treecode-accelerated boundary integral (TABI) Poisson-Boltzmann solver, Journal of Computational Physics 373, 750-762, 2018.</w:t>
      </w:r>
    </w:p>
    <w:sectPr w:rsidR="000B62E7" w:rsidSect="00034616">
      <w:headerReference w:type="default" r:id="rId17"/>
      <w:footerReference w:type="default" r:id="rId18"/>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