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commentRangeStart w:id="0"/>
      <w:commentRangeEnd w:id="0"/>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commentRangeStart w:id="2"/>
      <w:r/>
      <w:commentRangeEnd w:id="2"/>
      <w:r/>
      <w:r>
        <w:t>Full dense direct calibration on small systems is reported in Supplementary Table S5. The calibration includes two analytic coarse sphere cases and mini public-protein subsets with 2534-3656 panels, for which full O(N^2) direct TABI solves remain practical. In the larger 1VII-mini calibration row (3656 panels), guarded p4 matched dense direct reaction energy within 3.21 x 10^-4 kJ/mol and produced a sampled direct true residual of 1.01 x 10^-6. Across the full calibration table, guarded p4 matched the dense direct reaction energy within 6.3 x 10^-4 kJ/mol, and the largest sampled direct true residual was 1.28 x 10^-6. These rows calibrate the sampled direct-operator audit used for the full-protein rows while leaving full dense direct reaction-energy solves for complete proteins outside the present runtime envelope.</w:t>
      </w:r>
    </w:p>
    <w:p>
      <w:r>
        <w:t>Supplementary Table S6 reports a minimal surface-density stress check on 1VII. Increasing the generated surface from 5032 to 8507 panels changed the reaction energy, as expected for a different surface discretization, but the guarded p4 solve remained stable: the sampled audit RMS and sampled direct true residual were both 7.87 x 10^-6, with 128 GMRES iterations. A much denser surface request exceeded the current 256 MB compressed Green-jet cache budget before solution and is reported as a memory-scaling limit rather than as a numerical failure. This check is not used to claim a mesh-convergence order; it only confirms that the reported verification protocol remains stable when the 1VII surface is refined beyond the manuscript-facing mesh.</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commentRangeStart w:id="1"/>
      <w:pPr>
        <w:jc w:val="both"/>
      </w:pPr>
      <w:r/>
      <w:commentRangeEnd w:id="1"/>
      <w: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ILU neighbor-cap, and a minimal 1VII surface-density stress check, but they do not replace broader mesh-convergence and larger-system validation. The APBS context rows are not used to claim interchangeability with grid-based APBS energies.</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r>
        <w:t>Taken together, the ablations and small-system dense calibration rows support the selected p4/cap-64 guarded workflow for the current benchmark panel while keeping stronger questions--larger protein sets, formal mesh-convergence studies,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commentRangeStart w:id="3"/>
      <w:pPr/>
      <w:commentRangeEnd w:id="3"/>
      <w:r/>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S1-S6.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commentRangeStart w:id="5"/>
      <w:r>
        <w:t>Table 6. Compact ablation and sensitivity summary for the reported p4/cap-64 protocol.</w:t>
      </w:r>
      <w:commentRangeEnd w:id="5"/>
      <w:r>
        <w:commentReference w:id="5"/>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commentRangeStart w:id="4"/>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commentRangeEnd w:id="4"/>
      <w:r>
        <w:commentReference w:id="4"/>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comments.xml><?xml version="1.0" encoding="utf-8"?>
<w:comments xmlns:w="http://schemas.openxmlformats.org/wordprocessingml/2006/main">
  <w:comment w:id="0" w:author="Author action" w:date="2026-06-29T04:41:41Z">
    <w:p>
      <w:r>
        <w:t>ACTION: No additional APBS calculation is required for the JCP framing here. Keep APBS as grid-solver context only. Before submission, archive the APBS input files/logs/grid sizes used for Fig. S2 so the comparison is auditable.</w:t>
      </w:r>
    </w:p>
  </w:comment>
  <w:comment w:id="1" w:author="Author action" w:date="2026-06-29T04:41:41Z">
    <w:p>
      <w:r>
        <w:t>OPTIONAL BUT RECOMMENDED FOR JCP: add a small mesh/surface-density sensitivity table if time permits, e.g. 1VII and 1UBQ at two or three surface-point settings. Report panels, energy, sampled audit, iterations, wall time, and RSS. This is a strengthening calculation, not required for the bounded claim as written.</w:t>
      </w:r>
    </w:p>
  </w:comment>
  <w:comment w:id="2" w:author="Author action" w:date="2026-06-29T04:41:41Z">
    <w:p>
      <w:r>
        <w:t>OPTIONAL: the existing small dense calibration supports the sampled audit. If runtime allows, add one larger mini dense case or one additional mesh level; otherwise keep the limitation sentence unchanged.</w:t>
      </w:r>
    </w:p>
  </w:comment>
  <w:comment w:id="3" w:author="Author action" w:date="2026-06-29T04:41:41Z">
    <w:p>
      <w:r>
        <w:t>REQUIRED BEFORE SUBMISSION: replace [vX.X-manuscript], [GitHub release URL], and [Zenodo DOI] with the real tagged release and DOI. This is not a numerical calculation, but the manuscript should not be submitted with placeholders.</w:t>
      </w:r>
    </w:p>
  </w:comment>
  <w:comment w:id="4" w:author="Author action" w:date="2026-06-29T04:41:41Z">
    <w:p>
      <w:r>
        <w:t>ACTION: check that Fig. 6 values and error bars exactly match the archived CSV/logs for the p2-p5 sweep. No rerun is required unless the archived numbers differ from the figure.</w:t>
      </w:r>
    </w:p>
  </w:comment>
  <w:comment w:id="5" w:author="Author action" w:date="2026-06-29T04:41:41Z">
    <w:p>
      <w:r>
        <w:t>ACTION: check that every summary value in Table 6 matches Tables 3-5, Figure 6, and Supplementary Tables S2-S4. No new calculation is needed unless a mismatch is found.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