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2"/>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reported guarded p4 + sparse ILU(0) path retained this convergence and passed sampled direct-operator audits, with a maximum sampled residual of 2.534e-3 and peak resident memory of 369.6 MB. Additional p-order and neighbor-cap sweeps show that the reported p4/cap-64 setting is a reproducible operating point with a favorable balance of sampled accuracy, far-field compression, wall time, and memory on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reported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Results section also reports p-order, opening-angle, guard, and ILU neighbor-cap sensitivity tests to make the selected p4/cap-64 protocol easier to interpret.</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pStyle w:val="Caption"/>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p>
      <w:pPr>
        <w:spacing w:after="120"/>
      </w:pPr>
      <w:r>
        <w:rPr>
          <w:rFonts w:ascii="Times New Roman" w:hAnsi="Times New Roman" w:eastAsia="Times New Roman"/>
          <w:sz w:val="20"/>
        </w:rPr>
        <w:t>As a dense-direct calibration for these sampled full-protein audits, we also solved three 64-atom public-protein subsets derived from 1VII, 1UBQ, and 2CI2 with both full dense TABI and guarded p4. The requested surface settings 8 and 12 produced the same realized panel counts for these mini calibration rows, so this check is treated as dense-operator calibration rather than mesh-refinement evidence. Across all six mini dense rows, the maximum absolute p4-versus-dense energy difference was 6.30e-4 kJ/mol, the maximum relative energy error was 1.79e-7, and the maximum sampled direct-operator residual was 1.27e-6.</w:t>
      </w:r>
    </w:p>
    <w:p/>
    <w:p>
      <w:pPr>
        <w:pStyle w:val="Caption"/>
        <w:jc w:val="left"/>
      </w:pPr>
      <w:r>
        <w:rPr>
          <w:rFonts w:ascii="Times New Roman" w:hAnsi="Times New Roman" w:eastAsia="Times New Roman"/>
          <w:sz w:val="20"/>
        </w:rPr>
        <w:t>Dense-direct calibration summary for analytic systems and small public-protein subsets.</w:t>
      </w:r>
    </w:p>
    <w:tbl>
      <w:tblPr>
        <w:tblStyle w:val="TableGrid"/>
        <w:tblW w:type="dxa" w:w="7900"/>
        <w:jc w:val="center"/>
        <w:tblLook w:firstColumn="1" w:firstRow="1" w:lastColumn="0" w:lastRow="0" w:noHBand="0" w:noVBand="1" w:val="04A0"/>
      </w:tblPr>
      <w:tblGrid>
        <w:gridCol w:w="1337"/>
        <w:gridCol w:w="1337"/>
        <w:gridCol w:w="1337"/>
        <w:gridCol w:w="1337"/>
        <w:gridCol w:w="1337"/>
        <w:gridCol w:w="1337"/>
        <w:gridCol w:w="1337"/>
      </w:tblGrid>
      <w:tr>
        <w:tc>
          <w:tcPr>
            <w:tcW w:type="dxa" w:w="1900"/>
            <w:vAlign w:val="center"/>
            <w:shd w:fill="D9EAF7"/>
          </w:tcPr>
          <w:p>
            <w:pPr>
              <w:jc w:val="center"/>
            </w:pPr>
            <w:r/>
            <w:r>
              <w:rPr>
                <w:rFonts w:ascii="Times New Roman" w:hAnsi="Times New Roman" w:eastAsia="Times New Roman"/>
                <w:b/>
                <w:sz w:val="13"/>
              </w:rPr>
              <w:t>Case</w:t>
            </w:r>
          </w:p>
        </w:tc>
        <w:tc>
          <w:tcPr>
            <w:tcW w:type="dxa" w:w="850"/>
            <w:vAlign w:val="center"/>
            <w:shd w:fill="D9EAF7"/>
          </w:tcPr>
          <w:p>
            <w:pPr>
              <w:jc w:val="center"/>
            </w:pPr>
            <w:r/>
            <w:r>
              <w:rPr>
                <w:rFonts w:ascii="Times New Roman" w:hAnsi="Times New Roman" w:eastAsia="Times New Roman"/>
                <w:b/>
                <w:sz w:val="13"/>
              </w:rPr>
              <w:t>Requested surface</w:t>
            </w:r>
          </w:p>
        </w:tc>
        <w:tc>
          <w:tcPr>
            <w:tcW w:type="dxa" w:w="650"/>
            <w:vAlign w:val="center"/>
            <w:shd w:fill="D9EAF7"/>
          </w:tcPr>
          <w:p>
            <w:pPr>
              <w:jc w:val="center"/>
            </w:pPr>
            <w:r/>
            <w:r>
              <w:rPr>
                <w:rFonts w:ascii="Times New Roman" w:hAnsi="Times New Roman" w:eastAsia="Times New Roman"/>
                <w:b/>
                <w:sz w:val="13"/>
              </w:rPr>
              <w:t>Panels</w:t>
            </w:r>
          </w:p>
        </w:tc>
        <w:tc>
          <w:tcPr>
            <w:tcW w:type="dxa" w:w="1250"/>
            <w:vAlign w:val="center"/>
            <w:shd w:fill="D9EAF7"/>
          </w:tcPr>
          <w:p>
            <w:pPr>
              <w:jc w:val="center"/>
            </w:pPr>
            <w:r/>
            <w:r>
              <w:rPr>
                <w:rFonts w:ascii="Times New Roman" w:hAnsi="Times New Roman" w:eastAsia="Times New Roman"/>
                <w:b/>
                <w:sz w:val="13"/>
              </w:rPr>
              <w:t>Dense TABI energy</w:t>
            </w:r>
          </w:p>
        </w:tc>
        <w:tc>
          <w:tcPr>
            <w:tcW w:type="dxa" w:w="1250"/>
            <w:vAlign w:val="center"/>
            <w:shd w:fill="D9EAF7"/>
          </w:tcPr>
          <w:p>
            <w:pPr>
              <w:jc w:val="center"/>
            </w:pPr>
            <w:r/>
            <w:r>
              <w:rPr>
                <w:rFonts w:ascii="Times New Roman" w:hAnsi="Times New Roman" w:eastAsia="Times New Roman"/>
                <w:b/>
                <w:sz w:val="13"/>
              </w:rPr>
              <w:t>Guarded p4 energy</w:t>
            </w:r>
          </w:p>
        </w:tc>
        <w:tc>
          <w:tcPr>
            <w:tcW w:type="dxa" w:w="950"/>
            <w:vAlign w:val="center"/>
            <w:shd w:fill="D9EAF7"/>
          </w:tcPr>
          <w:p>
            <w:pPr>
              <w:jc w:val="center"/>
            </w:pPr>
            <w:r/>
            <w:r>
              <w:rPr>
                <w:rFonts w:ascii="Times New Roman" w:hAnsi="Times New Roman" w:eastAsia="Times New Roman"/>
                <w:b/>
                <w:sz w:val="13"/>
              </w:rPr>
              <w:t>Max abs. error</w:t>
            </w:r>
          </w:p>
        </w:tc>
        <w:tc>
          <w:tcPr>
            <w:tcW w:type="dxa" w:w="1050"/>
            <w:vAlign w:val="center"/>
            <w:shd w:fill="D9EAF7"/>
          </w:tcPr>
          <w:p>
            <w:pPr>
              <w:jc w:val="center"/>
            </w:pPr>
            <w:r/>
            <w:r>
              <w:rPr>
                <w:rFonts w:ascii="Times New Roman" w:hAnsi="Times New Roman" w:eastAsia="Times New Roman"/>
                <w:b/>
                <w:sz w:val="13"/>
              </w:rPr>
              <w:t>Max operator residual</w:t>
            </w:r>
          </w:p>
        </w:tc>
      </w:tr>
      <w:tr>
        <w:tc>
          <w:tcPr>
            <w:tcW w:type="dxa" w:w="1900"/>
            <w:vAlign w:val="center"/>
          </w:tcPr>
          <w:p>
            <w:pPr>
              <w:jc w:val="left"/>
            </w:pPr>
            <w:r/>
            <w:r>
              <w:rPr>
                <w:rFonts w:ascii="Times New Roman" w:hAnsi="Times New Roman" w:eastAsia="Times New Roman"/>
                <w:b w:val="0"/>
                <w:sz w:val="13"/>
              </w:rPr>
              <w:t>Centered Born sphere</w:t>
            </w:r>
          </w:p>
        </w:tc>
        <w:tc>
          <w:tcPr>
            <w:tcW w:type="dxa" w:w="850"/>
            <w:vAlign w:val="center"/>
          </w:tcPr>
          <w:p>
            <w:pPr>
              <w:jc w:val="center"/>
            </w:pPr>
            <w:r/>
            <w:r>
              <w:rPr>
                <w:rFonts w:ascii="Times New Roman" w:hAnsi="Times New Roman" w:eastAsia="Times New Roman"/>
                <w:b w:val="0"/>
                <w:sz w:val="13"/>
              </w:rPr>
              <w:t>8</w:t>
            </w:r>
          </w:p>
        </w:tc>
        <w:tc>
          <w:tcPr>
            <w:tcW w:type="dxa" w:w="650"/>
            <w:vAlign w:val="center"/>
          </w:tcPr>
          <w:p>
            <w:pPr>
              <w:jc w:val="center"/>
            </w:pPr>
            <w:r/>
            <w:r>
              <w:rPr>
                <w:rFonts w:ascii="Times New Roman" w:hAnsi="Times New Roman" w:eastAsia="Times New Roman"/>
                <w:b w:val="0"/>
                <w:sz w:val="13"/>
              </w:rPr>
              <w:t>48</w:t>
            </w:r>
          </w:p>
        </w:tc>
        <w:tc>
          <w:tcPr>
            <w:tcW w:type="dxa" w:w="1250"/>
            <w:vAlign w:val="center"/>
          </w:tcPr>
          <w:p>
            <w:pPr>
              <w:jc w:val="center"/>
            </w:pPr>
            <w:r/>
            <w:r>
              <w:rPr>
                <w:rFonts w:ascii="Times New Roman" w:hAnsi="Times New Roman" w:eastAsia="Times New Roman"/>
                <w:b w:val="0"/>
                <w:sz w:val="13"/>
              </w:rPr>
              <w:t>-242.9284565</w:t>
            </w:r>
          </w:p>
        </w:tc>
        <w:tc>
          <w:tcPr>
            <w:tcW w:type="dxa" w:w="1250"/>
            <w:vAlign w:val="center"/>
          </w:tcPr>
          <w:p>
            <w:pPr>
              <w:jc w:val="center"/>
            </w:pPr>
            <w:r/>
            <w:r>
              <w:rPr>
                <w:rFonts w:ascii="Times New Roman" w:hAnsi="Times New Roman" w:eastAsia="Times New Roman"/>
                <w:b w:val="0"/>
                <w:sz w:val="13"/>
              </w:rPr>
              <w:t>-242.9284565</w:t>
            </w:r>
          </w:p>
        </w:tc>
        <w:tc>
          <w:tcPr>
            <w:tcW w:type="dxa" w:w="950"/>
            <w:vAlign w:val="center"/>
          </w:tcPr>
          <w:p>
            <w:pPr>
              <w:jc w:val="center"/>
            </w:pPr>
            <w:r/>
            <w:r>
              <w:rPr>
                <w:rFonts w:ascii="Times New Roman" w:hAnsi="Times New Roman" w:eastAsia="Times New Roman"/>
                <w:b w:val="0"/>
                <w:sz w:val="13"/>
              </w:rPr>
              <w:t>0</w:t>
            </w:r>
          </w:p>
        </w:tc>
        <w:tc>
          <w:tcPr>
            <w:tcW w:type="dxa" w:w="1050"/>
            <w:vAlign w:val="center"/>
          </w:tcPr>
          <w:p>
            <w:pPr>
              <w:jc w:val="center"/>
            </w:pPr>
            <w:r/>
            <w:r>
              <w:rPr>
                <w:rFonts w:ascii="Times New Roman" w:hAnsi="Times New Roman" w:eastAsia="Times New Roman"/>
                <w:b w:val="0"/>
                <w:sz w:val="13"/>
              </w:rPr>
              <w:t>1.12e-16</w:t>
            </w:r>
          </w:p>
        </w:tc>
      </w:tr>
      <w:tr>
        <w:tc>
          <w:tcPr>
            <w:tcW w:type="dxa" w:w="1900"/>
            <w:vAlign w:val="center"/>
          </w:tcPr>
          <w:p>
            <w:pPr>
              <w:jc w:val="left"/>
            </w:pPr>
            <w:r/>
            <w:r>
              <w:rPr>
                <w:rFonts w:ascii="Times New Roman" w:hAnsi="Times New Roman" w:eastAsia="Times New Roman"/>
                <w:b w:val="0"/>
                <w:sz w:val="13"/>
              </w:rPr>
              <w:t>Off-center Kirkwood sphere</w:t>
            </w:r>
          </w:p>
        </w:tc>
        <w:tc>
          <w:tcPr>
            <w:tcW w:type="dxa" w:w="850"/>
            <w:vAlign w:val="center"/>
          </w:tcPr>
          <w:p>
            <w:pPr>
              <w:jc w:val="center"/>
            </w:pPr>
            <w:r/>
            <w:r>
              <w:rPr>
                <w:rFonts w:ascii="Times New Roman" w:hAnsi="Times New Roman" w:eastAsia="Times New Roman"/>
                <w:b w:val="0"/>
                <w:sz w:val="13"/>
              </w:rPr>
              <w:t>8</w:t>
            </w:r>
          </w:p>
        </w:tc>
        <w:tc>
          <w:tcPr>
            <w:tcW w:type="dxa" w:w="650"/>
            <w:vAlign w:val="center"/>
          </w:tcPr>
          <w:p>
            <w:pPr>
              <w:jc w:val="center"/>
            </w:pPr>
            <w:r/>
            <w:r>
              <w:rPr>
                <w:rFonts w:ascii="Times New Roman" w:hAnsi="Times New Roman" w:eastAsia="Times New Roman"/>
                <w:b w:val="0"/>
                <w:sz w:val="13"/>
              </w:rPr>
              <w:t>48</w:t>
            </w:r>
          </w:p>
        </w:tc>
        <w:tc>
          <w:tcPr>
            <w:tcW w:type="dxa" w:w="1250"/>
            <w:vAlign w:val="center"/>
          </w:tcPr>
          <w:p>
            <w:pPr>
              <w:jc w:val="center"/>
            </w:pPr>
            <w:r/>
            <w:r>
              <w:rPr>
                <w:rFonts w:ascii="Times New Roman" w:hAnsi="Times New Roman" w:eastAsia="Times New Roman"/>
                <w:b w:val="0"/>
                <w:sz w:val="13"/>
              </w:rPr>
              <w:t>-79.60482942</w:t>
            </w:r>
          </w:p>
        </w:tc>
        <w:tc>
          <w:tcPr>
            <w:tcW w:type="dxa" w:w="1250"/>
            <w:vAlign w:val="center"/>
          </w:tcPr>
          <w:p>
            <w:pPr>
              <w:jc w:val="center"/>
            </w:pPr>
            <w:r/>
            <w:r>
              <w:rPr>
                <w:rFonts w:ascii="Times New Roman" w:hAnsi="Times New Roman" w:eastAsia="Times New Roman"/>
                <w:b w:val="0"/>
                <w:sz w:val="13"/>
              </w:rPr>
              <w:t>-79.60482942</w:t>
            </w:r>
          </w:p>
        </w:tc>
        <w:tc>
          <w:tcPr>
            <w:tcW w:type="dxa" w:w="950"/>
            <w:vAlign w:val="center"/>
          </w:tcPr>
          <w:p>
            <w:pPr>
              <w:jc w:val="center"/>
            </w:pPr>
            <w:r/>
            <w:r>
              <w:rPr>
                <w:rFonts w:ascii="Times New Roman" w:hAnsi="Times New Roman" w:eastAsia="Times New Roman"/>
                <w:b w:val="0"/>
                <w:sz w:val="13"/>
              </w:rPr>
              <w:t>0</w:t>
            </w:r>
          </w:p>
        </w:tc>
        <w:tc>
          <w:tcPr>
            <w:tcW w:type="dxa" w:w="1050"/>
            <w:vAlign w:val="center"/>
          </w:tcPr>
          <w:p>
            <w:pPr>
              <w:jc w:val="center"/>
            </w:pPr>
            <w:r/>
            <w:r>
              <w:rPr>
                <w:rFonts w:ascii="Times New Roman" w:hAnsi="Times New Roman" w:eastAsia="Times New Roman"/>
                <w:b w:val="0"/>
                <w:sz w:val="13"/>
              </w:rPr>
              <w:t>1.81e-16</w:t>
            </w:r>
          </w:p>
        </w:tc>
      </w:tr>
      <w:tr>
        <w:tc>
          <w:tcPr>
            <w:tcW w:type="dxa" w:w="1900"/>
            <w:vAlign w:val="center"/>
          </w:tcPr>
          <w:p>
            <w:pPr>
              <w:jc w:val="left"/>
            </w:pPr>
            <w:r/>
            <w:r>
              <w:rPr>
                <w:rFonts w:ascii="Times New Roman" w:hAnsi="Times New Roman" w:eastAsia="Times New Roman"/>
                <w:b w:val="0"/>
                <w:sz w:val="13"/>
              </w:rPr>
              <w:t>1VII calibration subset, 64 atoms</w:t>
            </w:r>
          </w:p>
        </w:tc>
        <w:tc>
          <w:tcPr>
            <w:tcW w:type="dxa" w:w="850"/>
            <w:vAlign w:val="center"/>
          </w:tcPr>
          <w:p>
            <w:pPr>
              <w:jc w:val="center"/>
            </w:pPr>
            <w:r/>
            <w:r>
              <w:rPr>
                <w:rFonts w:ascii="Times New Roman" w:hAnsi="Times New Roman" w:eastAsia="Times New Roman"/>
                <w:b w:val="0"/>
                <w:sz w:val="13"/>
              </w:rPr>
              <w:t>8, 12</w:t>
            </w:r>
          </w:p>
        </w:tc>
        <w:tc>
          <w:tcPr>
            <w:tcW w:type="dxa" w:w="650"/>
            <w:vAlign w:val="center"/>
          </w:tcPr>
          <w:p>
            <w:pPr>
              <w:jc w:val="center"/>
            </w:pPr>
            <w:r/>
            <w:r>
              <w:rPr>
                <w:rFonts w:ascii="Times New Roman" w:hAnsi="Times New Roman" w:eastAsia="Times New Roman"/>
                <w:b w:val="0"/>
                <w:sz w:val="13"/>
              </w:rPr>
              <w:t>2534</w:t>
            </w:r>
          </w:p>
        </w:tc>
        <w:tc>
          <w:tcPr>
            <w:tcW w:type="dxa" w:w="1250"/>
            <w:vAlign w:val="center"/>
          </w:tcPr>
          <w:p>
            <w:pPr>
              <w:jc w:val="center"/>
            </w:pPr>
            <w:r/>
            <w:r>
              <w:rPr>
                <w:rFonts w:ascii="Times New Roman" w:hAnsi="Times New Roman" w:eastAsia="Times New Roman"/>
                <w:b w:val="0"/>
                <w:sz w:val="13"/>
              </w:rPr>
              <w:t>-3810.764920</w:t>
            </w:r>
          </w:p>
        </w:tc>
        <w:tc>
          <w:tcPr>
            <w:tcW w:type="dxa" w:w="1250"/>
            <w:vAlign w:val="center"/>
          </w:tcPr>
          <w:p>
            <w:pPr>
              <w:jc w:val="center"/>
            </w:pPr>
            <w:r/>
            <w:r>
              <w:rPr>
                <w:rFonts w:ascii="Times New Roman" w:hAnsi="Times New Roman" w:eastAsia="Times New Roman"/>
                <w:b w:val="0"/>
                <w:sz w:val="13"/>
              </w:rPr>
              <w:t>-3810.764758</w:t>
            </w:r>
          </w:p>
        </w:tc>
        <w:tc>
          <w:tcPr>
            <w:tcW w:type="dxa" w:w="950"/>
            <w:vAlign w:val="center"/>
          </w:tcPr>
          <w:p>
            <w:pPr>
              <w:jc w:val="center"/>
            </w:pPr>
            <w:r/>
            <w:r>
              <w:rPr>
                <w:rFonts w:ascii="Times New Roman" w:hAnsi="Times New Roman" w:eastAsia="Times New Roman"/>
                <w:b w:val="0"/>
                <w:sz w:val="13"/>
              </w:rPr>
              <w:t>1.62e-4</w:t>
            </w:r>
          </w:p>
        </w:tc>
        <w:tc>
          <w:tcPr>
            <w:tcW w:type="dxa" w:w="1050"/>
            <w:vAlign w:val="center"/>
          </w:tcPr>
          <w:p>
            <w:pPr>
              <w:jc w:val="center"/>
            </w:pPr>
            <w:r/>
            <w:r>
              <w:rPr>
                <w:rFonts w:ascii="Times New Roman" w:hAnsi="Times New Roman" w:eastAsia="Times New Roman"/>
                <w:b w:val="0"/>
                <w:sz w:val="13"/>
              </w:rPr>
              <w:t>1.27e-6</w:t>
            </w:r>
          </w:p>
        </w:tc>
      </w:tr>
      <w:tr>
        <w:tc>
          <w:tcPr>
            <w:tcW w:type="dxa" w:w="1900"/>
            <w:vAlign w:val="center"/>
          </w:tcPr>
          <w:p>
            <w:pPr>
              <w:jc w:val="left"/>
            </w:pPr>
            <w:r/>
            <w:r>
              <w:rPr>
                <w:rFonts w:ascii="Times New Roman" w:hAnsi="Times New Roman" w:eastAsia="Times New Roman"/>
                <w:b w:val="0"/>
                <w:sz w:val="13"/>
              </w:rPr>
              <w:t>1UBQ calibration subset, 64 atoms</w:t>
            </w:r>
          </w:p>
        </w:tc>
        <w:tc>
          <w:tcPr>
            <w:tcW w:type="dxa" w:w="850"/>
            <w:vAlign w:val="center"/>
          </w:tcPr>
          <w:p>
            <w:pPr>
              <w:jc w:val="center"/>
            </w:pPr>
            <w:r/>
            <w:r>
              <w:rPr>
                <w:rFonts w:ascii="Times New Roman" w:hAnsi="Times New Roman" w:eastAsia="Times New Roman"/>
                <w:b w:val="0"/>
                <w:sz w:val="13"/>
              </w:rPr>
              <w:t>8, 12</w:t>
            </w:r>
          </w:p>
        </w:tc>
        <w:tc>
          <w:tcPr>
            <w:tcW w:type="dxa" w:w="650"/>
            <w:vAlign w:val="center"/>
          </w:tcPr>
          <w:p>
            <w:pPr>
              <w:jc w:val="center"/>
            </w:pPr>
            <w:r/>
            <w:r>
              <w:rPr>
                <w:rFonts w:ascii="Times New Roman" w:hAnsi="Times New Roman" w:eastAsia="Times New Roman"/>
                <w:b w:val="0"/>
                <w:sz w:val="13"/>
              </w:rPr>
              <w:t>2992</w:t>
            </w:r>
          </w:p>
        </w:tc>
        <w:tc>
          <w:tcPr>
            <w:tcW w:type="dxa" w:w="1250"/>
            <w:vAlign w:val="center"/>
          </w:tcPr>
          <w:p>
            <w:pPr>
              <w:jc w:val="center"/>
            </w:pPr>
            <w:r/>
            <w:r>
              <w:rPr>
                <w:rFonts w:ascii="Times New Roman" w:hAnsi="Times New Roman" w:eastAsia="Times New Roman"/>
                <w:b w:val="0"/>
                <w:sz w:val="13"/>
              </w:rPr>
              <w:t>-3511.081114</w:t>
            </w:r>
          </w:p>
        </w:tc>
        <w:tc>
          <w:tcPr>
            <w:tcW w:type="dxa" w:w="1250"/>
            <w:vAlign w:val="center"/>
          </w:tcPr>
          <w:p>
            <w:pPr>
              <w:jc w:val="center"/>
            </w:pPr>
            <w:r/>
            <w:r>
              <w:rPr>
                <w:rFonts w:ascii="Times New Roman" w:hAnsi="Times New Roman" w:eastAsia="Times New Roman"/>
                <w:b w:val="0"/>
                <w:sz w:val="13"/>
              </w:rPr>
              <w:t>-3511.081744</w:t>
            </w:r>
          </w:p>
        </w:tc>
        <w:tc>
          <w:tcPr>
            <w:tcW w:type="dxa" w:w="950"/>
            <w:vAlign w:val="center"/>
          </w:tcPr>
          <w:p>
            <w:pPr>
              <w:jc w:val="center"/>
            </w:pPr>
            <w:r/>
            <w:r>
              <w:rPr>
                <w:rFonts w:ascii="Times New Roman" w:hAnsi="Times New Roman" w:eastAsia="Times New Roman"/>
                <w:b w:val="0"/>
                <w:sz w:val="13"/>
              </w:rPr>
              <w:t>6.30e-4</w:t>
            </w:r>
          </w:p>
        </w:tc>
        <w:tc>
          <w:tcPr>
            <w:tcW w:type="dxa" w:w="1050"/>
            <w:vAlign w:val="center"/>
          </w:tcPr>
          <w:p>
            <w:pPr>
              <w:jc w:val="center"/>
            </w:pPr>
            <w:r/>
            <w:r>
              <w:rPr>
                <w:rFonts w:ascii="Times New Roman" w:hAnsi="Times New Roman" w:eastAsia="Times New Roman"/>
                <w:b w:val="0"/>
                <w:sz w:val="13"/>
              </w:rPr>
              <w:t>7.02e-7</w:t>
            </w:r>
          </w:p>
        </w:tc>
      </w:tr>
      <w:tr>
        <w:tc>
          <w:tcPr>
            <w:tcW w:type="dxa" w:w="1900"/>
            <w:vAlign w:val="center"/>
          </w:tcPr>
          <w:p>
            <w:pPr>
              <w:jc w:val="left"/>
            </w:pPr>
            <w:r/>
            <w:r>
              <w:rPr>
                <w:rFonts w:ascii="Times New Roman" w:hAnsi="Times New Roman" w:eastAsia="Times New Roman"/>
                <w:b w:val="0"/>
                <w:sz w:val="13"/>
              </w:rPr>
              <w:t>2CI2 calibration subset, 64 atoms</w:t>
            </w:r>
          </w:p>
        </w:tc>
        <w:tc>
          <w:tcPr>
            <w:tcW w:type="dxa" w:w="850"/>
            <w:vAlign w:val="center"/>
          </w:tcPr>
          <w:p>
            <w:pPr>
              <w:jc w:val="center"/>
            </w:pPr>
            <w:r/>
            <w:r>
              <w:rPr>
                <w:rFonts w:ascii="Times New Roman" w:hAnsi="Times New Roman" w:eastAsia="Times New Roman"/>
                <w:b w:val="0"/>
                <w:sz w:val="13"/>
              </w:rPr>
              <w:t>8, 12</w:t>
            </w:r>
          </w:p>
        </w:tc>
        <w:tc>
          <w:tcPr>
            <w:tcW w:type="dxa" w:w="650"/>
            <w:vAlign w:val="center"/>
          </w:tcPr>
          <w:p>
            <w:pPr>
              <w:jc w:val="center"/>
            </w:pPr>
            <w:r/>
            <w:r>
              <w:rPr>
                <w:rFonts w:ascii="Times New Roman" w:hAnsi="Times New Roman" w:eastAsia="Times New Roman"/>
                <w:b w:val="0"/>
                <w:sz w:val="13"/>
              </w:rPr>
              <w:t>3030</w:t>
            </w:r>
          </w:p>
        </w:tc>
        <w:tc>
          <w:tcPr>
            <w:tcW w:type="dxa" w:w="1250"/>
            <w:vAlign w:val="center"/>
          </w:tcPr>
          <w:p>
            <w:pPr>
              <w:jc w:val="center"/>
            </w:pPr>
            <w:r/>
            <w:r>
              <w:rPr>
                <w:rFonts w:ascii="Times New Roman" w:hAnsi="Times New Roman" w:eastAsia="Times New Roman"/>
                <w:b w:val="0"/>
                <w:sz w:val="13"/>
              </w:rPr>
              <w:t>-2242.834792</w:t>
            </w:r>
          </w:p>
        </w:tc>
        <w:tc>
          <w:tcPr>
            <w:tcW w:type="dxa" w:w="1250"/>
            <w:vAlign w:val="center"/>
          </w:tcPr>
          <w:p>
            <w:pPr>
              <w:jc w:val="center"/>
            </w:pPr>
            <w:r/>
            <w:r>
              <w:rPr>
                <w:rFonts w:ascii="Times New Roman" w:hAnsi="Times New Roman" w:eastAsia="Times New Roman"/>
                <w:b w:val="0"/>
                <w:sz w:val="13"/>
              </w:rPr>
              <w:t>-2242.834936</w:t>
            </w:r>
          </w:p>
        </w:tc>
        <w:tc>
          <w:tcPr>
            <w:tcW w:type="dxa" w:w="950"/>
            <w:vAlign w:val="center"/>
          </w:tcPr>
          <w:p>
            <w:pPr>
              <w:jc w:val="center"/>
            </w:pPr>
            <w:r/>
            <w:r>
              <w:rPr>
                <w:rFonts w:ascii="Times New Roman" w:hAnsi="Times New Roman" w:eastAsia="Times New Roman"/>
                <w:b w:val="0"/>
                <w:sz w:val="13"/>
              </w:rPr>
              <w:t>1.44e-4</w:t>
            </w:r>
          </w:p>
        </w:tc>
        <w:tc>
          <w:tcPr>
            <w:tcW w:type="dxa" w:w="1050"/>
            <w:vAlign w:val="center"/>
          </w:tcPr>
          <w:p>
            <w:pPr>
              <w:jc w:val="center"/>
            </w:pPr>
            <w:r/>
            <w:r>
              <w:rPr>
                <w:rFonts w:ascii="Times New Roman" w:hAnsi="Times New Roman" w:eastAsia="Times New Roman"/>
                <w:b w:val="0"/>
                <w:sz w:val="13"/>
              </w:rPr>
              <w:t>1.23e-6</w:t>
            </w:r>
          </w:p>
        </w:tc>
      </w:tr>
    </w:tbl>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pPr>
            <w:r>
              <w:rPr>
                <w:rFonts w:ascii="Times New Roman" w:hAnsi="Times New Roman"/>
                <w:sz w:val="16"/>
              </w:rPr>
            </w:r>
            <w:r>
              <w:rPr>
                <w:rFonts w:ascii="Times New Roman" w:hAnsi="Times New Roman"/>
                <w:b w:val="0"/>
                <w:sz w:val="16"/>
              </w:rPr>
              <w:t>JCP2013 coupled two-row TABI boundary-integral system</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r>
              <w:rPr>
                <w:rFonts w:ascii="Times New Roman" w:hAnsi="Times New Roman"/>
                <w:sz w:val="16"/>
              </w:rPr>
              <w:t>Locked guarded p4 policy manifest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pPr>
            <w:r>
              <w:rPr>
                <w:rFonts w:ascii="Times New Roman" w:hAnsi="Times New Roman"/>
                <w:b/>
                <w:sz w:val="16"/>
              </w:rPr>
              <w:t>Aspect</w:t>
            </w:r>
          </w:p>
        </w:tc>
        <w:tc>
          <w:tcPr>
            <w:tcW w:w="2720" w:type="dxa"/>
            <w:shd w:val="clear" w:color="auto" w:fill="E7E6E6"/>
            <w:vAlign w:val="center"/>
          </w:tcPr>
          <w:p>
            <w:pPr>
              <w:spacing w:after="0" w:before="0"/>
            </w:pPr>
            <w:r>
              <w:rPr>
                <w:rFonts w:ascii="Times New Roman" w:hAnsi="Times New Roman"/>
                <w:b/>
                <w:sz w:val="16"/>
              </w:rPr>
              <w:t>TABI-PB 2.0</w:t>
            </w:r>
          </w:p>
        </w:tc>
        <w:tc>
          <w:tcPr>
            <w:tcW w:w="2720" w:type="dxa"/>
            <w:shd w:val="clear" w:color="auto" w:fill="E7E6E6"/>
            <w:vAlign w:val="center"/>
          </w:tcPr>
          <w:p>
            <w:pPr>
              <w:spacing w:after="0" w:before="0"/>
            </w:pPr>
            <w:r>
              <w:rPr>
                <w:rFonts w:ascii="Times New Roman" w:hAnsi="Times New Roman"/>
                <w:b/>
                <w:sz w:val="16"/>
              </w:rPr>
              <w:t>FAGBI / Cartesian Galerkin FMM</w:t>
            </w:r>
          </w:p>
        </w:tc>
        <w:tc>
          <w:tcPr>
            <w:tcW w:w="2720" w:type="dxa"/>
            <w:shd w:val="clear" w:color="auto" w:fill="E7E6E6"/>
            <w:vAlign w:val="center"/>
          </w:tcPr>
          <w:p>
            <w:pPr>
              <w:spacing w:after="0" w:before="0"/>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pPr>
            <w:r>
              <w:rPr>
                <w:rFonts w:ascii="Times New Roman" w:hAnsi="Times New Roman"/>
                <w:b w:val="0"/>
                <w:sz w:val="16"/>
              </w:rPr>
              <w:t>Discretization</w:t>
            </w:r>
          </w:p>
        </w:tc>
        <w:tc>
          <w:tcPr>
            <w:tcW w:w="2720" w:type="dxa"/>
            <w:vAlign w:val="center"/>
          </w:tcPr>
          <w:p>
            <w:pPr>
              <w:spacing w:after="0" w:before="0"/>
            </w:pPr>
            <w:r>
              <w:rPr>
                <w:rFonts w:ascii="Times New Roman" w:hAnsi="Times New Roman"/>
                <w:b w:val="0"/>
                <w:sz w:val="16"/>
              </w:rPr>
              <w:t>Node-patch BIE on NanoShaper surfaces; surface-vertex/patch unknowns.</w:t>
            </w:r>
          </w:p>
        </w:tc>
        <w:tc>
          <w:tcPr>
            <w:tcW w:w="2720" w:type="dxa"/>
            <w:vAlign w:val="center"/>
          </w:tcPr>
          <w:p>
            <w:pPr>
              <w:spacing w:after="0" w:before="0"/>
            </w:pPr>
            <w:r>
              <w:rPr>
                <w:rFonts w:ascii="Times New Roman" w:hAnsi="Times New Roman"/>
                <w:b w:val="0"/>
                <w:sz w:val="16"/>
              </w:rPr>
              <w:t>Galerkin BIE PB with analytical integration and Cartesian FMM acceleration.</w:t>
            </w:r>
          </w:p>
        </w:tc>
        <w:tc>
          <w:tcPr>
            <w:tcW w:w="2720" w:type="dxa"/>
            <w:vAlign w:val="center"/>
          </w:tcPr>
          <w:p>
            <w:pPr>
              <w:spacing w:after="0" w:before="0"/>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pPr>
            <w:r>
              <w:rPr>
                <w:rFonts w:ascii="Times New Roman" w:hAnsi="Times New Roman"/>
                <w:b w:val="0"/>
                <w:sz w:val="16"/>
              </w:rPr>
              <w:t>Fast operator</w:t>
            </w:r>
          </w:p>
        </w:tc>
        <w:tc>
          <w:tcPr>
            <w:tcW w:w="2720" w:type="dxa"/>
            <w:vAlign w:val="center"/>
          </w:tcPr>
          <w:p>
            <w:pPr>
              <w:spacing w:after="0" w:before="0"/>
            </w:pPr>
            <w:r>
              <w:rPr>
                <w:rFonts w:ascii="Times New Roman" w:hAnsi="Times New Roman"/>
                <w:b w:val="0"/>
                <w:sz w:val="16"/>
              </w:rPr>
              <w:t>Barycentric Lagrange dual-tree traversal; GPU-oriented PP/PC/CP/CC kernels.</w:t>
            </w:r>
          </w:p>
        </w:tc>
        <w:tc>
          <w:tcPr>
            <w:tcW w:w="2720" w:type="dxa"/>
            <w:vAlign w:val="center"/>
          </w:tcPr>
          <w:p>
            <w:pPr>
              <w:spacing w:after="0" w:before="0"/>
            </w:pPr>
            <w:r>
              <w:rPr>
                <w:rFonts w:ascii="Times New Roman" w:hAnsi="Times New Roman"/>
                <w:b w:val="0"/>
                <w:sz w:val="16"/>
              </w:rPr>
              <w:t>Cartesian FMM-accelerated Galerkin operator with adaptive order and Duffy treatment.</w:t>
            </w:r>
          </w:p>
        </w:tc>
        <w:tc>
          <w:tcPr>
            <w:tcW w:w="2720" w:type="dxa"/>
            <w:vAlign w:val="center"/>
          </w:tcPr>
          <w:p>
            <w:pPr>
              <w:spacing w:after="0" w:before="0"/>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pPr>
            <w:r>
              <w:rPr>
                <w:rFonts w:ascii="Times New Roman" w:hAnsi="Times New Roman"/>
                <w:b w:val="0"/>
                <w:sz w:val="16"/>
              </w:rPr>
              <w:t>Acceptance policy</w:t>
            </w:r>
          </w:p>
        </w:tc>
        <w:tc>
          <w:tcPr>
            <w:tcW w:w="2720" w:type="dxa"/>
            <w:vAlign w:val="center"/>
          </w:tcPr>
          <w:p>
            <w:pPr>
              <w:spacing w:after="0" w:before="0"/>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pPr>
            <w:r>
              <w:rPr>
                <w:rFonts w:ascii="Times New Roman" w:hAnsi="Times New Roman"/>
                <w:b w:val="0"/>
                <w:sz w:val="16"/>
              </w:rPr>
              <w:t>Preconditioning</w:t>
            </w:r>
          </w:p>
        </w:tc>
        <w:tc>
          <w:tcPr>
            <w:tcW w:w="2720" w:type="dxa"/>
            <w:vAlign w:val="center"/>
          </w:tcPr>
          <w:p>
            <w:pPr>
              <w:spacing w:after="0" w:before="0"/>
            </w:pPr>
            <w:r>
              <w:rPr>
                <w:rFonts w:ascii="Times New Roman" w:hAnsi="Times New Roman"/>
                <w:b w:val="0"/>
                <w:sz w:val="16"/>
              </w:rPr>
              <w:t>Block preconditioning in a GPU-oriented TABI-PB 2.0 pipeline.</w:t>
            </w:r>
          </w:p>
        </w:tc>
        <w:tc>
          <w:tcPr>
            <w:tcW w:w="2720" w:type="dxa"/>
            <w:vAlign w:val="center"/>
          </w:tcPr>
          <w:p>
            <w:pPr>
              <w:spacing w:after="0" w:before="0"/>
            </w:pPr>
            <w:r>
              <w:rPr>
                <w:rFonts w:ascii="Times New Roman" w:hAnsi="Times New Roman"/>
                <w:b w:val="0"/>
                <w:sz w:val="16"/>
              </w:rPr>
              <w:t>Block-diagonal preconditioning in the Galerkin/FMM solver.</w:t>
            </w:r>
          </w:p>
        </w:tc>
        <w:tc>
          <w:tcPr>
            <w:tcW w:w="2720" w:type="dxa"/>
            <w:vAlign w:val="center"/>
          </w:tcPr>
          <w:p>
            <w:pPr>
              <w:spacing w:after="0" w:before="0"/>
            </w:pPr>
            <w:r>
              <w:rPr>
                <w:rFonts w:ascii="Times New Roman" w:hAnsi="Times New Roman"/>
                <w:b w:val="0"/>
                <w:sz w:val="16"/>
              </w:rPr>
              <w:t>Near-field graph ILU(0) with exact 2 x 2 local blocks; no fill beyond graph.</w:t>
            </w:r>
          </w:p>
        </w:tc>
      </w:tr>
      <w:tr w:rsidR="000B62E7" w14:paraId="065C6827" w14:textId="77777777">
        <w:trPr>
          <w:cantSplit/>
          <w:jc w:val="center"/>
        </w:trPr>
        <w:tc>
          <w:tcPr>
            <w:tcW w:w="1200" w:type="dxa"/>
            <w:vAlign w:val="center"/>
          </w:tcPr>
          <w:p>
            <w:pPr>
              <w:spacing w:after="0" w:before="0"/>
            </w:pPr>
            <w:r>
              <w:rPr>
                <w:rFonts w:ascii="Times New Roman" w:hAnsi="Times New Roman"/>
                <w:b w:val="0"/>
                <w:sz w:val="16"/>
              </w:rPr>
              <w:t>Verification emphasis</w:t>
            </w:r>
          </w:p>
        </w:tc>
        <w:tc>
          <w:tcPr>
            <w:tcW w:w="2720" w:type="dxa"/>
            <w:vAlign w:val="center"/>
          </w:tcPr>
          <w:p>
            <w:pPr>
              <w:spacing w:after="0" w:before="0"/>
            </w:pPr>
            <w:r>
              <w:rPr>
                <w:rFonts w:ascii="Times New Roman" w:hAnsi="Times New Roman"/>
                <w:b w:val="0"/>
                <w:sz w:val="16"/>
              </w:rPr>
              <w:t>Energy error and runtime against extrapolated surface-resolution references.</w:t>
            </w:r>
          </w:p>
        </w:tc>
        <w:tc>
          <w:tcPr>
            <w:tcW w:w="2720" w:type="dxa"/>
            <w:vAlign w:val="center"/>
          </w:tcPr>
          <w:p>
            <w:pPr>
              <w:spacing w:after="0" w:before="0"/>
            </w:pPr>
            <w:r>
              <w:rPr>
                <w:rFonts w:ascii="Times New Roman" w:hAnsi="Times New Roman"/>
                <w:b w:val="0"/>
                <w:sz w:val="16"/>
              </w:rPr>
              <w:t>Accuracy established under the reference tests of the published method.</w:t>
            </w:r>
          </w:p>
        </w:tc>
        <w:tc>
          <w:tcPr>
            <w:tcW w:w="2720" w:type="dxa"/>
            <w:vAlign w:val="center"/>
          </w:tcPr>
          <w:p>
            <w:pPr>
              <w:spacing w:after="0" w:before="0"/>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pPr>
            <w:r>
              <w:rPr>
                <w:rFonts w:ascii="Times New Roman" w:hAnsi="Times New Roman"/>
                <w:b w:val="0"/>
                <w:sz w:val="16"/>
              </w:rPr>
              <w:t>Hardware status</w:t>
            </w:r>
          </w:p>
        </w:tc>
        <w:tc>
          <w:tcPr>
            <w:tcW w:w="2720" w:type="dxa"/>
            <w:vAlign w:val="center"/>
          </w:tcPr>
          <w:p>
            <w:pPr>
              <w:spacing w:after="0" w:before="0"/>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pPr>
            <w:r>
              <w:rPr>
                <w:rFonts w:ascii="Times New Roman" w:hAnsi="Times New Roman"/>
                <w:b w:val="0"/>
                <w:sz w:val="16"/>
              </w:rPr>
              <w:t>Used here as the closest analytical FMM-BIE reference, not as a wall-time target.</w:t>
            </w:r>
          </w:p>
        </w:tc>
        <w:tc>
          <w:tcPr>
            <w:tcW w:w="2720" w:type="dxa"/>
            <w:vAlign w:val="center"/>
          </w:tcPr>
          <w:p>
            <w:pPr>
              <w:spacing w:after="0" w:before="0"/>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p>
      <w:pPr/>
      <w:r>
        <w:rPr>
          <w:rFonts w:ascii="Times New Roman" w:hAnsi="Times New Roman" w:eastAsia="Times New Roman"/>
          <w:sz w:val="20"/>
        </w:rPr>
        <w:t>The sampled-audit policy is anchored by a separate dense-direct mini-protein calibration: for 1VII, 1UBQ, and 2CI2 64-atom subsets, guarded p4 reproduced full dense TABI energies with maximum absolute error 6.30e-4 kJ/mol and maximum sampled direct-operator residual 1.27e-6.</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2"/>
        </w:rPr>
        <w:t>The present evidence has explicit limits. The benchmark is CPU/AVX2-only, uses six protein fixtures, and relies on sampled direct-operator audits for full-protein verification rather than full dense O(N^2) reaction-energy oracles. Section 3.5 and the Supplement add p-order, opening-angle, guard, tail-policy, and ILU neighbor-cap sensitivity checks, but they do not replace a full dense small-system oracle, surface-density scaling, or a larger public-protein validation set. The reported settings should therefore be read as reproducible protocol choices for the tested cases, not as universal parameter optima.</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locked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Compact ablation and sensitivity summary for the reported p4/cap-64 protocol.</w:t>
      </w:r>
    </w:p>
    <w:tbl>
      <w:tblPr>
        <w:tblStyle w:val="TableGrid"/>
        <w:tblW w:type="auto" w:w="0"/>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top"/>
            <w:shd w:fill="E5E7EB"/>
          </w:tcPr>
          <w:p>
            <w:r>
              <w:rPr>
                <w:b/>
              </w:rPr>
              <w:t>Axis</w:t>
            </w:r>
          </w:p>
        </w:tc>
        <w:tc>
          <w:tcPr>
            <w:tcW w:type="dxa" w:w="2448"/>
            <w:vAlign w:val="top"/>
            <w:shd w:fill="E5E7EB"/>
          </w:tcPr>
          <w:p>
            <w:r>
              <w:rPr>
                <w:b/>
              </w:rPr>
              <w:t>Evidence</w:t>
            </w:r>
          </w:p>
        </w:tc>
        <w:tc>
          <w:tcPr>
            <w:tcW w:type="dxa" w:w="3456"/>
            <w:vAlign w:val="top"/>
            <w:shd w:fill="E5E7EB"/>
          </w:tcPr>
          <w:p>
            <w:r>
              <w:rPr>
                <w:b/>
              </w:rPr>
              <w:t>Main observation</w:t>
            </w:r>
          </w:p>
        </w:tc>
        <w:tc>
          <w:tcPr>
            <w:tcW w:type="dxa" w:w="2232"/>
            <w:vAlign w:val="top"/>
            <w:shd w:fill="E5E7EB"/>
          </w:tcPr>
          <w:p>
            <w:r>
              <w:rPr>
                <w:b/>
              </w:rPr>
              <w:t>Boundary</w:t>
            </w:r>
          </w:p>
        </w:tc>
      </w:tr>
      <w:tr>
        <w:trPr>
          <w:cantSplit/>
        </w:trPr>
        <w:tc>
          <w:tcPr>
            <w:tcW w:type="dxa" w:w="2088"/>
            <w:vAlign w:val="top"/>
          </w:tcPr>
          <w:p>
            <w:r>
              <w:t>Direct/FMM/ILU ladder</w:t>
            </w:r>
          </w:p>
        </w:tc>
        <w:tc>
          <w:tcPr>
            <w:tcW w:type="dxa" w:w="2448"/>
            <w:vAlign w:val="top"/>
          </w:tcPr>
          <w:p>
            <w:r>
              <w:t>Six-protein ladder in Table 3</w:t>
            </w:r>
          </w:p>
        </w:tc>
        <w:tc>
          <w:tcPr>
            <w:tcW w:type="dxa" w:w="3456"/>
            <w:vAlign w:val="top"/>
          </w:tcPr>
          <w:p>
            <w:r>
              <w:t>Low-order FMM reduces matvec cost but does not remove Krylov stalls with weak preconditioners; near-field ILU(0) stabilizes the tested solves.</w:t>
            </w:r>
          </w:p>
        </w:tc>
        <w:tc>
          <w:tcPr>
            <w:tcW w:type="dxa" w:w="2232"/>
            <w:vAlign w:val="top"/>
          </w:tcPr>
          <w:p>
            <w:r>
              <w:t>Not an exhaustive preconditioner comparison.</w:t>
            </w:r>
          </w:p>
        </w:tc>
      </w:tr>
      <w:tr>
        <w:trPr>
          <w:cantSplit/>
        </w:trPr>
        <w:tc>
          <w:tcPr>
            <w:tcW w:type="dxa" w:w="2088"/>
            <w:vAlign w:val="top"/>
          </w:tcPr>
          <w:p>
            <w:r>
              <w:t>ILU(0) cost split</w:t>
            </w:r>
          </w:p>
        </w:tc>
        <w:tc>
          <w:tcPr>
            <w:tcW w:type="dxa" w:w="2448"/>
            <w:vAlign w:val="top"/>
          </w:tcPr>
          <w:p>
            <w:r>
              <w:t>1A63 profile: 5.15 s setup, 6.37 s total application, 151.9 s p4 matvec, 312.6 s wall</w:t>
            </w:r>
          </w:p>
        </w:tc>
        <w:tc>
          <w:tcPr>
            <w:tcW w:type="dxa" w:w="3456"/>
            <w:vAlign w:val="top"/>
          </w:tcPr>
          <w:p>
            <w:r>
              <w:t>The ILU(0) overhead is small relative to the measured solve cost in this CPU workflow.</w:t>
            </w:r>
          </w:p>
        </w:tc>
        <w:tc>
          <w:tcPr>
            <w:tcW w:type="dxa" w:w="2232"/>
            <w:vAlign w:val="top"/>
          </w:tcPr>
          <w:p>
            <w:r>
              <w:t>Larger-panel setup and factor-memory scaling remain open.</w:t>
            </w:r>
          </w:p>
        </w:tc>
      </w:tr>
      <w:tr>
        <w:trPr>
          <w:cantSplit/>
        </w:trPr>
        <w:tc>
          <w:tcPr>
            <w:tcW w:type="dxa" w:w="2088"/>
            <w:vAlign w:val="top"/>
          </w:tcPr>
          <w:p>
            <w:r>
              <w:t>Geometry guard</w:t>
            </w:r>
          </w:p>
        </w:tc>
        <w:tc>
          <w:tcPr>
            <w:tcW w:type="dxa" w:w="2448"/>
            <w:vAlign w:val="top"/>
          </w:tcPr>
          <w:p>
            <w:r>
              <w:t>Six-protein guard-on/guard-off runs</w:t>
            </w:r>
          </w:p>
        </w:tc>
        <w:tc>
          <w:tcPr>
            <w:tcW w:type="dxa" w:w="3456"/>
            <w:vAlign w:val="top"/>
          </w:tcPr>
          <w:p>
            <w:r>
              <w:t>Guard-off keeps GMRES convergence but fails 1A63 sampled audit (5.18e-2); guard-on reduces the 1A63 audit to 2.53e-3.</w:t>
            </w:r>
          </w:p>
        </w:tc>
        <w:tc>
          <w:tcPr>
            <w:tcW w:type="dxa" w:w="2232"/>
            <w:vAlign w:val="top"/>
          </w:tcPr>
          <w:p>
            <w:r>
              <w:t>Evidence supports the guard for this panel, not all geometries.</w:t>
            </w:r>
          </w:p>
        </w:tc>
      </w:tr>
      <w:tr>
        <w:trPr>
          <w:cantSplit/>
        </w:trPr>
        <w:tc>
          <w:tcPr>
            <w:tcW w:type="dxa" w:w="2088"/>
            <w:vAlign w:val="top"/>
          </w:tcPr>
          <w:p>
            <w:r>
              <w:t>Opening theta</w:t>
            </w:r>
          </w:p>
        </w:tc>
        <w:tc>
          <w:tcPr>
            <w:tcW w:type="dxa" w:w="2448"/>
            <w:vAlign w:val="top"/>
          </w:tcPr>
          <w:p>
            <w:r>
              <w:t>theta = 0.4, 0.5, 0.6, 0.7</w:t>
            </w:r>
          </w:p>
        </w:tc>
        <w:tc>
          <w:tcPr>
            <w:tcW w:type="dxa" w:w="3456"/>
            <w:vAlign w:val="top"/>
          </w:tcPr>
          <w:p>
            <w:r>
              <w:t>All four settings pass; median wall time ranges from 142.9 s to 126.2 s.</w:t>
            </w:r>
          </w:p>
        </w:tc>
        <w:tc>
          <w:tcPr>
            <w:tcW w:type="dxa" w:w="2232"/>
            <w:vAlign w:val="top"/>
          </w:tcPr>
          <w:p>
            <w:r>
              <w:t>theta = 0.6 is the locked protocol value, not a global optimum.</w:t>
            </w:r>
          </w:p>
        </w:tc>
      </w:tr>
      <w:tr>
        <w:trPr>
          <w:cantSplit/>
        </w:trPr>
        <w:tc>
          <w:tcPr>
            <w:tcW w:type="dxa" w:w="2088"/>
            <w:vAlign w:val="top"/>
          </w:tcPr>
          <w:p>
            <w:r>
              <w:t>Expansion order</w:t>
            </w:r>
          </w:p>
        </w:tc>
        <w:tc>
          <w:tcPr>
            <w:tcW w:type="dxa" w:w="2448"/>
            <w:vAlign w:val="top"/>
          </w:tcPr>
          <w:p>
            <w:r>
              <w:t>p2/p3/p4/p5 rows on six proteins</w:t>
            </w:r>
          </w:p>
        </w:tc>
        <w:tc>
          <w:tcPr>
            <w:tcW w:type="dxa" w:w="3456"/>
            <w:vAlign w:val="top"/>
          </w:tcPr>
          <w:p>
            <w:r>
              <w:t>All tested orders pass under the guard. p2 is fallback-dominated; p4 preserves far-field compression and gives the lowest observed mean wall time among far-compressed rows.</w:t>
            </w:r>
          </w:p>
        </w:tc>
        <w:tc>
          <w:tcPr>
            <w:tcW w:type="dxa" w:w="2232"/>
            <w:vAlign w:val="top"/>
          </w:tcPr>
          <w:p>
            <w:r>
              <w:t>Additional meshes and systems are needed before recommending a general p order.</w:t>
            </w:r>
          </w:p>
        </w:tc>
      </w:tr>
      <w:tr>
        <w:trPr>
          <w:cantSplit/>
        </w:trPr>
        <w:tc>
          <w:tcPr>
            <w:tcW w:type="dxa" w:w="2088"/>
            <w:vAlign w:val="top"/>
          </w:tcPr>
          <w:p>
            <w:r>
              <w:t>ILU neighbor cap</w:t>
            </w:r>
          </w:p>
        </w:tc>
        <w:tc>
          <w:tcPr>
            <w:tcW w:type="dxa" w:w="2448"/>
            <w:vAlign w:val="top"/>
          </w:tcPr>
          <w:p>
            <w:r>
              <w:t>Caps 32, 64, 128 on Barnase, 1A63, 1SH1</w:t>
            </w:r>
          </w:p>
        </w:tc>
        <w:tc>
          <w:tcPr>
            <w:tcW w:type="dxa" w:w="3456"/>
            <w:vAlign w:val="top"/>
          </w:tcPr>
          <w:p>
            <w:r>
              <w:t>All caps pass. Cap 64 gives the lowest mean matvec time with moderate graph size and memory in this subset.</w:t>
            </w:r>
          </w:p>
        </w:tc>
        <w:tc>
          <w:tcPr>
            <w:tcW w:type="dxa" w:w="2232"/>
            <w:vAlign w:val="top"/>
          </w:tcPr>
          <w:p>
            <w:r>
              <w:t>A larger cap sweep is needed before claiming cap optimality.</w:t>
            </w:r>
          </w:p>
        </w:tc>
      </w:tr>
      <w:tr>
        <w:trPr>
          <w:cantSplit/>
        </w:trPr>
        <w:tc>
          <w:tcPr>
            <w:tcW w:type="dxa" w:w="2088"/>
            <w:vAlign w:val="top"/>
          </w:tcPr>
          <w:p>
            <w:r>
              <w:t>Tail indicator</w:t>
            </w:r>
          </w:p>
        </w:tc>
        <w:tc>
          <w:tcPr>
            <w:tcW w:type="dxa" w:w="2448"/>
            <w:vAlign w:val="top"/>
          </w:tcPr>
          <w:p>
            <w:r>
              <w:t>Tail-on rows pass; tail-off rows stop at the guarded validator</w:t>
            </w:r>
          </w:p>
        </w:tc>
        <w:tc>
          <w:tcPr>
            <w:tcW w:type="dxa" w:w="3456"/>
            <w:vAlign w:val="top"/>
          </w:tcPr>
          <w:p>
            <w:r>
              <w:t>Tail refinement is part of the validated workflow.</w:t>
            </w:r>
          </w:p>
        </w:tc>
        <w:tc>
          <w:tcPr>
            <w:tcW w:type="dxa" w:w="2232"/>
            <w:vAlign w:val="top"/>
          </w:tcPr>
          <w:p>
            <w:r>
              <w:t>A deliberately relaxed tail-off numerical run would be needed to isolate the tail term alone.</w:t>
            </w:r>
          </w:p>
        </w:tc>
      </w:tr>
    </w:tbl>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observed mean wall time among the far-compressed configurations in this panel. This is a protocol choice, not evidence that p4 is the best order in all regimes.</w:t>
      </w:r>
    </w:p>
    <w:p>
      <w:pPr/>
      <w:r>
        <w:t>The p2 coverage logs rule out a simple skipped-work explanation.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not omission of far-field work.</w:t>
      </w:r>
    </w:p>
    <w:p>
      <w:r>
        <w:t>The ILU neighbor-cap sweep was run on Barnase, 1A63, and 1SH1 under the guarded p4 protocol. Caps 32, 64, and 128 all passed the sampled direct-operator gate. Cap 32 was the most memory-lean row in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support the selected p4/cap-64 guarded workflow for the current benchmark panel while keeping the stronger questions--larger protein sets, mesh-density scaling, and full dense small-system oracles--outside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2"/>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Krylov-robust and auditable on CPU hardware.</w:t>
      </w:r>
    </w:p>
    <w:p>
      <w:pPr>
        <w:pStyle w:val="Heading1"/>
      </w:pPr>
      <w:r>
        <w:rPr>
          <w:rFonts w:ascii="Times New Roman" w:hAnsi="Times New Roman"/>
          <w:sz w:val="22"/>
        </w:rPr>
        <w:t>Code and Data Availability</w:t>
      </w:r>
    </w:p>
    <w:p>
      <w:pPr/>
      <w:r>
        <w:t>The TITAN source code corresponding to this manuscript has been prepared for release under the MIT License as the local snapshot tag fagbi-submission-v0.1 on branch fagbi-submission-2026. Before submission, this paragraph must be updated with the public GitHub release URL and the Zenodo DOI minted from that tagged release. The archived release should include source code, build instructions, benchmark manifests, input metadata, scripts, figures, and reference outputs for Tables 3-6 and Supplementary Tables S1-S4. Public protein structures are identified by their RCSB PDB accession codes; derived surface metadata, run manifests, and tabulated outputs corresponding to the manuscript tables are included in the release-readiness manifest. A SHA-256 artifact manifest records the manuscript, benchmark scripts, public-fixture manifests, figures, and tabulated reference outputs intended for the archived release.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pPr>
            <w:r>
              <w:rPr>
                <w:rFonts w:ascii="Times New Roman" w:hAnsi="Times New Roman"/>
                <w:b w:val="0"/>
                <w:sz w:val="16"/>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pPr>
            <w:r>
              <w:rPr>
                <w:rFonts w:ascii="Times New Roman" w:hAnsi="Times New Roman"/>
                <w:b w:val="0"/>
                <w:sz w:val="16"/>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pPr>
            <w:r>
              <w:rPr>
                <w:rFonts w:ascii="Times New Roman" w:hAnsi="Times New Roman"/>
                <w:b w:val="0"/>
                <w:sz w:val="16"/>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pPr>
            <w:r>
              <w:rPr>
                <w:rFonts w:ascii="Times New Roman" w:hAnsi="Times New Roman"/>
                <w:b w:val="0"/>
                <w:sz w:val="16"/>
              </w:rPr>
              <w:t>576</w:t>
            </w:r>
          </w:p>
        </w:tc>
        <w:tc>
          <w:tcPr>
            <w:tcW w:w="1400" w:type="dxa"/>
            <w:vAlign w:val="center"/>
          </w:tcPr>
          <w:p>
            <w:pPr>
              <w:spacing w:after="0" w:before="0"/>
            </w:pPr>
            <w:r>
              <w:rPr>
                <w:rFonts w:ascii="Times New Roman" w:hAnsi="Times New Roman"/>
                <w:b w:val="0"/>
                <w:sz w:val="16"/>
              </w:rPr>
              <w:t>no passing solve under budget</w:t>
            </w:r>
          </w:p>
        </w:tc>
        <w:tc>
          <w:tcPr>
            <w:tcW w:w="3260" w:type="dxa"/>
            <w:vAlign w:val="center"/>
          </w:tcPr>
          <w:p>
            <w:pPr>
              <w:spacing w:after="0" w:before="0"/>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pPr>
            <w:r>
              <w:rPr>
                <w:rFonts w:ascii="Times New Roman" w:hAnsi="Times New Roman"/>
                <w:b w:val="0"/>
                <w:sz w:val="16"/>
              </w:rPr>
              <w:t>median 1.207e-02</w:t>
            </w:r>
          </w:p>
        </w:tc>
        <w:tc>
          <w:tcPr>
            <w:tcW w:w="3260" w:type="dxa"/>
            <w:vAlign w:val="center"/>
          </w:tcPr>
          <w:p>
            <w:pPr>
              <w:spacing w:after="0" w:before="0"/>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pPr>
            <w:r>
              <w:rPr>
                <w:rFonts w:ascii="Times New Roman" w:hAnsi="Times New Roman"/>
                <w:b w:val="0"/>
                <w:sz w:val="16"/>
              </w:rPr>
              <w:t>median 1.258e-02</w:t>
            </w:r>
          </w:p>
        </w:tc>
        <w:tc>
          <w:tcPr>
            <w:tcW w:w="3260" w:type="dxa"/>
            <w:vAlign w:val="center"/>
          </w:tcPr>
          <w:p>
            <w:pPr>
              <w:spacing w:after="0" w:before="0"/>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pPr>
            <w:r>
              <w:rPr>
                <w:rFonts w:ascii="Times New Roman" w:hAnsi="Times New Roman"/>
                <w:b w:val="0"/>
                <w:sz w:val="16"/>
              </w:rPr>
              <w:t>median 4.052e-02; max 9.671e-01</w:t>
            </w:r>
          </w:p>
        </w:tc>
        <w:tc>
          <w:tcPr>
            <w:tcW w:w="3260" w:type="dxa"/>
            <w:vAlign w:val="center"/>
          </w:tcPr>
          <w:p>
            <w:pPr>
              <w:spacing w:after="0" w:before="0"/>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pPr>
            <w:r>
              <w:rPr>
                <w:rFonts w:ascii="Times New Roman" w:hAnsi="Times New Roman"/>
                <w:b w:val="0"/>
                <w:sz w:val="16"/>
              </w:rPr>
              <w:t>median 1.121e-05; max 2.534e-03</w:t>
            </w:r>
          </w:p>
        </w:tc>
        <w:tc>
          <w:tcPr>
            <w:tcW w:w="3260" w:type="dxa"/>
            <w:vAlign w:val="center"/>
          </w:tcPr>
          <w:p>
            <w:pPr>
              <w:spacing w:after="0" w:before="0"/>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pPr>
            <w:r>
              <w:rPr>
                <w:rFonts w:ascii="Times New Roman" w:hAnsi="Times New Roman"/>
                <w:b/>
                <w:sz w:val="16"/>
              </w:rPr>
              <w:t>Internal residual</w:t>
            </w:r>
          </w:p>
        </w:tc>
        <w:tc>
          <w:tcPr>
            <w:tcW w:w="1050" w:type="dxa"/>
            <w:shd w:val="clear" w:color="auto" w:fill="E7E6E6"/>
            <w:vAlign w:val="center"/>
          </w:tcPr>
          <w:p>
            <w:r>
              <w:t>Sampled audit RMS</w:t>
            </w:r>
          </w:p>
        </w:tc>
        <w:tc>
          <w:tcPr>
            <w:tcW w:w="1200" w:type="dxa"/>
            <w:shd w:val="clear" w:color="auto" w:fill="E7E6E6"/>
            <w:vAlign w:val="center"/>
          </w:tcPr>
          <w:p>
            <w:r>
              <w:t>Sampled direct true residual</w:t>
            </w:r>
          </w:p>
        </w:tc>
        <w:tc>
          <w:tcPr>
            <w:tcW w:w="700" w:type="dxa"/>
            <w:shd w:val="clear" w:color="auto" w:fill="E7E6E6"/>
            <w:vAlign w:val="center"/>
          </w:tcPr>
          <w:p w14:paraId="1CC77690" w14:textId="77777777" w:rsidR="000B62E7" w:rsidRDefault="00A65B0F">
            <w:pPr>
              <w:spacing w:after="0" w:line="240" w:lineRule="auto" w:before="0"/>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pPr>
            <w:r>
              <w:rPr>
                <w:rFonts w:ascii="Times New Roman" w:hAnsi="Times New Roman"/>
                <w:b/>
                <w:sz w:val="16"/>
              </w:rPr>
              <w:t>Energy</w:t>
            </w:r>
          </w:p>
        </w:tc>
        <w:tc>
          <w:tcPr>
            <w:tcW w:w="1050" w:type="dxa"/>
            <w:shd w:val="clear" w:color="auto" w:fill="E7E6E6"/>
            <w:vAlign w:val="center"/>
          </w:tcPr>
          <w:p>
            <w:r>
              <w:t>Sampled audit max</w:t>
            </w:r>
          </w:p>
        </w:tc>
        <w:tc>
          <w:tcPr>
            <w:tcW w:w="1450" w:type="dxa"/>
            <w:shd w:val="clear" w:color="auto" w:fill="E7E6E6"/>
            <w:vAlign w:val="center"/>
          </w:tcPr>
          <w:p>
            <w:r>
              <w:t>Sampled direct true residual max</w:t>
            </w:r>
          </w:p>
        </w:tc>
        <w:tc>
          <w:tcPr>
            <w:tcW w:w="1150" w:type="dxa"/>
            <w:shd w:val="clear" w:color="auto" w:fill="E7E6E6"/>
            <w:vAlign w:val="center"/>
          </w:tcPr>
          <w:p w14:paraId="57C16C6E" w14:textId="77777777" w:rsidR="000B62E7" w:rsidRDefault="00A65B0F">
            <w:pPr>
              <w:spacing w:after="0" w:line="240" w:lineRule="auto" w:before="0"/>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guarded p4 manuscript with dense-direct calibration</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