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2"/>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2"/>
        </w:rPr>
        <w:t>Hoang Linh Nguyen1,2,*</w:t>
      </w:r>
    </w:p>
    <w:p w14:paraId="3854554C" w14:textId="77777777" w:rsidR="000B62E7" w:rsidRDefault="00A65B0F">
      <w:pPr>
        <w:jc w:val="center"/>
      </w:pPr>
      <w:r>
        <w:rPr>
          <w:rFonts w:ascii="Times New Roman" w:hAnsi="Times New Roman"/>
          <w:sz w:val="22"/>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2"/>
        </w:rPr>
        <w:t>2Faculty of Environmental and Natural Sciences, Duy Tan University, Da Nang 550000, Vietnam</w:t>
      </w:r>
    </w:p>
    <w:p w14:paraId="6FF2A17D" w14:textId="77777777" w:rsidR="000B62E7" w:rsidRDefault="00A65B0F">
      <w:pPr>
        <w:jc w:val="center"/>
      </w:pPr>
      <w:r>
        <w:rPr>
          <w:rFonts w:ascii="Times New Roman" w:hAnsi="Times New Roman"/>
          <w:sz w:val="22"/>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t>Grid-based Poisson-Boltzmann solvers are robust and widely used, but volumetric discretization can impose substantial memory costs and approximate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directly evaluated 2 x 2 coupled near-field blocks on a capped spatial-neighbor graph, while the guarded p4 operator uses algebraic and geometric acceptance checks with deterministic direct fallback for risky interactions. On the six-protein panel reported here, weakly preconditioned degree-one FMM configurations did not meet the benchmark acceptance criteria, whereas rows using near-field ILU(0) reached the GMRES stopping criterion in 128 reported iterations across all fixtures. The guarded p4 + sparse ILU(0) path retained this convergence behavior and passed sampled direct-operator audits, with a maximum sampled residual of 2.534e-3 and peak resident memory of 369.6 MB. Additional p-order and neighbor-cap sweeps support the reported p4/cap-64 setting as a reproducible operating point for the tested cases; no general optimality claim is made.</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2"/>
        </w:rPr>
        <w:t>Implicit-solvent electrostatics is a standard approximation in biomolecular modeling.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2"/>
        </w:rPr>
        <w:t>Boundary-integral equation (BIE) formulations provide an alternative discretization.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2"/>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2"/>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2"/>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2"/>
        </w:rPr>
        <w:t>The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 The p4/cap-64 setting is reported as a tested protocol choice, not as a universal parameter recommendation.</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jc w:val="both"/>
        <w:rPr>
          <w:lang w:val="vi-VN"/>
        </w:rPr>
      </w:pPr>
      <w:r>
        <w:rPr>
          <w:rFonts w:ascii="Times New Roman" w:hAnsi="Times New Roman"/>
          <w:b w:val="0"/>
          <w:sz w:val="22"/>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2"/>
        </w:rPr>
        <w:t>TITAN solves a coupled boundary-integral Poisson-Boltzmann system on triangulated molecular surfaces. Following the TABI boundary-integral formulation [10],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w:t>
      </w:r>
    </w:p>
    <w:p w14:paraId="1DC6D523" w14:textId="77777777" w:rsidR="006328A9" w:rsidRPr="006328A9" w:rsidRDefault="006328A9" w:rsidP="006328A9">
      <w:pPr>
        <w:jc w:val="both"/>
      </w:pPr>
      <w:r>
        <w:rPr>
          <w:rFonts w:ascii="Times New Roman" w:hAnsi="Times New Roman"/>
          <w:sz w:val="22"/>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2"/>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2"/>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2"/>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2"/>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rPr>
          <w:rFonts w:ascii="Times New Roman" w:hAnsi="Times New Roman"/>
          <w:sz w:val="22"/>
        </w:rP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2"/>
        </w:rPr>
      </w:r>
      <w:r>
        <w:t>Here the multi-index gamma labels the Coulomb or screened Green-function jet coefficient through degree 9. K1 and K3 use base Green jets, while K2 and K4 reconstruct source-normal derivative terms from adjacent jet coefficients during contraction.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2"/>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2"/>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2"/>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2"/>
        </w:rPr>
        <w:t>For each target panel i, the graph contains the self-edge and a deterministic set of spatially adjacent source panels j, capped at 64 neighbors in the reported guarded configuration. On each graph edge, TITAN stores a directly evaluated 2 x 2 coupled local operator block A_ij. ILU(0) factorization [4] is then performed strictly on this sparsity pattern. The resulting preconditioner retains selected cross-leaf near-field couplings while avoiding fill-in beyond the graph. Section 3.5 and the Supplement compare caps 32, 64, and 128 on the primary cap-sweep subset; cap 64 is used as the reported protocol value rather than as a claimed optimum.</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2"/>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2"/>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t>For the full-protein panel, full O(N^2) dense direct reaction-energy oracles were not computed. Instead, the reported verification uses two sampled dense-reference quantities. The sampled audit RMS is the root-mean-square discrepancy between accelerated and dense direct operator rows on sampled target panels. The sampled direct true residual is the residual of the final solution evaluated on the same sampled dense direct rows with the same normalization; the two values can therefore be numerically close when the accelerated-row discrepancy dominates the sampled residual. The manuscript-facing guarded p4 ladder used 512 sampled target panels per protein. The p-order coverage sweep used a separate 1024-row sampled audit to stress-test fallback accounting; these two audit sizes are reported separately and were not pooled. These metrics test agreement with dense direct evaluations on audited panels and are reported separately from internal GMRES residuals. The sampled direct-operator gate separates known failed far-field configurations from guarded accepted rows and is applied in addition to the 10^-6 Krylov stopping tolerance because internal GMRES convergence alone does not verify agreement with the dense direct operator.</w:t>
      </w:r>
    </w:p>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2"/>
        </w:rPr>
        <w:t>Protein structures were prepared with PDB2PQR/APBS-family tooling [6], [7]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2"/>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pPr>
        <w:pStyle w:val="Caption"/>
        <w:spacing w:before="160" w:after="80"/>
      </w:pPr>
      <w:r>
        <w:rPr>
          <w:rFonts w:ascii="Times New Roman" w:hAnsi="Times New Roman"/>
          <w:sz w:val="20"/>
        </w:rPr>
        <w:t>Table M1. Reproducibility parameters for the manuscript-facing TITAN benchmarks.</w:t>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1656"/>
            <w:vAlign w:val="center"/>
            <w:shd w:fill="E5E7EB"/>
          </w:tcPr>
          <w:p>
            <w:pPr>
              <w:spacing w:after="0" w:before="0"/>
              <w:jc w:val="left"/>
            </w:pPr>
            <w:r>
              <w:rPr>
                <w:rFonts w:ascii="Times New Roman" w:hAnsi="Times New Roman"/>
                <w:b/>
                <w:sz w:val="16"/>
              </w:rPr>
            </w:r>
            <w:r>
              <w:rPr>
                <w:rFonts w:ascii="Times New Roman" w:hAnsi="Times New Roman"/>
                <w:b/>
                <w:sz w:val="16"/>
              </w:rPr>
              <w:t>Category</w:t>
            </w:r>
          </w:p>
        </w:tc>
        <w:tc>
          <w:tcPr>
            <w:tcW w:type="dxa" w:w="2232"/>
            <w:vAlign w:val="center"/>
            <w:shd w:fill="E5E7EB"/>
          </w:tcPr>
          <w:p>
            <w:pPr>
              <w:spacing w:after="0" w:before="0"/>
              <w:jc w:val="left"/>
            </w:pPr>
            <w:r>
              <w:rPr>
                <w:rFonts w:ascii="Times New Roman" w:hAnsi="Times New Roman"/>
                <w:b/>
                <w:sz w:val="16"/>
              </w:rPr>
            </w:r>
            <w:r>
              <w:rPr>
                <w:rFonts w:ascii="Times New Roman" w:hAnsi="Times New Roman"/>
                <w:b/>
                <w:sz w:val="16"/>
              </w:rPr>
              <w:t>Parameter</w:t>
            </w:r>
          </w:p>
        </w:tc>
        <w:tc>
          <w:tcPr>
            <w:tcW w:type="dxa" w:w="3096"/>
            <w:vAlign w:val="center"/>
            <w:shd w:fill="E5E7EB"/>
          </w:tcPr>
          <w:p>
            <w:pPr>
              <w:spacing w:after="0" w:before="0"/>
              <w:jc w:val="left"/>
            </w:pPr>
            <w:r>
              <w:rPr>
                <w:rFonts w:ascii="Times New Roman" w:hAnsi="Times New Roman"/>
                <w:b/>
                <w:sz w:val="16"/>
              </w:rPr>
            </w:r>
            <w:r>
              <w:rPr>
                <w:rFonts w:ascii="Times New Roman" w:hAnsi="Times New Roman"/>
                <w:b/>
                <w:sz w:val="16"/>
              </w:rPr>
              <w:t>Value used in the reported rows</w:t>
            </w:r>
          </w:p>
        </w:tc>
        <w:tc>
          <w:tcPr>
            <w:tcW w:type="dxa" w:w="3384"/>
            <w:vAlign w:val="center"/>
            <w:shd w:fill="E5E7EB"/>
          </w:tcPr>
          <w:p>
            <w:pPr>
              <w:spacing w:after="0" w:before="0"/>
              <w:jc w:val="left"/>
            </w:pPr>
            <w:r>
              <w:rPr>
                <w:rFonts w:ascii="Times New Roman" w:hAnsi="Times New Roman"/>
                <w:b/>
                <w:sz w:val="16"/>
              </w:rPr>
            </w:r>
            <w:r>
              <w:rPr>
                <w:rFonts w:ascii="Times New Roman" w:hAnsi="Times New Roman"/>
                <w:b/>
                <w:sz w:val="16"/>
              </w:rPr>
              <w:t>Evidence and notes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Dielectric constants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solute epsilon = 1; solvent epsilon = 80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-pbe-int-diel=1, -pbe-ext-diel=80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Ionic strength and temperature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0.15 M salt, 298.15 K</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-pbe-salt=0.15, -pbe-temp=298.15</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Screening parameter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kappa = 0.12746 A^-1 in TABI profile at 0.15 M</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as kappa_inv_A in pbe_tabi_profile.csv</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Charge/radius model</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AMBER/PDB2PQR charges and radii; TITAN force-field tag AMBER99SB</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PQR provenance plus -ff=AMBER99SB runtime option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PDB2PQR preparation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PDB2PQR 3.7.1, AMBER, pH 7.0, chain retained, PROPKA titration-state method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Fixture manifests record command and SHA256 checksums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Radius floor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0.6000 A post-processing floor for zero-radius PDB2PQR atoms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Recorded as postprocess-radius-floor=0.6000A</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Boundary surface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van der Waals molecular surface</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-pbe-surface=vdw</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Panel generation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TABI sphere-patch triangular surface, surface-points request = 8</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Actual panel counts reported per protein in the system table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Collocation/discretization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centroid panel collocation with analytic-singular near integration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discretization=centroid, near_integration=analytic_singular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Operator</w:t>
            </w:r>
          </w:p>
        </w:tc>
        <w:tc>
          <w:tcPr>
            <w:tcW w:type="dxa" w:w="3096"/>
            <w:vAlign w:val="center"/>
          </w:tcPr>
          <w:p>
            <w:pPr>
              <w:spacing w:after="0" w:before="0"/>
              <w:jc w:val="left"/>
            </w:pPr>
            <w:r>
              <w:rPr>
                <w:sz w:val="16"/>
              </w:rPr>
              <w:t>TABI 2013 coupled two-row boundary-integral formulation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bie_system=linear_pb_2x2</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 TABI reference meaning</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direct summation of the dense panel-panel boundary-integral operator</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No grid or FMM acceleration in direct TABI rows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GMRES controls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relative tolerance 1e-6, dphi 1e-6, restart 128, max iterations 720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-pbe-rms, -pbe-dphi, -pbe-tabi-gmres-restart, -pbe-max-iter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Preconditioning</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Guarded p4 preconditioner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sparse near-field ILU(0), neighbor cap 64, drop tolerance 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-pbe-tabi-precond=fmm-nearfield-ilu0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Verification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Direct-operator audit</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512 sampled targets; audit RMS and sampled direct true residual gate &lt;= 8e-3</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-pbe-tabi-matvec-audit=sampled-detail</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Guarded p4</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Far-field policy</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Taylor order 4, theta 0.6, static tail tolerance 0.002, strict geometry guard theta 0.5</w:t>
            </w:r>
          </w:p>
        </w:tc>
        <w:tc>
          <w:tcPr>
            <w:tcW w:type="dxa" w:w="3384"/>
            <w:vAlign w:val="center"/>
          </w:tcPr>
          <w:p>
            <w:pPr>
              <w:jc w:val="left"/>
            </w:pPr>
            <w:r>
              <w:rPr>
                <w:rFonts w:ascii="Times New Roman" w:hAnsi="Times New Roman"/>
                <w:sz w:val="16"/>
              </w:rPr>
              <w:t>Guarded p4 run manifest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Build and precision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native MinGW build, AVX2 CPU path, double precision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Build command used in gates: mingw32-make PROFILE=native TARGET=titan.exe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4 TITAN worker threads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-nt=4</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Hardware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Intel Core Ultra 7 255H workstation, 30.9 GB RAM, Windows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benchmark environment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 pinning and power mode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OS scheduler default; no explicit thread pinning or power-mode lock recorded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Limitation for external timing reproduction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Timer and RSS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wall-clock process time; peak RSS from process working-set telemetry</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PowerShell runner records wall_seconds and peak_working_set_mb</w:t>
            </w:r>
          </w:p>
        </w:tc>
      </w:tr>
    </w:tbl>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autofit"/>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before="0"/>
              <w:jc w:val="left"/>
            </w:pPr>
            <w:r>
              <w:rPr>
                <w:rFonts w:ascii="Times New Roman" w:hAnsi="Times New Roman"/>
                <w:b/>
                <w:sz w:val="16"/>
              </w:rPr>
              <w:t>Aspect</w:t>
            </w:r>
          </w:p>
        </w:tc>
        <w:tc>
          <w:tcPr>
            <w:tcW w:w="2720" w:type="dxa"/>
            <w:shd w:val="clear" w:color="auto" w:fill="E7E6E6"/>
            <w:vAlign w:val="center"/>
          </w:tcPr>
          <w:p>
            <w:pPr>
              <w:spacing w:after="0" w:before="0"/>
              <w:jc w:val="left"/>
            </w:pPr>
            <w:r>
              <w:rPr>
                <w:rFonts w:ascii="Times New Roman" w:hAnsi="Times New Roman"/>
                <w:b/>
                <w:sz w:val="16"/>
              </w:rPr>
              <w:t>TABI-PB 2.0</w:t>
            </w:r>
          </w:p>
        </w:tc>
        <w:tc>
          <w:tcPr>
            <w:tcW w:w="2720" w:type="dxa"/>
            <w:shd w:val="clear" w:color="auto" w:fill="E7E6E6"/>
            <w:vAlign w:val="center"/>
          </w:tcPr>
          <w:p>
            <w:pPr>
              <w:spacing w:after="0" w:before="0"/>
              <w:jc w:val="left"/>
            </w:pPr>
            <w:r>
              <w:rPr>
                <w:rFonts w:ascii="Times New Roman" w:hAnsi="Times New Roman"/>
                <w:b/>
                <w:sz w:val="16"/>
              </w:rPr>
              <w:t>FAGBI / Cartesian Galerkin FMM</w:t>
            </w:r>
          </w:p>
        </w:tc>
        <w:tc>
          <w:tcPr>
            <w:tcW w:w="2720" w:type="dxa"/>
            <w:shd w:val="clear" w:color="auto" w:fill="E7E6E6"/>
            <w:vAlign w:val="center"/>
          </w:tcPr>
          <w:p>
            <w:pPr>
              <w:spacing w:after="0" w:before="0"/>
              <w:jc w:val="left"/>
            </w:pPr>
            <w:r>
              <w:rPr>
                <w:rFonts w:ascii="Times New Roman" w:hAnsi="Times New Roman"/>
                <w:b/>
                <w:sz w:val="16"/>
              </w:rPr>
              <w:t>TITAN guarded p4 path</w:t>
            </w:r>
          </w:p>
        </w:tc>
      </w:tr>
      <w:tr w:rsidR="000B62E7" w14:paraId="19C02A8C" w14:textId="77777777">
        <w:trPr>
          <w:cantSplit/>
          <w:jc w:val="center"/>
        </w:trPr>
        <w:tc>
          <w:tcPr>
            <w:tcW w:w="1200" w:type="dxa"/>
            <w:vAlign w:val="center"/>
          </w:tcPr>
          <w:p>
            <w:pPr>
              <w:spacing w:after="0" w:before="0"/>
              <w:jc w:val="left"/>
            </w:pPr>
            <w:r>
              <w:rPr>
                <w:rFonts w:ascii="Times New Roman" w:hAnsi="Times New Roman"/>
                <w:b w:val="0"/>
                <w:sz w:val="16"/>
              </w:rPr>
              <w:t>Discretization</w:t>
            </w:r>
          </w:p>
        </w:tc>
        <w:tc>
          <w:tcPr>
            <w:tcW w:w="2720" w:type="dxa"/>
            <w:vAlign w:val="center"/>
          </w:tcPr>
          <w:p>
            <w:pPr>
              <w:spacing w:after="0" w:before="0"/>
              <w:jc w:val="left"/>
            </w:pPr>
            <w:r>
              <w:rPr>
                <w:rFonts w:ascii="Times New Roman" w:hAnsi="Times New Roman"/>
                <w:b w:val="0"/>
                <w:sz w:val="16"/>
              </w:rPr>
              <w:t>Node-patch BIE on NanoShaper surfaces; surface-vertex/patch unknowns.</w:t>
            </w:r>
          </w:p>
        </w:tc>
        <w:tc>
          <w:tcPr>
            <w:tcW w:w="2720" w:type="dxa"/>
            <w:vAlign w:val="center"/>
          </w:tcPr>
          <w:p>
            <w:pPr>
              <w:spacing w:after="0" w:before="0"/>
              <w:jc w:val="left"/>
            </w:pPr>
            <w:r>
              <w:rPr>
                <w:rFonts w:ascii="Times New Roman" w:hAnsi="Times New Roman"/>
                <w:b w:val="0"/>
                <w:sz w:val="16"/>
              </w:rPr>
              <w:t>Galerkin BIE PB with analytical integration and Cartesian FMM acceleration.</w:t>
            </w:r>
          </w:p>
        </w:tc>
        <w:tc>
          <w:tcPr>
            <w:tcW w:w="2720" w:type="dxa"/>
            <w:vAlign w:val="center"/>
          </w:tcPr>
          <w:p>
            <w:pPr>
              <w:spacing w:after="0" w:before="0"/>
              <w:jc w:val="left"/>
            </w:pPr>
            <w:r>
              <w:rPr>
                <w:rFonts w:ascii="Times New Roman" w:hAnsi="Times New Roman"/>
                <w:b w:val="0"/>
                <w:sz w:val="16"/>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before="0"/>
              <w:jc w:val="left"/>
            </w:pPr>
            <w:r>
              <w:rPr>
                <w:rFonts w:ascii="Times New Roman" w:hAnsi="Times New Roman"/>
                <w:b w:val="0"/>
                <w:sz w:val="16"/>
              </w:rPr>
              <w:t>Fast operator</w:t>
            </w:r>
          </w:p>
        </w:tc>
        <w:tc>
          <w:tcPr>
            <w:tcW w:w="2720" w:type="dxa"/>
            <w:vAlign w:val="center"/>
          </w:tcPr>
          <w:p>
            <w:pPr>
              <w:spacing w:after="0" w:before="0"/>
              <w:jc w:val="left"/>
            </w:pPr>
            <w:r>
              <w:rPr>
                <w:rFonts w:ascii="Times New Roman" w:hAnsi="Times New Roman"/>
                <w:b w:val="0"/>
                <w:sz w:val="16"/>
              </w:rPr>
              <w:t>Barycentric Lagrange dual-tree traversal; GPU-oriented PP/PC/CP/CC kernels.</w:t>
            </w:r>
          </w:p>
        </w:tc>
        <w:tc>
          <w:tcPr>
            <w:tcW w:w="2720" w:type="dxa"/>
            <w:vAlign w:val="center"/>
          </w:tcPr>
          <w:p>
            <w:pPr>
              <w:spacing w:after="0" w:before="0"/>
              <w:jc w:val="left"/>
            </w:pPr>
            <w:r>
              <w:rPr>
                <w:rFonts w:ascii="Times New Roman" w:hAnsi="Times New Roman"/>
                <w:b w:val="0"/>
                <w:sz w:val="16"/>
              </w:rPr>
              <w:t>Cartesian FMM-accelerated Galerkin operator with adaptive order and Duffy treatment.</w:t>
            </w:r>
          </w:p>
        </w:tc>
        <w:tc>
          <w:tcPr>
            <w:tcW w:w="2720" w:type="dxa"/>
            <w:vAlign w:val="center"/>
          </w:tcPr>
          <w:p>
            <w:pPr>
              <w:spacing w:after="0" w:before="0"/>
              <w:jc w:val="left"/>
            </w:pPr>
            <w:r>
              <w:rPr>
                <w:rFonts w:ascii="Times New Roman" w:hAnsi="Times New Roman"/>
                <w:b w:val="0"/>
                <w:sz w:val="16"/>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before="0"/>
              <w:jc w:val="left"/>
            </w:pPr>
            <w:r>
              <w:rPr>
                <w:rFonts w:ascii="Times New Roman" w:hAnsi="Times New Roman"/>
                <w:b w:val="0"/>
                <w:sz w:val="16"/>
              </w:rPr>
              <w:t>Acceptance policy</w:t>
            </w:r>
          </w:p>
        </w:tc>
        <w:tc>
          <w:tcPr>
            <w:tcW w:w="2720" w:type="dxa"/>
            <w:vAlign w:val="center"/>
          </w:tcPr>
          <w:p>
            <w:pPr>
              <w:spacing w:after="0" w:before="0"/>
              <w:jc w:val="left"/>
            </w:pPr>
            <w:r>
              <w:rPr>
                <w:rFonts w:ascii="Times New Roman" w:hAnsi="Times New Roman"/>
                <w:b w:val="0"/>
                <w:sz w:val="16"/>
              </w:rPr>
              <w:t>MAC-controlled dual-tree traversal with interpolation degree and cluster lists tuned for accuracy.</w:t>
            </w:r>
          </w:p>
        </w:tc>
        <w:tc>
          <w:tcPr>
            <w:tcW w:w="2720" w:type="dxa"/>
            <w:vAlign w:val="center"/>
          </w:tcPr>
          <w:p>
            <w:pPr>
              <w:spacing w:after="0" w:before="0"/>
              <w:jc w:val="left"/>
            </w:pPr>
            <w:r>
              <w:rPr>
                <w:rFonts w:ascii="Times New Roman" w:hAnsi="Times New Roman"/>
                <w:b w:val="0"/>
                <w:sz w:val="16"/>
              </w:rPr>
              <w:t>FMM acceptance and analytical integration policy designed for Galerkin accuracy targets.</w:t>
            </w:r>
          </w:p>
        </w:tc>
        <w:tc>
          <w:tcPr>
            <w:tcW w:w="2720" w:type="dxa"/>
            <w:vAlign w:val="center"/>
          </w:tcPr>
          <w:p>
            <w:pPr>
              <w:spacing w:after="0" w:before="0"/>
              <w:jc w:val="left"/>
            </w:pPr>
            <w:r>
              <w:rPr>
                <w:rFonts w:ascii="Times New Roman" w:hAnsi="Times New Roman"/>
                <w:b w:val="0"/>
                <w:sz w:val="16"/>
              </w:rPr>
              <w:t>Opening theta plus p3/p4 tail refinement, geometric guard, and direct fallback.</w:t>
            </w:r>
          </w:p>
        </w:tc>
      </w:tr>
      <w:tr w:rsidR="000B62E7" w14:paraId="510F348A" w14:textId="77777777">
        <w:trPr>
          <w:cantSplit/>
          <w:jc w:val="center"/>
        </w:trPr>
        <w:tc>
          <w:tcPr>
            <w:tcW w:w="1200" w:type="dxa"/>
            <w:vAlign w:val="center"/>
          </w:tcPr>
          <w:p>
            <w:pPr>
              <w:spacing w:after="0" w:before="0"/>
              <w:jc w:val="left"/>
            </w:pPr>
            <w:r>
              <w:rPr>
                <w:rFonts w:ascii="Times New Roman" w:hAnsi="Times New Roman"/>
                <w:b w:val="0"/>
                <w:sz w:val="16"/>
              </w:rPr>
              <w:t>Preconditioning</w:t>
            </w:r>
          </w:p>
        </w:tc>
        <w:tc>
          <w:tcPr>
            <w:tcW w:w="2720" w:type="dxa"/>
            <w:vAlign w:val="center"/>
          </w:tcPr>
          <w:p>
            <w:pPr>
              <w:spacing w:after="0" w:before="0"/>
              <w:jc w:val="left"/>
            </w:pPr>
            <w:r>
              <w:rPr>
                <w:rFonts w:ascii="Times New Roman" w:hAnsi="Times New Roman"/>
                <w:b w:val="0"/>
                <w:sz w:val="16"/>
              </w:rPr>
              <w:t>Block preconditioning in a GPU-oriented TABI-PB 2.0 pipeline.</w:t>
            </w:r>
          </w:p>
        </w:tc>
        <w:tc>
          <w:tcPr>
            <w:tcW w:w="2720" w:type="dxa"/>
            <w:vAlign w:val="center"/>
          </w:tcPr>
          <w:p>
            <w:pPr>
              <w:spacing w:after="0" w:before="0"/>
              <w:jc w:val="left"/>
            </w:pPr>
            <w:r>
              <w:rPr>
                <w:rFonts w:ascii="Times New Roman" w:hAnsi="Times New Roman"/>
                <w:b w:val="0"/>
                <w:sz w:val="16"/>
              </w:rPr>
              <w:t>Block-diagonal preconditioning in the Galerkin/FMM solver.</w:t>
            </w:r>
          </w:p>
        </w:tc>
        <w:tc>
          <w:tcPr>
            <w:tcW w:w="2720" w:type="dxa"/>
            <w:vAlign w:val="center"/>
          </w:tcPr>
          <w:p>
            <w:pPr>
              <w:spacing w:after="0" w:before="0"/>
              <w:jc w:val="left"/>
            </w:pPr>
            <w:r>
              <w:rPr>
                <w:rFonts w:ascii="Times New Roman" w:hAnsi="Times New Roman"/>
                <w:b w:val="0"/>
                <w:sz w:val="16"/>
              </w:rPr>
              <w:t>Near-field graph ILU(0) with directly evaluated 2 x 2 near-field blocks; no fill beyond graph.</w:t>
            </w:r>
          </w:p>
        </w:tc>
      </w:tr>
      <w:tr w:rsidR="000B62E7" w14:paraId="065C6827" w14:textId="77777777">
        <w:trPr>
          <w:cantSplit/>
          <w:jc w:val="center"/>
        </w:trPr>
        <w:tc>
          <w:tcPr>
            <w:tcW w:w="1200" w:type="dxa"/>
            <w:vAlign w:val="center"/>
          </w:tcPr>
          <w:p>
            <w:pPr>
              <w:spacing w:after="0" w:before="0"/>
              <w:jc w:val="left"/>
            </w:pPr>
            <w:r>
              <w:rPr>
                <w:rFonts w:ascii="Times New Roman" w:hAnsi="Times New Roman"/>
                <w:b w:val="0"/>
                <w:sz w:val="16"/>
              </w:rPr>
              <w:t>Verification emphasis</w:t>
            </w:r>
          </w:p>
        </w:tc>
        <w:tc>
          <w:tcPr>
            <w:tcW w:w="2720" w:type="dxa"/>
            <w:vAlign w:val="center"/>
          </w:tcPr>
          <w:p>
            <w:pPr>
              <w:spacing w:after="0" w:before="0"/>
              <w:jc w:val="left"/>
            </w:pPr>
            <w:r>
              <w:rPr>
                <w:rFonts w:ascii="Times New Roman" w:hAnsi="Times New Roman"/>
                <w:b w:val="0"/>
                <w:sz w:val="16"/>
              </w:rPr>
              <w:t>Energy error and runtime against extrapolated surface-resolution references.</w:t>
            </w:r>
          </w:p>
        </w:tc>
        <w:tc>
          <w:tcPr>
            <w:tcW w:w="2720" w:type="dxa"/>
            <w:vAlign w:val="center"/>
          </w:tcPr>
          <w:p>
            <w:pPr>
              <w:spacing w:after="0" w:before="0"/>
              <w:jc w:val="left"/>
            </w:pPr>
            <w:r>
              <w:rPr>
                <w:rFonts w:ascii="Times New Roman" w:hAnsi="Times New Roman"/>
                <w:b w:val="0"/>
                <w:sz w:val="16"/>
              </w:rPr>
              <w:t>Accuracy established under the reference tests of the published method.</w:t>
            </w:r>
          </w:p>
        </w:tc>
        <w:tc>
          <w:tcPr>
            <w:tcW w:w="2720" w:type="dxa"/>
            <w:vAlign w:val="center"/>
          </w:tcPr>
          <w:p>
            <w:pPr>
              <w:spacing w:after="0" w:before="0"/>
              <w:jc w:val="left"/>
            </w:pPr>
            <w:r>
              <w:rPr>
                <w:rFonts w:ascii="Times New Roman" w:hAnsi="Times New Roman"/>
                <w:b w:val="0"/>
                <w:sz w:val="16"/>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before="0"/>
              <w:jc w:val="left"/>
            </w:pPr>
            <w:r>
              <w:rPr>
                <w:rFonts w:ascii="Times New Roman" w:hAnsi="Times New Roman"/>
                <w:b w:val="0"/>
                <w:sz w:val="16"/>
              </w:rPr>
              <w:t>Hardware status</w:t>
            </w:r>
          </w:p>
        </w:tc>
        <w:tc>
          <w:tcPr>
            <w:tcW w:w="2720" w:type="dxa"/>
            <w:vAlign w:val="center"/>
          </w:tcPr>
          <w:p>
            <w:pPr>
              <w:spacing w:after="0" w:before="0"/>
              <w:jc w:val="left"/>
            </w:pPr>
            <w:r>
              <w:rPr>
                <w:rFonts w:ascii="Times New Roman" w:hAnsi="Times New Roman"/>
                <w:b w:val="0"/>
                <w:sz w:val="16"/>
              </w:rPr>
              <w:t>Performance-critical BLDTT kernels implemented on GPU; V100 results reported for 1A63.</w:t>
            </w:r>
          </w:p>
        </w:tc>
        <w:tc>
          <w:tcPr>
            <w:tcW w:w="2720" w:type="dxa"/>
            <w:vAlign w:val="center"/>
          </w:tcPr>
          <w:p>
            <w:pPr>
              <w:spacing w:after="0" w:before="0"/>
              <w:jc w:val="left"/>
            </w:pPr>
            <w:r>
              <w:rPr>
                <w:rFonts w:ascii="Times New Roman" w:hAnsi="Times New Roman"/>
                <w:b w:val="0"/>
                <w:sz w:val="16"/>
              </w:rPr>
              <w:t>Used here as the closest analytical FMM-BIE reference, not as a wall-time target.</w:t>
            </w:r>
          </w:p>
        </w:tc>
        <w:tc>
          <w:tcPr>
            <w:tcW w:w="2720" w:type="dxa"/>
            <w:vAlign w:val="center"/>
          </w:tcPr>
          <w:p>
            <w:pPr>
              <w:spacing w:after="0" w:before="0"/>
              <w:jc w:val="left"/>
            </w:pPr>
            <w:r>
              <w:rPr>
                <w:rFonts w:ascii="Times New Roman" w:hAnsi="Times New Roman"/>
                <w:b w:val="0"/>
                <w:sz w:val="16"/>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2"/>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r>
        <w:rPr>
          <w:rFonts w:ascii="Times New Roman" w:hAnsi="Times New Roman"/>
          <w:sz w:val="22"/>
        </w:rPr>
        <w:t xml:space="preserve"> Here, Direct TABI denotes direct summation of the dense JCP panel-panel boundary-integral operator, not a grid PB solve and not a treecode/FMM approximation.</w:t>
      </w:r>
    </w:p>
    <w:p w14:paraId="3C89AD51" w14:textId="77777777" w:rsidR="000B62E7" w:rsidRDefault="00A65B0F">
      <w:pPr>
        <w:jc w:val="both"/>
      </w:pPr>
      <w:r>
        <w:rPr>
          <w:rFonts w:ascii="Times New Roman" w:hAnsi="Times New Roman"/>
          <w:sz w:val="22"/>
        </w:rPr>
        <w:t>Degree-one FMM reduced the cost of individual matrix-vector evaluations but did not by itself produce accepted solves under the benchmark criteria. With a diagonal preconditioner, 0/6 systems passed the convergence criterion; the median iteration count was 680. With leaf-local block preconditioning, 0/6 systems passed and the median iteration count reached the 720-iteration budget. These results indicate that the bottleneck is not only the cost of applying the dense operator, but also the conditioning of the coupled surface system.</w:t>
      </w:r>
    </w:p>
    <w:p w14:paraId="08CADB10" w14:textId="77777777" w:rsidR="000B62E7" w:rsidRDefault="00A65B0F">
      <w:pPr>
        <w:jc w:val="both"/>
      </w:pPr>
      <w:r>
        <w:rPr>
          <w:rFonts w:ascii="Times New Roman" w:hAnsi="Times New Roman"/>
          <w:sz w:val="22"/>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pStyle w:val="Caption"/>
        <w:jc w:val="both"/>
      </w:pPr>
      <w:r>
        <w:t>Figure 4 shows the same separation for 1A63. In this figure, convergence denotes an internal GMRES true residual below 10^-6; manuscript-facing rows additionally require sampled direct-operator residuals below 8 x 10^-3.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pStyle w:val="Caption"/>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2"/>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2"/>
        </w:rPr>
        <w:t>TITAN reconstructs a sparse approximation to this local connectivity from the FMM near-field worklist. For each target panel i, the graph records the self-edge and a capped deterministic set of nearby source panels j. The stored edge values are the directly evaluated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2"/>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2"/>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2"/>
        </w:rPr>
        <w:t>The guarded p4 path addresses the operator-accuracy issue exposed by the degree-one FMM + sparse ILU(0) row. Across the six-protein panel, all guarded p4 + sparse ILU(0) rows reached the GMRES stopping criterion at 128 reported iterations. The largest sampled audit RMS in Table 4 was 2.534e-03 for 1A63, and the largest reported resident set size was 369.6 MB. These metrics indicate that the high-order guarded path retained the Krylov benefit of near-field ILU(0) while improving sampled agreement with dense direct evaluations.</w:t>
      </w:r>
    </w:p>
    <w:p w14:paraId="031CD399" w14:textId="77777777" w:rsidR="00651B0A" w:rsidRPr="00651B0A" w:rsidRDefault="00651B0A" w:rsidP="00651B0A">
      <w:pPr>
        <w:jc w:val="both"/>
      </w:pPr>
      <w:r>
        <w:rPr>
          <w:rFonts w:ascii="Times New Roman" w:hAnsi="Times New Roman"/>
          <w:sz w:val="22"/>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2"/>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2"/>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2"/>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2"/>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commentRangeStart w:id="0"/>
      <w:commentRangeEnd w:id="0"/>
      <w:r>
        <w:t>APBS is included only as a grid-solver context in Supplementary Figure S2, not as a numerical correctness oracle for TITAN. The APBS finite-difference grid and the TITAN boundary-integral surface discretization define different discrete operators and interface representations; therefore TITAN-APBS reaction-energy differences are not interpreted as dense-operator error. Panel A reports reaction-energy scale from TITAN and from the finest APBS grid in this sweep. Panel B reports the relative change in APBS reaction energy when the finite-difference grid is refined from d225 to d257, and therefore measures APBS grid sensitivity. Using the same PQR inputs for 1VII, 1UBQ, and 2CI2, APBS reaction energies remained visibly grid-sensitive over the tested range; the final d225-to-d257 change reached 3.61% across the three systems. The comparison is useful for computational footprint: at d257, APBS required 3498.3-3546.8 MB peak RSS, whereas the corresponding TITAN guarded p4 rows used 58.2-150.3 MB; the largest APBS/TITAN RSS ratio was 60.1x. CPU wall times at the finest APBS grid were of the same order as the TITAN guarded rows for these small proteins. These APBS rows support the scope statement, but correctness of the fast BIE operator is assessed against dense direct TABI rows where feasible and sampled dense direct rows on full-protein cases. APBS input files, logs, and grid dimensions used for this context figure are included in the manuscript archive described in Code and Data Availability.</w:t>
      </w:r>
    </w:p>
    <w:p>
      <w:commentRangeStart w:id="2"/>
      <w:r/>
      <w:commentRangeEnd w:id="2"/>
      <w:r/>
      <w:r>
        <w:t>Full dense direct calibration on small systems is reported in Supplementary Table S5. The calibration includes two analytic coarse sphere cases and mini public-protein subsets with 2534-3656 panels, for which full O(N^2) direct TABI solves remain practical. In the larger 1VII-mini calibration row (3656 panels), guarded p4 matched dense direct reaction energy within 3.21 x 10^-4 kJ/mol and produced a sampled direct true residual of 1.01 x 10^-6. Across the full calibration table, guarded p4 matched the dense direct reaction energy within 6.3 x 10^-4 kJ/mol, and the largest sampled direct true residual was 1.28 x 10^-6. These rows calibrate the sampled direct-operator audit used for the full-protein rows while leaving full dense direct reaction-energy solves for complete proteins outside the present runtime envelope.</w:t>
      </w:r>
    </w:p>
    <w:p w14:paraId="32CF56F2" w14:textId="77777777" w:rsidR="00E03D67" w:rsidRPr="00E03D67" w:rsidRDefault="00E03D67" w:rsidP="00E03D67">
      <w:pPr>
        <w:jc w:val="both"/>
      </w:pPr>
      <w:r>
        <w:rPr>
          <w:rFonts w:ascii="Times New Roman" w:hAnsi="Times New Roman"/>
          <w:sz w:val="22"/>
        </w:rPr>
        <w:t>Reproducibility is handled by deterministic setup and traversal order. The refinement plan, cache layout, fallback worklist, and panel sampling order are fixed before GMRES begins. Table 5 reports zero energy spread at the displayed precision for the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commentRangeStart w:id="1"/>
      <w:pPr>
        <w:jc w:val="both"/>
      </w:pPr>
      <w:r>
        <w:t>The present evidence has explicit limits. The benchmark is CPU/AVX2-only, uses six protein fixtures, and relies on sampled direct-operator audits for full-protein verification rather than full dense O(N^2) reaction-energy oracles at the largest panel counts. The small dense direct calibration rows in Supplementary Table S5 support the audit protocol where dense solves are practical. Section 3.5 and the Supplement add p-order, opening-angle, guard, tail-policy, and ILU neighbor-cap sensitivity checks, but they do not replace broader mesh-density and larger-system validation. The APBS context rows are not used to claim interchangeability with grid-based APBS energies.</w:t>
      </w:r>
      <w:commentRangeEnd w:id="1"/>
      <w:r>
        <w:commentReference w:id="1"/>
      </w:r>
    </w:p>
    <w:p w14:paraId="32CF127F" w14:textId="55B119BA" w:rsidR="00AA7954" w:rsidRPr="00AA7954" w:rsidRDefault="00E03D67" w:rsidP="00AA7954">
      <w:pPr>
        <w:jc w:val="both"/>
      </w:pPr>
      <w:r>
        <w:rPr>
          <w:rFonts w:ascii="Times New Roman" w:hAnsi="Times New Roman"/>
          <w:sz w:val="22"/>
        </w:rPr>
        <w:t>Within these limits, the results support a focused methodological conclusion: for the tested molecular surfaces, near-field graph ILU(0) removed the observed Krylov stalls, while guarded Cartesian FMM/M2L restored sampled agreement with dense direct evaluations. The architecture provides a reproducible CPU baseline that can be extended to broader validation sets and accelerated backends.</w:t>
      </w:r>
    </w:p>
    <w:p>
      <w:pPr>
        <w:pStyle w:val="Heading2"/>
      </w:pPr>
      <w:r>
        <w:t>3.5. Ablation and Sensitivity</w:t>
      </w:r>
    </w:p>
    <w:p>
      <w:pPr>
        <w:spacing w:after="120"/>
      </w:pPr>
      <w:r>
        <w:t>The ablation evidence is intended to make the reported protocol interpretable rather than to search the full parameter space. It asks five practical questions: whether fast matrix-vector evaluation alone removes the bottleneck, whether near-field ILU(0) is inexpensive enough to justify its setup cost, whether the geometric guard is needed for sampled direct-operator agreement, how the Taylor order changes the balance between compression and fallback, and how the ILU neighbor cap affects cost and memory.</w:t>
      </w:r>
    </w:p>
    <w:p>
      <w:pPr>
        <w:spacing w:after="120"/>
      </w:pPr>
      <w:r>
        <w:rPr>
          <w:rFonts w:ascii="Times New Roman" w:hAnsi="Times New Roman"/>
          <w:sz w:val="22"/>
        </w:rPr>
        <w:t>The performance ladder in Table 3 provides the first separation. Direct dense TABI is runtime-limited at the tested panel counts. Degree-one FMM reduces the cost of each matrix-vector product, but weak diagonal or leaf-local preconditioners still produce Krylov stalls. Sparse near-field ILU(0) removes this stall, while the guarded high-order path restores sampled agreement with the dense direct operator. In the 1A63 guarded p4 profile, ILU(0) setup accounts for 5.15 s and preconditioner application accounts for 6.37 s over the solve, compared with 151.9 s for p4 matrix-vector application and 312.6 s total wall time. This cost split supports the use of the graph factorization in the tested CPU workflow, while leaving larger-panel scaling as a separate question.</w:t>
      </w:r>
    </w:p>
    <w:p>
      <w:pPr>
        <w:spacing w:after="120"/>
      </w:pPr>
      <w:r>
        <w:rPr>
          <w:rFonts w:ascii="Times New Roman" w:hAnsi="Times New Roman"/>
          <w:sz w:val="22"/>
        </w:rPr>
        <w:t>The guard ablation separates internal convergence from operator agreement. In the six-protein guard-on/guard-off runs, removing the strict geometric guard still allowed internal GMRES convergence, but it caused full 1A63 to fail direct-operator verification: the sampled audit RMS was 5.18e-2 and the sampled direct true residual was 5.20e-2. Restoring the strict geometric guard at theta = 0.5 reduced the corresponding 1A63 audit to 2.53e-3. This result supports retaining the geometric guard as part of the accuracy contract for the reported p4 path.</w:t>
      </w:r>
    </w:p>
    <w:p>
      <w:pPr>
        <w:spacing w:after="120"/>
      </w:pPr>
      <w:r>
        <w:rPr>
          <w:rFonts w:ascii="Times New Roman" w:hAnsi="Times New Roman"/>
          <w:sz w:val="22"/>
        </w:rPr>
        <w:t>Opening-angle sensitivity was evaluated over theta = 0.4, 0.5, 0.6, and 0.7. All four settings passed the sampled direct-operator gate on the six-protein panel, and the median wall time decreased modestly from 142.9 s at theta = 0.4 to 126.2 s at theta = 0.7. The manuscript retains theta = 0.6 because it was the predefined validation setting used in the repeatability gates. This result is read narrowly: within the tested range, the strict guard dominated the sampled accuracy behavior; no global theta optimum is inferred.</w:t>
      </w:r>
    </w:p>
    <w:p>
      <w:pPr>
        <w:pStyle w:val="Caption"/>
        <w:spacing w:before="160" w:after="60"/>
      </w:pPr>
      <w:r>
        <w:rPr>
          <w:rFonts w:ascii="Times New Roman" w:hAnsi="Times New Roman"/>
          <w:sz w:val="20"/>
        </w:rPr>
        <w:t>Table 6 summarizes the ablation and sensitivity evidence used to bound the reported p4/cap-64 protocol.</w:t>
      </w:r>
    </w:p>
    <w:p>
      <w:pPr>
        <w:spacing w:after="120"/>
      </w:pPr>
      <w:r>
        <w:t>The p-order sweep was run under the guarded policy on the six-protein panel. Orders p2, p3, p4, and p5 all passed the sampled audit gate, but they did so with different work decompositions. The p2 rows are conservative: they produce very small sampled residuals while accepting no far M2L pairs, so most risky far work is demoted to direct fallback. The reported p4 row is retained because it remains audit-passing while preserving substantial far-field compression and the lowest mean wall time among the far-compressed rows in this panel.</w:t>
      </w:r>
    </w:p>
    <w:p>
      <w:pPr/>
      <w:r>
        <w:t>The p2 coverage logs check that the p2 audit is not simply a skipped-work result. Across the six proteins, p2 accepted zero far M2L pairs, rejected 337,815 far cell pairs, and demoted 295,959,727 panel pairs to direct fallback. Every p2 solve also reports a nonzero total evaluated interaction count and at least 1024 independently sampled dense-audit rows in the separate p-order coverage protocol. The p2 audit therefore reflects conservative direct evaluation of risky interactions rather than omission of far-field work.</w:t>
      </w:r>
    </w:p>
    <w:p>
      <w:r>
        <w:t>The ILU neighbor-cap sweep was run on Barnase, 1A63, and 1SH1 under the guarded p4 protocol. Caps 32, 64, and 128 all passed the sampled direct-operator gate. Cap 32 had the lowest mean RSS, cap 128 used the largest graph and memory, and cap 64 gave the lowest mean matrix-vector time in this three-protein sweep. The manuscript therefore uses cap 64 as a balanced protocol value for the reported runs, not as an accuracy-only optimum.</w:t>
      </w:r>
    </w:p>
    <w:p>
      <w:r>
        <w:t>Taken together, the ablations and small-system dense calibration rows support the selected p4/cap-64 guarded workflow for the current benchmark panel while keeping stronger questions--larger protein sets, broader mesh-density scaling, and broader hardware comparisons--outside the present claim.</w:t>
      </w: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t>This work describes a guarded fourth-order Cartesian FMM/M2L boundary-integral PB path with sparse near-field ILU(0) preconditioning. On the reported primary and supplementary protein fixtures, the guarded p4 workflow reached the stated stopping criteria, passed sampled direct-operator verification, and kept resident memory below 370 MB. The p-order and neighbor-cap sweeps support the reported p4/cap-64 setting as a reproducible operating point for the tested panel, while leaving broader optimality and scaling questions open. The supported claim is deliberately bounded: the method combines analytical fast evaluation, deterministic far-field guarding, and graph-based sparse preconditioning to make the tested dense molecular-surface PB solves Krylov-stable and auditable on CPU hardware. These results do not establish interchangeability with grid-based APBS energies or general superiority over production grid solvers.</w:t>
      </w:r>
    </w:p>
    <w:p>
      <w:pPr>
        <w:pStyle w:val="Heading1"/>
      </w:pPr>
      <w:r>
        <w:rPr>
          <w:rFonts w:ascii="Times New Roman" w:hAnsi="Times New Roman"/>
          <w:sz w:val="22"/>
        </w:rPr>
        <w:t>Code and Data Availability</w:t>
      </w:r>
    </w:p>
    <w:p>
      <w:commentRangeStart w:id="3"/>
      <w:pPr/>
      <w:commentRangeEnd w:id="3"/>
      <w:r>
        <w:t>The TITAN source code corresponding to this manuscript has been prepared for release under the MIT License as the tagged release fagbi-submission-v0.1 at https://github.com/hoanglinh221191/TITAN. The persistent Zenodo DOI will be inserted after deposition of the tagged release and before journal submission. The archived release will include source code, build instructions, benchmark manifests, input metadata, scripts, figures, APBS input files, APBS logs, APBS grid-size settings used for Supplementary Figure S2, and reference outputs for Tables 3-6 and Supplementary Tables S1-S5. Public protein structures are identified by their RCSB PDB accession codes; derived surface metadata, run manifests, and tabulated outputs corresponding to the manuscript tables are included in the release manifest.</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814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814204"/>
                    </a:xfrm>
                    <a:prstGeom prst="rect">
                      <a:avLst/>
                    </a:prstGeom>
                  </pic:spPr>
                </pic:pic>
              </a:graphicData>
            </a:graphic>
          </wp:inline>
        </w:drawing>
      </w:r>
    </w:p>
    <w:p w14:paraId="08BCDE75" w14:textId="77777777" w:rsidR="000B62E7" w:rsidRDefault="00A65B0F">
      <w:pPr>
        <w:pStyle w:val="Caption"/>
      </w:pPr>
      <w: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 Convergence in this figure denotes internal GMRES true residual below 10^-6; paper-facing acceptance additionally requires sampled direct-operator residual below 8 x 10^-3.</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autofit"/>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before="0"/>
              <w:jc w:val="left"/>
            </w:pPr>
            <w:r>
              <w:rPr>
                <w:rFonts w:ascii="Times New Roman" w:hAnsi="Times New Roman"/>
                <w:b/>
                <w:sz w:val="16"/>
              </w:rPr>
              <w:t>Protein</w:t>
            </w:r>
          </w:p>
        </w:tc>
        <w:tc>
          <w:tcPr>
            <w:tcW w:w="1500" w:type="dxa"/>
            <w:shd w:val="clear" w:color="auto" w:fill="E7E6E6"/>
            <w:vAlign w:val="center"/>
          </w:tcPr>
          <w:p w14:paraId="4ADBF175" w14:textId="77777777" w:rsidR="000B62E7" w:rsidRDefault="00A65B0F">
            <w:pPr>
              <w:spacing w:after="0" w:line="240" w:lineRule="auto" w:before="0"/>
              <w:jc w:val="left"/>
            </w:pPr>
            <w:r>
              <w:rPr>
                <w:rFonts w:ascii="Times New Roman" w:hAnsi="Times New Roman"/>
                <w:b/>
                <w:sz w:val="16"/>
              </w:rPr>
              <w:t>PDB/source</w:t>
            </w:r>
          </w:p>
        </w:tc>
        <w:tc>
          <w:tcPr>
            <w:tcW w:w="850" w:type="dxa"/>
            <w:shd w:val="clear" w:color="auto" w:fill="E7E6E6"/>
            <w:vAlign w:val="center"/>
          </w:tcPr>
          <w:p w14:paraId="72CAEAEB" w14:textId="77777777" w:rsidR="000B62E7" w:rsidRDefault="00A65B0F">
            <w:pPr>
              <w:spacing w:after="0" w:line="240" w:lineRule="auto" w:before="0"/>
              <w:jc w:val="left"/>
            </w:pPr>
            <w:r>
              <w:rPr>
                <w:rFonts w:ascii="Times New Roman" w:hAnsi="Times New Roman"/>
                <w:b/>
                <w:sz w:val="16"/>
              </w:rPr>
              <w:t>Atoms</w:t>
            </w:r>
          </w:p>
        </w:tc>
        <w:tc>
          <w:tcPr>
            <w:tcW w:w="850" w:type="dxa"/>
            <w:shd w:val="clear" w:color="auto" w:fill="E7E6E6"/>
            <w:vAlign w:val="center"/>
          </w:tcPr>
          <w:p w14:paraId="6DA33C45" w14:textId="77777777" w:rsidR="000B62E7" w:rsidRDefault="00A65B0F">
            <w:pPr>
              <w:spacing w:after="0" w:line="240" w:lineRule="auto" w:before="0"/>
              <w:jc w:val="left"/>
            </w:pPr>
            <w:r>
              <w:rPr>
                <w:rFonts w:ascii="Times New Roman" w:hAnsi="Times New Roman"/>
                <w:b/>
                <w:sz w:val="16"/>
              </w:rPr>
              <w:t>Panels</w:t>
            </w:r>
          </w:p>
        </w:tc>
        <w:tc>
          <w:tcPr>
            <w:tcW w:w="950" w:type="dxa"/>
            <w:shd w:val="clear" w:color="auto" w:fill="E7E6E6"/>
            <w:vAlign w:val="center"/>
          </w:tcPr>
          <w:p w14:paraId="2A4C097F" w14:textId="77777777" w:rsidR="000B62E7" w:rsidRDefault="00A65B0F">
            <w:pPr>
              <w:spacing w:after="0" w:line="240" w:lineRule="auto" w:before="0"/>
              <w:jc w:val="left"/>
            </w:pPr>
            <w:r>
              <w:rPr>
                <w:rFonts w:ascii="Times New Roman" w:hAnsi="Times New Roman"/>
                <w:b/>
                <w:sz w:val="16"/>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before="0"/>
              <w:jc w:val="left"/>
            </w:pPr>
            <w:r>
              <w:rPr>
                <w:rFonts w:ascii="Times New Roman" w:hAnsi="Times New Roman"/>
                <w:b w:val="0"/>
                <w:sz w:val="16"/>
              </w:rPr>
              <w:t>Barnase</w:t>
            </w:r>
          </w:p>
        </w:tc>
        <w:tc>
          <w:tcPr>
            <w:tcW w:w="1500" w:type="dxa"/>
            <w:vAlign w:val="center"/>
          </w:tcPr>
          <w:p w14:paraId="72D17816" w14:textId="77777777" w:rsidR="000B62E7" w:rsidRDefault="00A65B0F">
            <w:pPr>
              <w:spacing w:after="0" w:line="240" w:lineRule="auto" w:before="0"/>
              <w:jc w:val="left"/>
            </w:pPr>
            <w:r>
              <w:rPr>
                <w:rFonts w:ascii="Times New Roman" w:hAnsi="Times New Roman"/>
                <w:b w:val="0"/>
                <w:sz w:val="16"/>
              </w:rPr>
              <w:t>PyDelPhi benchmark</w:t>
            </w:r>
          </w:p>
        </w:tc>
        <w:tc>
          <w:tcPr>
            <w:tcW w:w="850" w:type="dxa"/>
            <w:vAlign w:val="center"/>
          </w:tcPr>
          <w:p w14:paraId="68F8C64C" w14:textId="77777777" w:rsidR="000B62E7" w:rsidRDefault="00A65B0F">
            <w:pPr>
              <w:spacing w:after="0" w:line="240" w:lineRule="auto" w:before="0"/>
              <w:jc w:val="left"/>
            </w:pPr>
            <w:r>
              <w:rPr>
                <w:rFonts w:ascii="Times New Roman" w:hAnsi="Times New Roman"/>
                <w:b w:val="0"/>
                <w:sz w:val="16"/>
              </w:rPr>
              <w:t>1700</w:t>
            </w:r>
          </w:p>
        </w:tc>
        <w:tc>
          <w:tcPr>
            <w:tcW w:w="850" w:type="dxa"/>
            <w:vAlign w:val="center"/>
          </w:tcPr>
          <w:p w14:paraId="2ADC3770" w14:textId="77777777" w:rsidR="000B62E7" w:rsidRDefault="00A65B0F">
            <w:pPr>
              <w:spacing w:after="0" w:line="240" w:lineRule="auto" w:before="0"/>
              <w:jc w:val="left"/>
            </w:pPr>
            <w:r>
              <w:rPr>
                <w:rFonts w:ascii="Times New Roman" w:hAnsi="Times New Roman"/>
                <w:b w:val="0"/>
                <w:sz w:val="16"/>
              </w:rPr>
              <w:t>14942</w:t>
            </w:r>
          </w:p>
        </w:tc>
        <w:tc>
          <w:tcPr>
            <w:tcW w:w="950" w:type="dxa"/>
            <w:vAlign w:val="center"/>
          </w:tcPr>
          <w:p w14:paraId="5D4797C1" w14:textId="77777777" w:rsidR="000B62E7" w:rsidRDefault="00A65B0F">
            <w:pPr>
              <w:spacing w:after="0" w:line="240" w:lineRule="auto" w:before="0"/>
              <w:jc w:val="left"/>
            </w:pPr>
            <w:r>
              <w:rPr>
                <w:rFonts w:ascii="Times New Roman" w:hAnsi="Times New Roman"/>
                <w:b w:val="0"/>
                <w:sz w:val="16"/>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500" w:type="dxa"/>
            <w:vAlign w:val="center"/>
          </w:tcPr>
          <w:p w14:paraId="47F5A7A0" w14:textId="77777777" w:rsidR="000B62E7" w:rsidRDefault="00A65B0F">
            <w:pPr>
              <w:spacing w:after="0" w:line="240" w:lineRule="auto" w:before="0"/>
              <w:jc w:val="left"/>
            </w:pPr>
            <w:r>
              <w:rPr>
                <w:rFonts w:ascii="Times New Roman" w:hAnsi="Times New Roman"/>
                <w:b w:val="0"/>
                <w:sz w:val="16"/>
              </w:rPr>
              <w:t>1A63</w:t>
            </w:r>
          </w:p>
        </w:tc>
        <w:tc>
          <w:tcPr>
            <w:tcW w:w="850" w:type="dxa"/>
            <w:vAlign w:val="center"/>
          </w:tcPr>
          <w:p w14:paraId="362C7393" w14:textId="77777777" w:rsidR="000B62E7" w:rsidRDefault="00A65B0F">
            <w:pPr>
              <w:spacing w:after="0" w:line="240" w:lineRule="auto" w:before="0"/>
              <w:jc w:val="left"/>
            </w:pPr>
            <w:r>
              <w:rPr>
                <w:rFonts w:ascii="Times New Roman" w:hAnsi="Times New Roman"/>
                <w:b w:val="0"/>
                <w:sz w:val="16"/>
              </w:rPr>
              <w:t>2065</w:t>
            </w:r>
          </w:p>
        </w:tc>
        <w:tc>
          <w:tcPr>
            <w:tcW w:w="850" w:type="dxa"/>
            <w:vAlign w:val="center"/>
          </w:tcPr>
          <w:p w14:paraId="625AAF0F" w14:textId="77777777" w:rsidR="000B62E7" w:rsidRDefault="00A65B0F">
            <w:pPr>
              <w:spacing w:after="0" w:line="240" w:lineRule="auto" w:before="0"/>
              <w:jc w:val="left"/>
            </w:pPr>
            <w:r>
              <w:rPr>
                <w:rFonts w:ascii="Times New Roman" w:hAnsi="Times New Roman"/>
                <w:b w:val="0"/>
                <w:sz w:val="16"/>
              </w:rPr>
              <w:t>17250</w:t>
            </w:r>
          </w:p>
        </w:tc>
        <w:tc>
          <w:tcPr>
            <w:tcW w:w="950" w:type="dxa"/>
            <w:vAlign w:val="center"/>
          </w:tcPr>
          <w:p w14:paraId="4BFAB86D" w14:textId="77777777" w:rsidR="000B62E7" w:rsidRDefault="00A65B0F">
            <w:pPr>
              <w:spacing w:after="0" w:line="240" w:lineRule="auto" w:before="0"/>
              <w:jc w:val="left"/>
            </w:pPr>
            <w:r>
              <w:rPr>
                <w:rFonts w:ascii="Times New Roman" w:hAnsi="Times New Roman"/>
                <w:b w:val="0"/>
                <w:sz w:val="16"/>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500" w:type="dxa"/>
            <w:vAlign w:val="center"/>
          </w:tcPr>
          <w:p w14:paraId="37F529F8" w14:textId="77777777" w:rsidR="000B62E7" w:rsidRDefault="00A65B0F">
            <w:pPr>
              <w:spacing w:after="0" w:line="240" w:lineRule="auto" w:before="0"/>
              <w:jc w:val="left"/>
            </w:pPr>
            <w:r>
              <w:rPr>
                <w:rFonts w:ascii="Times New Roman" w:hAnsi="Times New Roman"/>
                <w:b w:val="0"/>
                <w:sz w:val="16"/>
              </w:rPr>
              <w:t>1SH1</w:t>
            </w:r>
          </w:p>
        </w:tc>
        <w:tc>
          <w:tcPr>
            <w:tcW w:w="850" w:type="dxa"/>
            <w:vAlign w:val="center"/>
          </w:tcPr>
          <w:p w14:paraId="5357E6C2" w14:textId="77777777" w:rsidR="000B62E7" w:rsidRDefault="00A65B0F">
            <w:pPr>
              <w:spacing w:after="0" w:line="240" w:lineRule="auto" w:before="0"/>
              <w:jc w:val="left"/>
            </w:pPr>
            <w:r>
              <w:rPr>
                <w:rFonts w:ascii="Times New Roman" w:hAnsi="Times New Roman"/>
                <w:b w:val="0"/>
                <w:sz w:val="16"/>
              </w:rPr>
              <w:t>696</w:t>
            </w:r>
          </w:p>
        </w:tc>
        <w:tc>
          <w:tcPr>
            <w:tcW w:w="850" w:type="dxa"/>
            <w:vAlign w:val="center"/>
          </w:tcPr>
          <w:p w14:paraId="6E3C8E3E" w14:textId="77777777" w:rsidR="000B62E7" w:rsidRDefault="00A65B0F">
            <w:pPr>
              <w:spacing w:after="0" w:line="240" w:lineRule="auto" w:before="0"/>
              <w:jc w:val="left"/>
            </w:pPr>
            <w:r>
              <w:rPr>
                <w:rFonts w:ascii="Times New Roman" w:hAnsi="Times New Roman"/>
                <w:b w:val="0"/>
                <w:sz w:val="16"/>
              </w:rPr>
              <w:t>6673</w:t>
            </w:r>
          </w:p>
        </w:tc>
        <w:tc>
          <w:tcPr>
            <w:tcW w:w="950" w:type="dxa"/>
            <w:vAlign w:val="center"/>
          </w:tcPr>
          <w:p w14:paraId="2429E4B3" w14:textId="77777777" w:rsidR="000B62E7" w:rsidRDefault="00A65B0F">
            <w:pPr>
              <w:spacing w:after="0" w:line="240" w:lineRule="auto" w:before="0"/>
              <w:jc w:val="left"/>
            </w:pPr>
            <w:r>
              <w:rPr>
                <w:rFonts w:ascii="Times New Roman" w:hAnsi="Times New Roman"/>
                <w:b w:val="0"/>
                <w:sz w:val="16"/>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before="0"/>
              <w:jc w:val="left"/>
            </w:pPr>
            <w:r>
              <w:rPr>
                <w:rFonts w:ascii="Times New Roman" w:hAnsi="Times New Roman"/>
                <w:b w:val="0"/>
                <w:sz w:val="16"/>
              </w:rPr>
              <w:t>Ubiquitin</w:t>
            </w:r>
          </w:p>
        </w:tc>
        <w:tc>
          <w:tcPr>
            <w:tcW w:w="1500" w:type="dxa"/>
            <w:vAlign w:val="center"/>
          </w:tcPr>
          <w:p w14:paraId="62AA8A21" w14:textId="77777777" w:rsidR="000B62E7" w:rsidRDefault="00A65B0F">
            <w:pPr>
              <w:spacing w:after="0" w:line="240" w:lineRule="auto" w:before="0"/>
              <w:jc w:val="left"/>
            </w:pPr>
            <w:r>
              <w:rPr>
                <w:rFonts w:ascii="Times New Roman" w:hAnsi="Times New Roman"/>
                <w:b w:val="0"/>
                <w:sz w:val="16"/>
              </w:rPr>
              <w:t>1UBQ</w:t>
            </w:r>
          </w:p>
        </w:tc>
        <w:tc>
          <w:tcPr>
            <w:tcW w:w="850" w:type="dxa"/>
            <w:vAlign w:val="center"/>
          </w:tcPr>
          <w:p w14:paraId="4381F2D9" w14:textId="77777777" w:rsidR="000B62E7" w:rsidRDefault="00A65B0F">
            <w:pPr>
              <w:spacing w:after="0" w:line="240" w:lineRule="auto" w:before="0"/>
              <w:jc w:val="left"/>
            </w:pPr>
            <w:r>
              <w:rPr>
                <w:rFonts w:ascii="Times New Roman" w:hAnsi="Times New Roman"/>
                <w:b w:val="0"/>
                <w:sz w:val="16"/>
              </w:rPr>
              <w:t>1231</w:t>
            </w:r>
          </w:p>
        </w:tc>
        <w:tc>
          <w:tcPr>
            <w:tcW w:w="850" w:type="dxa"/>
            <w:vAlign w:val="center"/>
          </w:tcPr>
          <w:p w14:paraId="6B4E4705" w14:textId="77777777" w:rsidR="000B62E7" w:rsidRDefault="00A65B0F">
            <w:pPr>
              <w:spacing w:after="0" w:line="240" w:lineRule="auto" w:before="0"/>
              <w:jc w:val="left"/>
            </w:pPr>
            <w:r>
              <w:rPr>
                <w:rFonts w:ascii="Times New Roman" w:hAnsi="Times New Roman"/>
                <w:b w:val="0"/>
                <w:sz w:val="16"/>
              </w:rPr>
              <w:t>11242</w:t>
            </w:r>
          </w:p>
        </w:tc>
        <w:tc>
          <w:tcPr>
            <w:tcW w:w="950" w:type="dxa"/>
            <w:vAlign w:val="center"/>
          </w:tcPr>
          <w:p w14:paraId="35078301" w14:textId="77777777" w:rsidR="000B62E7" w:rsidRDefault="00A65B0F">
            <w:pPr>
              <w:spacing w:after="0" w:line="240" w:lineRule="auto" w:before="0"/>
              <w:jc w:val="left"/>
            </w:pPr>
            <w:r>
              <w:rPr>
                <w:rFonts w:ascii="Times New Roman" w:hAnsi="Times New Roman"/>
                <w:b w:val="0"/>
                <w:sz w:val="16"/>
              </w:rPr>
              <w:t>Supp.</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before="0"/>
              <w:jc w:val="left"/>
            </w:pPr>
            <w:r>
              <w:rPr>
                <w:rFonts w:ascii="Times New Roman" w:hAnsi="Times New Roman"/>
                <w:b w:val="0"/>
                <w:sz w:val="16"/>
              </w:rPr>
              <w:lastRenderedPageBreak/>
              <w:t>Chymotrypsin inhibitor 2</w:t>
            </w:r>
          </w:p>
        </w:tc>
        <w:tc>
          <w:tcPr>
            <w:tcW w:w="1500" w:type="dxa"/>
            <w:vAlign w:val="center"/>
          </w:tcPr>
          <w:p w14:paraId="34285527" w14:textId="77777777" w:rsidR="000B62E7" w:rsidRDefault="00A65B0F">
            <w:pPr>
              <w:spacing w:after="0" w:line="240" w:lineRule="auto" w:before="0"/>
              <w:jc w:val="left"/>
            </w:pPr>
            <w:r>
              <w:rPr>
                <w:rFonts w:ascii="Times New Roman" w:hAnsi="Times New Roman"/>
                <w:b w:val="0"/>
                <w:sz w:val="16"/>
              </w:rPr>
              <w:t>2CI2</w:t>
            </w:r>
          </w:p>
        </w:tc>
        <w:tc>
          <w:tcPr>
            <w:tcW w:w="850" w:type="dxa"/>
            <w:vAlign w:val="center"/>
          </w:tcPr>
          <w:p w14:paraId="0A578C0B" w14:textId="77777777" w:rsidR="000B62E7" w:rsidRDefault="00A65B0F">
            <w:pPr>
              <w:spacing w:after="0" w:line="240" w:lineRule="auto" w:before="0"/>
              <w:jc w:val="left"/>
            </w:pPr>
            <w:r>
              <w:rPr>
                <w:rFonts w:ascii="Times New Roman" w:hAnsi="Times New Roman"/>
                <w:b w:val="0"/>
                <w:sz w:val="16"/>
              </w:rPr>
              <w:t>1076</w:t>
            </w:r>
          </w:p>
        </w:tc>
        <w:tc>
          <w:tcPr>
            <w:tcW w:w="850" w:type="dxa"/>
            <w:vAlign w:val="center"/>
          </w:tcPr>
          <w:p w14:paraId="5BA4316D" w14:textId="77777777" w:rsidR="000B62E7" w:rsidRDefault="00A65B0F">
            <w:pPr>
              <w:spacing w:after="0" w:line="240" w:lineRule="auto" w:before="0"/>
              <w:jc w:val="left"/>
            </w:pPr>
            <w:r>
              <w:rPr>
                <w:rFonts w:ascii="Times New Roman" w:hAnsi="Times New Roman"/>
                <w:b w:val="0"/>
                <w:sz w:val="16"/>
              </w:rPr>
              <w:t>9889</w:t>
            </w:r>
          </w:p>
        </w:tc>
        <w:tc>
          <w:tcPr>
            <w:tcW w:w="950" w:type="dxa"/>
            <w:vAlign w:val="center"/>
          </w:tcPr>
          <w:p w14:paraId="4508FB9D" w14:textId="77777777" w:rsidR="000B62E7" w:rsidRDefault="00A65B0F">
            <w:pPr>
              <w:spacing w:after="0" w:line="240" w:lineRule="auto" w:before="0"/>
              <w:jc w:val="left"/>
            </w:pPr>
            <w:r>
              <w:rPr>
                <w:rFonts w:ascii="Times New Roman" w:hAnsi="Times New Roman"/>
                <w:b w:val="0"/>
                <w:sz w:val="16"/>
              </w:rPr>
              <w:t>Supp.</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before="0"/>
              <w:jc w:val="left"/>
            </w:pPr>
            <w:r>
              <w:rPr>
                <w:rFonts w:ascii="Times New Roman" w:hAnsi="Times New Roman"/>
                <w:b w:val="0"/>
                <w:sz w:val="16"/>
              </w:rPr>
              <w:t>Villin headpiece subdomain</w:t>
            </w:r>
          </w:p>
        </w:tc>
        <w:tc>
          <w:tcPr>
            <w:tcW w:w="1500" w:type="dxa"/>
            <w:vAlign w:val="center"/>
          </w:tcPr>
          <w:p w14:paraId="609A378E" w14:textId="77777777" w:rsidR="000B62E7" w:rsidRDefault="00A65B0F">
            <w:pPr>
              <w:spacing w:after="0" w:line="240" w:lineRule="auto" w:before="0"/>
              <w:jc w:val="left"/>
            </w:pPr>
            <w:r>
              <w:rPr>
                <w:rFonts w:ascii="Times New Roman" w:hAnsi="Times New Roman"/>
                <w:b w:val="0"/>
                <w:sz w:val="16"/>
              </w:rPr>
              <w:t>1VII</w:t>
            </w:r>
          </w:p>
        </w:tc>
        <w:tc>
          <w:tcPr>
            <w:tcW w:w="850" w:type="dxa"/>
            <w:vAlign w:val="center"/>
          </w:tcPr>
          <w:p w14:paraId="17523527" w14:textId="77777777" w:rsidR="000B62E7" w:rsidRDefault="00A65B0F">
            <w:pPr>
              <w:spacing w:after="0" w:line="240" w:lineRule="auto" w:before="0"/>
              <w:jc w:val="left"/>
            </w:pPr>
            <w:r>
              <w:rPr>
                <w:rFonts w:ascii="Times New Roman" w:hAnsi="Times New Roman"/>
                <w:b w:val="0"/>
                <w:sz w:val="16"/>
              </w:rPr>
              <w:t>596</w:t>
            </w:r>
          </w:p>
        </w:tc>
        <w:tc>
          <w:tcPr>
            <w:tcW w:w="850" w:type="dxa"/>
            <w:vAlign w:val="center"/>
          </w:tcPr>
          <w:p w14:paraId="47CDE898" w14:textId="77777777" w:rsidR="000B62E7" w:rsidRDefault="00A65B0F">
            <w:pPr>
              <w:spacing w:after="0" w:line="240" w:lineRule="auto" w:before="0"/>
              <w:jc w:val="left"/>
            </w:pPr>
            <w:r>
              <w:rPr>
                <w:rFonts w:ascii="Times New Roman" w:hAnsi="Times New Roman"/>
                <w:b w:val="0"/>
                <w:sz w:val="16"/>
              </w:rPr>
              <w:t>5032</w:t>
            </w:r>
          </w:p>
        </w:tc>
        <w:tc>
          <w:tcPr>
            <w:tcW w:w="950" w:type="dxa"/>
            <w:vAlign w:val="center"/>
          </w:tcPr>
          <w:p w14:paraId="4160D760" w14:textId="77777777" w:rsidR="000B62E7" w:rsidRDefault="00A65B0F">
            <w:pPr>
              <w:spacing w:after="0" w:line="240" w:lineRule="auto" w:before="0"/>
              <w:jc w:val="left"/>
            </w:pPr>
            <w:r>
              <w:rPr>
                <w:rFonts w:ascii="Times New Roman" w:hAnsi="Times New Roman"/>
                <w:b w:val="0"/>
                <w:sz w:val="16"/>
              </w:rPr>
              <w:t>Supp.</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autofit"/>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before="0"/>
              <w:jc w:val="left"/>
            </w:pPr>
            <w:r>
              <w:rPr>
                <w:rFonts w:ascii="Times New Roman" w:hAnsi="Times New Roman"/>
                <w:b/>
                <w:sz w:val="16"/>
              </w:rPr>
              <w:t>Stage</w:t>
            </w:r>
          </w:p>
        </w:tc>
        <w:tc>
          <w:tcPr>
            <w:tcW w:w="1350" w:type="dxa"/>
            <w:shd w:val="clear" w:color="auto" w:fill="E7E6E6"/>
            <w:vAlign w:val="center"/>
          </w:tcPr>
          <w:p w14:paraId="735111DC" w14:textId="77777777" w:rsidR="000B62E7" w:rsidRDefault="00A65B0F">
            <w:pPr>
              <w:spacing w:after="0" w:line="240" w:lineRule="auto" w:before="0"/>
              <w:jc w:val="left"/>
            </w:pPr>
            <w:r>
              <w:rPr>
                <w:rFonts w:ascii="Times New Roman" w:hAnsi="Times New Roman"/>
                <w:b/>
                <w:sz w:val="16"/>
              </w:rPr>
              <w:t>Outcome</w:t>
            </w:r>
          </w:p>
        </w:tc>
        <w:tc>
          <w:tcPr>
            <w:tcW w:w="950" w:type="dxa"/>
            <w:shd w:val="clear" w:color="auto" w:fill="E7E6E6"/>
            <w:vAlign w:val="center"/>
          </w:tcPr>
          <w:p w14:paraId="08270DFA" w14:textId="77777777" w:rsidR="000B62E7" w:rsidRDefault="00A65B0F">
            <w:pPr>
              <w:spacing w:after="0" w:line="240" w:lineRule="auto" w:before="0"/>
              <w:jc w:val="left"/>
            </w:pPr>
            <w:r>
              <w:rPr>
                <w:rFonts w:ascii="Times New Roman" w:hAnsi="Times New Roman"/>
                <w:b/>
                <w:sz w:val="16"/>
              </w:rPr>
              <w:t>Median wall</w:t>
            </w:r>
          </w:p>
        </w:tc>
        <w:tc>
          <w:tcPr>
            <w:tcW w:w="800" w:type="dxa"/>
            <w:shd w:val="clear" w:color="auto" w:fill="E7E6E6"/>
            <w:vAlign w:val="center"/>
          </w:tcPr>
          <w:p w14:paraId="5D4FD668" w14:textId="77777777" w:rsidR="000B62E7" w:rsidRDefault="00A65B0F">
            <w:pPr>
              <w:spacing w:after="0" w:line="240" w:lineRule="auto" w:before="0"/>
              <w:jc w:val="left"/>
            </w:pPr>
            <w:r>
              <w:rPr>
                <w:rFonts w:ascii="Times New Roman" w:hAnsi="Times New Roman"/>
                <w:b/>
                <w:sz w:val="16"/>
              </w:rPr>
              <w:t>Median iter.</w:t>
            </w:r>
          </w:p>
        </w:tc>
        <w:tc>
          <w:tcPr>
            <w:tcW w:w="1400" w:type="dxa"/>
            <w:shd w:val="clear" w:color="auto" w:fill="E7E6E6"/>
            <w:vAlign w:val="center"/>
          </w:tcPr>
          <w:p w14:paraId="5AE14286" w14:textId="77777777" w:rsidR="000B62E7" w:rsidRDefault="00A65B0F">
            <w:pPr>
              <w:spacing w:after="0" w:line="240" w:lineRule="auto" w:before="0"/>
              <w:jc w:val="left"/>
            </w:pPr>
            <w:r>
              <w:rPr>
                <w:rFonts w:ascii="Times New Roman" w:hAnsi="Times New Roman"/>
                <w:b/>
                <w:sz w:val="16"/>
              </w:rPr>
              <w:t>Operator audit</w:t>
            </w:r>
          </w:p>
        </w:tc>
        <w:tc>
          <w:tcPr>
            <w:tcW w:w="3260" w:type="dxa"/>
            <w:shd w:val="clear" w:color="auto" w:fill="E7E6E6"/>
            <w:vAlign w:val="center"/>
          </w:tcPr>
          <w:p w14:paraId="0EC1FA5B" w14:textId="77777777" w:rsidR="000B62E7" w:rsidRDefault="00A65B0F">
            <w:pPr>
              <w:spacing w:after="0" w:line="240" w:lineRule="auto" w:before="0"/>
              <w:jc w:val="left"/>
            </w:pPr>
            <w:r>
              <w:rPr>
                <w:rFonts w:ascii="Times New Roman" w:hAnsi="Times New Roman"/>
                <w:b/>
                <w:sz w:val="16"/>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before="0"/>
              <w:jc w:val="left"/>
            </w:pPr>
            <w:r>
              <w:rPr>
                <w:rFonts w:ascii="Times New Roman" w:hAnsi="Times New Roman"/>
                <w:b w:val="0"/>
                <w:sz w:val="16"/>
              </w:rPr>
              <w:t>Classical direct TABI</w:t>
            </w:r>
          </w:p>
        </w:tc>
        <w:tc>
          <w:tcPr>
            <w:tcW w:w="1350" w:type="dxa"/>
            <w:vAlign w:val="center"/>
          </w:tcPr>
          <w:p w14:paraId="10303E76" w14:textId="77777777" w:rsidR="000B62E7" w:rsidRDefault="00A65B0F">
            <w:pPr>
              <w:spacing w:after="0" w:line="240" w:lineRule="auto" w:before="0"/>
              <w:jc w:val="left"/>
            </w:pPr>
            <w:r>
              <w:rPr>
                <w:rFonts w:ascii="Times New Roman" w:hAnsi="Times New Roman"/>
                <w:b w:val="0"/>
                <w:sz w:val="16"/>
              </w:rPr>
              <w:t>0/6 ok; 4 failed; 2 timeout</w:t>
            </w:r>
          </w:p>
        </w:tc>
        <w:tc>
          <w:tcPr>
            <w:tcW w:w="950" w:type="dxa"/>
            <w:vAlign w:val="center"/>
          </w:tcPr>
          <w:p w14:paraId="25D8E01A" w14:textId="77777777" w:rsidR="000B62E7" w:rsidRDefault="00A65B0F">
            <w:pPr>
              <w:spacing w:after="0" w:line="240" w:lineRule="auto" w:before="0"/>
              <w:jc w:val="left"/>
            </w:pPr>
            <w:r>
              <w:rPr>
                <w:rFonts w:ascii="Times New Roman" w:hAnsi="Times New Roman"/>
                <w:b w:val="0"/>
                <w:sz w:val="16"/>
              </w:rPr>
              <w:t>31.1 min</w:t>
            </w:r>
          </w:p>
        </w:tc>
        <w:tc>
          <w:tcPr>
            <w:tcW w:w="800" w:type="dxa"/>
            <w:vAlign w:val="center"/>
          </w:tcPr>
          <w:p w14:paraId="0C1A17DF" w14:textId="77777777" w:rsidR="000B62E7" w:rsidRDefault="00A65B0F">
            <w:pPr>
              <w:spacing w:after="0" w:line="240" w:lineRule="auto" w:before="0"/>
              <w:jc w:val="left"/>
            </w:pPr>
            <w:r>
              <w:rPr>
                <w:rFonts w:ascii="Times New Roman" w:hAnsi="Times New Roman"/>
                <w:b w:val="0"/>
                <w:sz w:val="16"/>
              </w:rPr>
              <w:t>576</w:t>
            </w:r>
          </w:p>
        </w:tc>
        <w:tc>
          <w:tcPr>
            <w:tcW w:w="1400" w:type="dxa"/>
            <w:vAlign w:val="center"/>
          </w:tcPr>
          <w:p>
            <w:pPr>
              <w:spacing w:after="0" w:before="0"/>
              <w:jc w:val="left"/>
            </w:pPr>
            <w:r>
              <w:rPr>
                <w:rFonts w:ascii="Times New Roman" w:hAnsi="Times New Roman"/>
                <w:b w:val="0"/>
                <w:sz w:val="16"/>
              </w:rPr>
              <w:t>no passing solve under budget</w:t>
            </w:r>
          </w:p>
        </w:tc>
        <w:tc>
          <w:tcPr>
            <w:tcW w:w="3260" w:type="dxa"/>
            <w:vAlign w:val="center"/>
          </w:tcPr>
          <w:p>
            <w:pPr>
              <w:spacing w:after="0" w:before="0"/>
              <w:jc w:val="left"/>
            </w:pPr>
            <w:r>
              <w:rPr>
                <w:rFonts w:ascii="Times New Roman" w:hAnsi="Times New Roman"/>
                <w:b w:val="0"/>
                <w:sz w:val="16"/>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before="0"/>
              <w:jc w:val="left"/>
            </w:pPr>
            <w:r>
              <w:rPr>
                <w:rFonts w:ascii="Times New Roman" w:hAnsi="Times New Roman"/>
                <w:b w:val="0"/>
                <w:sz w:val="16"/>
              </w:rPr>
              <w:t>Degree-one FMM + diagonal</w:t>
            </w:r>
          </w:p>
        </w:tc>
        <w:tc>
          <w:tcPr>
            <w:tcW w:w="1350" w:type="dxa"/>
            <w:vAlign w:val="center"/>
          </w:tcPr>
          <w:p w14:paraId="0D96A7DA" w14:textId="77777777" w:rsidR="000B62E7" w:rsidRDefault="00A65B0F">
            <w:pPr>
              <w:spacing w:after="0" w:line="240" w:lineRule="auto" w:before="0"/>
              <w:jc w:val="left"/>
            </w:pPr>
            <w:r>
              <w:rPr>
                <w:rFonts w:ascii="Times New Roman" w:hAnsi="Times New Roman"/>
                <w:b w:val="0"/>
                <w:sz w:val="16"/>
              </w:rPr>
              <w:t>0/6 ok; 5 failed; 1 timeout</w:t>
            </w:r>
          </w:p>
        </w:tc>
        <w:tc>
          <w:tcPr>
            <w:tcW w:w="950" w:type="dxa"/>
            <w:vAlign w:val="center"/>
          </w:tcPr>
          <w:p w14:paraId="67B21715" w14:textId="77777777" w:rsidR="000B62E7" w:rsidRDefault="00A65B0F">
            <w:pPr>
              <w:spacing w:after="0" w:line="240" w:lineRule="auto" w:before="0"/>
              <w:jc w:val="left"/>
            </w:pPr>
            <w:r>
              <w:rPr>
                <w:rFonts w:ascii="Times New Roman" w:hAnsi="Times New Roman"/>
                <w:b w:val="0"/>
                <w:sz w:val="16"/>
              </w:rPr>
              <w:t>944.5 s</w:t>
            </w:r>
          </w:p>
        </w:tc>
        <w:tc>
          <w:tcPr>
            <w:tcW w:w="800" w:type="dxa"/>
            <w:vAlign w:val="center"/>
          </w:tcPr>
          <w:p w14:paraId="362C6602" w14:textId="77777777" w:rsidR="000B62E7" w:rsidRDefault="00A65B0F">
            <w:pPr>
              <w:spacing w:after="0" w:line="240" w:lineRule="auto" w:before="0"/>
              <w:jc w:val="left"/>
            </w:pPr>
            <w:r>
              <w:rPr>
                <w:rFonts w:ascii="Times New Roman" w:hAnsi="Times New Roman"/>
                <w:b w:val="0"/>
                <w:sz w:val="16"/>
              </w:rPr>
              <w:t>680</w:t>
            </w:r>
          </w:p>
        </w:tc>
        <w:tc>
          <w:tcPr>
            <w:tcW w:w="1400" w:type="dxa"/>
            <w:vAlign w:val="center"/>
          </w:tcPr>
          <w:p w14:paraId="60522B59" w14:textId="77777777" w:rsidR="000B62E7" w:rsidRDefault="00A65B0F">
            <w:pPr>
              <w:spacing w:after="0" w:line="240" w:lineRule="auto" w:before="0"/>
              <w:jc w:val="left"/>
            </w:pPr>
            <w:r>
              <w:rPr>
                <w:rFonts w:ascii="Times New Roman" w:hAnsi="Times New Roman"/>
                <w:b w:val="0"/>
                <w:sz w:val="16"/>
              </w:rPr>
              <w:t>median 1.207e-02</w:t>
            </w:r>
          </w:p>
        </w:tc>
        <w:tc>
          <w:tcPr>
            <w:tcW w:w="3260" w:type="dxa"/>
            <w:vAlign w:val="center"/>
          </w:tcPr>
          <w:p>
            <w:pPr>
              <w:spacing w:after="0" w:before="0"/>
              <w:jc w:val="left"/>
            </w:pPr>
            <w:r>
              <w:rPr>
                <w:rFonts w:ascii="Times New Roman" w:hAnsi="Times New Roman"/>
                <w:b w:val="0"/>
                <w:sz w:val="16"/>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before="0"/>
              <w:jc w:val="left"/>
            </w:pPr>
            <w:r>
              <w:rPr>
                <w:rFonts w:ascii="Times New Roman" w:hAnsi="Times New Roman"/>
                <w:b w:val="0"/>
                <w:sz w:val="16"/>
              </w:rPr>
              <w:t>Degree-one FMM + local block</w:t>
            </w:r>
          </w:p>
        </w:tc>
        <w:tc>
          <w:tcPr>
            <w:tcW w:w="1350" w:type="dxa"/>
            <w:vAlign w:val="center"/>
          </w:tcPr>
          <w:p w14:paraId="19F015B1" w14:textId="77777777" w:rsidR="000B62E7" w:rsidRDefault="00A65B0F">
            <w:pPr>
              <w:spacing w:after="0" w:line="240" w:lineRule="auto" w:before="0"/>
              <w:jc w:val="left"/>
            </w:pPr>
            <w:r>
              <w:rPr>
                <w:rFonts w:ascii="Times New Roman" w:hAnsi="Times New Roman"/>
                <w:b w:val="0"/>
                <w:sz w:val="16"/>
              </w:rPr>
              <w:t>0/6 ok; 6 failed; 0 timeout</w:t>
            </w:r>
          </w:p>
        </w:tc>
        <w:tc>
          <w:tcPr>
            <w:tcW w:w="950" w:type="dxa"/>
            <w:vAlign w:val="center"/>
          </w:tcPr>
          <w:p w14:paraId="2A7CF5C1" w14:textId="77777777" w:rsidR="000B62E7" w:rsidRDefault="00A65B0F">
            <w:pPr>
              <w:spacing w:after="0" w:line="240" w:lineRule="auto" w:before="0"/>
              <w:jc w:val="left"/>
            </w:pPr>
            <w:r>
              <w:rPr>
                <w:rFonts w:ascii="Times New Roman" w:hAnsi="Times New Roman"/>
                <w:b w:val="0"/>
                <w:sz w:val="16"/>
              </w:rPr>
              <w:t>700.8 s</w:t>
            </w:r>
          </w:p>
        </w:tc>
        <w:tc>
          <w:tcPr>
            <w:tcW w:w="800" w:type="dxa"/>
            <w:vAlign w:val="center"/>
          </w:tcPr>
          <w:p w14:paraId="16ECA769" w14:textId="77777777" w:rsidR="000B62E7" w:rsidRDefault="00A65B0F">
            <w:pPr>
              <w:spacing w:after="0" w:line="240" w:lineRule="auto" w:before="0"/>
              <w:jc w:val="left"/>
            </w:pPr>
            <w:r>
              <w:rPr>
                <w:rFonts w:ascii="Times New Roman" w:hAnsi="Times New Roman"/>
                <w:b w:val="0"/>
                <w:sz w:val="16"/>
              </w:rPr>
              <w:t>720</w:t>
            </w:r>
          </w:p>
        </w:tc>
        <w:tc>
          <w:tcPr>
            <w:tcW w:w="1400" w:type="dxa"/>
            <w:vAlign w:val="center"/>
          </w:tcPr>
          <w:p w14:paraId="0FDF26C3" w14:textId="77777777" w:rsidR="000B62E7" w:rsidRDefault="00A65B0F">
            <w:pPr>
              <w:spacing w:after="0" w:line="240" w:lineRule="auto" w:before="0"/>
              <w:jc w:val="left"/>
            </w:pPr>
            <w:r>
              <w:rPr>
                <w:rFonts w:ascii="Times New Roman" w:hAnsi="Times New Roman"/>
                <w:b w:val="0"/>
                <w:sz w:val="16"/>
              </w:rPr>
              <w:t>median 1.258e-02</w:t>
            </w:r>
          </w:p>
        </w:tc>
        <w:tc>
          <w:tcPr>
            <w:tcW w:w="3260" w:type="dxa"/>
            <w:vAlign w:val="center"/>
          </w:tcPr>
          <w:p>
            <w:pPr>
              <w:spacing w:after="0" w:before="0"/>
              <w:jc w:val="left"/>
            </w:pPr>
            <w:r>
              <w:rPr>
                <w:rFonts w:ascii="Times New Roman" w:hAnsi="Times New Roman"/>
                <w:b w:val="0"/>
                <w:sz w:val="16"/>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before="0"/>
              <w:jc w:val="left"/>
            </w:pPr>
            <w:r>
              <w:rPr>
                <w:rFonts w:ascii="Times New Roman" w:hAnsi="Times New Roman"/>
                <w:b w:val="0"/>
                <w:sz w:val="16"/>
              </w:rPr>
              <w:t>Degree-one FMM + sparse ILU(0)</w:t>
            </w:r>
          </w:p>
        </w:tc>
        <w:tc>
          <w:tcPr>
            <w:tcW w:w="1350" w:type="dxa"/>
            <w:vAlign w:val="center"/>
          </w:tcPr>
          <w:p w14:paraId="165A2D28"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1C831F17" w14:textId="77777777" w:rsidR="000B62E7" w:rsidRDefault="00A65B0F">
            <w:pPr>
              <w:spacing w:after="0" w:line="240" w:lineRule="auto" w:before="0"/>
              <w:jc w:val="left"/>
            </w:pPr>
            <w:r>
              <w:rPr>
                <w:rFonts w:ascii="Times New Roman" w:hAnsi="Times New Roman"/>
                <w:b w:val="0"/>
                <w:sz w:val="16"/>
              </w:rPr>
              <w:t>133.3 s</w:t>
            </w:r>
          </w:p>
        </w:tc>
        <w:tc>
          <w:tcPr>
            <w:tcW w:w="800" w:type="dxa"/>
            <w:vAlign w:val="center"/>
          </w:tcPr>
          <w:p w14:paraId="6D4C7ABD"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2A0D8625" w14:textId="77777777" w:rsidR="000B62E7" w:rsidRDefault="00A65B0F">
            <w:pPr>
              <w:spacing w:after="0" w:line="240" w:lineRule="auto" w:before="0"/>
              <w:jc w:val="left"/>
            </w:pPr>
            <w:r>
              <w:rPr>
                <w:rFonts w:ascii="Times New Roman" w:hAnsi="Times New Roman"/>
                <w:b w:val="0"/>
                <w:sz w:val="16"/>
              </w:rPr>
              <w:t>median 4.052e-02; max 9.671e-01</w:t>
            </w:r>
          </w:p>
        </w:tc>
        <w:tc>
          <w:tcPr>
            <w:tcW w:w="3260" w:type="dxa"/>
            <w:vAlign w:val="center"/>
          </w:tcPr>
          <w:p>
            <w:pPr>
              <w:spacing w:after="0" w:before="0"/>
              <w:jc w:val="left"/>
            </w:pPr>
            <w:r>
              <w:rPr>
                <w:rFonts w:ascii="Times New Roman" w:hAnsi="Times New Roman"/>
                <w:b w:val="0"/>
                <w:sz w:val="16"/>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before="0"/>
              <w:jc w:val="left"/>
            </w:pPr>
            <w:r>
              <w:rPr>
                <w:rFonts w:ascii="Times New Roman" w:hAnsi="Times New Roman"/>
                <w:b w:val="0"/>
                <w:sz w:val="16"/>
              </w:rPr>
              <w:t>Guarded p4 FMM + sparse ILU(0)</w:t>
            </w:r>
          </w:p>
        </w:tc>
        <w:tc>
          <w:tcPr>
            <w:tcW w:w="1350" w:type="dxa"/>
            <w:vAlign w:val="center"/>
          </w:tcPr>
          <w:p w14:paraId="1AA0350A"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0F1F9155" w14:textId="77777777" w:rsidR="000B62E7" w:rsidRDefault="00A65B0F">
            <w:pPr>
              <w:spacing w:after="0" w:line="240" w:lineRule="auto" w:before="0"/>
              <w:jc w:val="left"/>
            </w:pPr>
            <w:r>
              <w:rPr>
                <w:rFonts w:ascii="Times New Roman" w:hAnsi="Times New Roman"/>
                <w:b w:val="0"/>
                <w:sz w:val="16"/>
              </w:rPr>
              <w:t>140.6 s</w:t>
            </w:r>
          </w:p>
        </w:tc>
        <w:tc>
          <w:tcPr>
            <w:tcW w:w="800" w:type="dxa"/>
            <w:vAlign w:val="center"/>
          </w:tcPr>
          <w:p w14:paraId="49173568"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1A68B438" w14:textId="77777777" w:rsidR="000B62E7" w:rsidRDefault="00A65B0F">
            <w:pPr>
              <w:spacing w:after="0" w:line="240" w:lineRule="auto" w:before="0"/>
              <w:jc w:val="left"/>
            </w:pPr>
            <w:r>
              <w:rPr>
                <w:rFonts w:ascii="Times New Roman" w:hAnsi="Times New Roman"/>
                <w:b w:val="0"/>
                <w:sz w:val="16"/>
              </w:rPr>
              <w:t>median 1.121e-05; max 2.534e-03</w:t>
            </w:r>
          </w:p>
        </w:tc>
        <w:tc>
          <w:tcPr>
            <w:tcW w:w="3260" w:type="dxa"/>
            <w:vAlign w:val="center"/>
          </w:tcPr>
          <w:p>
            <w:pPr>
              <w:spacing w:after="0" w:before="0"/>
              <w:jc w:val="left"/>
            </w:pPr>
            <w:r>
              <w:rPr>
                <w:rFonts w:ascii="Times New Roman" w:hAnsi="Times New Roman"/>
                <w:b w:val="0"/>
                <w:sz w:val="16"/>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autofit"/>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303AC7B7" w14:textId="77777777" w:rsidR="000B62E7" w:rsidRDefault="00A65B0F">
            <w:pPr>
              <w:spacing w:after="0" w:line="240" w:lineRule="auto" w:before="0"/>
              <w:jc w:val="left"/>
            </w:pPr>
            <w:r>
              <w:rPr>
                <w:rFonts w:ascii="Times New Roman" w:hAnsi="Times New Roman"/>
                <w:b/>
                <w:sz w:val="16"/>
              </w:rPr>
              <w:t>PDB/source</w:t>
            </w:r>
          </w:p>
        </w:tc>
        <w:tc>
          <w:tcPr>
            <w:tcW w:w="700" w:type="dxa"/>
            <w:shd w:val="clear" w:color="auto" w:fill="E7E6E6"/>
            <w:vAlign w:val="center"/>
          </w:tcPr>
          <w:p w14:paraId="5A0C7F30" w14:textId="77777777" w:rsidR="000B62E7" w:rsidRDefault="00A65B0F">
            <w:pPr>
              <w:spacing w:after="0" w:line="240" w:lineRule="auto" w:before="0"/>
              <w:jc w:val="left"/>
            </w:pPr>
            <w:r>
              <w:rPr>
                <w:rFonts w:ascii="Times New Roman" w:hAnsi="Times New Roman"/>
                <w:b/>
                <w:sz w:val="16"/>
              </w:rPr>
              <w:t>Panels</w:t>
            </w:r>
          </w:p>
        </w:tc>
        <w:tc>
          <w:tcPr>
            <w:tcW w:w="600" w:type="dxa"/>
            <w:shd w:val="clear" w:color="auto" w:fill="E7E6E6"/>
            <w:vAlign w:val="center"/>
          </w:tcPr>
          <w:p w14:paraId="2C7827C2" w14:textId="77777777" w:rsidR="000B62E7" w:rsidRDefault="00A65B0F">
            <w:pPr>
              <w:spacing w:after="0" w:line="240" w:lineRule="auto" w:before="0"/>
              <w:jc w:val="left"/>
            </w:pPr>
            <w:r>
              <w:rPr>
                <w:rFonts w:ascii="Times New Roman" w:hAnsi="Times New Roman"/>
                <w:b/>
                <w:sz w:val="16"/>
              </w:rPr>
              <w:t>Iter.</w:t>
            </w:r>
          </w:p>
        </w:tc>
        <w:tc>
          <w:tcPr>
            <w:tcW w:w="1200" w:type="dxa"/>
            <w:shd w:val="clear" w:color="auto" w:fill="E7E6E6"/>
            <w:vAlign w:val="center"/>
          </w:tcPr>
          <w:p w14:paraId="189A16B8" w14:textId="77777777" w:rsidR="000B62E7" w:rsidRDefault="00A65B0F">
            <w:pPr>
              <w:spacing w:after="0" w:line="240" w:lineRule="auto" w:before="0"/>
              <w:jc w:val="left"/>
            </w:pPr>
            <w:r>
              <w:rPr>
                <w:rFonts w:ascii="Times New Roman" w:hAnsi="Times New Roman"/>
                <w:b/>
                <w:sz w:val="16"/>
              </w:rPr>
              <w:t>Internal residual</w:t>
            </w:r>
          </w:p>
        </w:tc>
        <w:tc>
          <w:tcPr>
            <w:tcW w:w="1050" w:type="dxa"/>
            <w:shd w:val="clear" w:color="auto" w:fill="E7E6E6"/>
            <w:vAlign w:val="center"/>
          </w:tcPr>
          <w:p>
            <w:pPr>
              <w:jc w:val="left"/>
            </w:pPr>
            <w:r>
              <w:rPr>
                <w:b/>
                <w:sz w:val="16"/>
              </w:rPr>
              <w:t>Audit RMS</w:t>
            </w:r>
          </w:p>
        </w:tc>
        <w:tc>
          <w:tcPr>
            <w:tcW w:w="1200" w:type="dxa"/>
            <w:shd w:val="clear" w:color="auto" w:fill="E7E6E6"/>
            <w:vAlign w:val="center"/>
          </w:tcPr>
          <w:p>
            <w:pPr>
              <w:jc w:val="left"/>
            </w:pPr>
            <w:r>
              <w:rPr>
                <w:b/>
                <w:sz w:val="16"/>
              </w:rPr>
              <w:t>Sampled direct residual</w:t>
            </w:r>
          </w:p>
        </w:tc>
        <w:tc>
          <w:tcPr>
            <w:tcW w:w="700" w:type="dxa"/>
            <w:shd w:val="clear" w:color="auto" w:fill="E7E6E6"/>
            <w:vAlign w:val="center"/>
          </w:tcPr>
          <w:p w14:paraId="1CC77690" w14:textId="77777777" w:rsidR="000B62E7" w:rsidRDefault="00A65B0F">
            <w:pPr>
              <w:spacing w:after="0" w:line="240" w:lineRule="auto" w:before="0"/>
              <w:jc w:val="left"/>
            </w:pPr>
            <w:r>
              <w:rPr>
                <w:rFonts w:ascii="Times New Roman" w:hAnsi="Times New Roman"/>
                <w:b/>
                <w:sz w:val="16"/>
              </w:rPr>
              <w:t>Wall</w:t>
            </w:r>
          </w:p>
        </w:tc>
        <w:tc>
          <w:tcPr>
            <w:tcW w:w="650" w:type="dxa"/>
            <w:shd w:val="clear" w:color="auto" w:fill="E7E6E6"/>
            <w:vAlign w:val="center"/>
          </w:tcPr>
          <w:p w14:paraId="2B1C33E0" w14:textId="77777777" w:rsidR="000B62E7" w:rsidRDefault="00A65B0F">
            <w:pPr>
              <w:spacing w:after="0" w:line="240" w:lineRule="auto" w:before="0"/>
              <w:jc w:val="left"/>
            </w:pPr>
            <w:r>
              <w:rPr>
                <w:rFonts w:ascii="Times New Roman" w:hAnsi="Times New Roman"/>
                <w:b/>
                <w:sz w:val="16"/>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4C8AEBE" w14:textId="77777777" w:rsidR="000B62E7" w:rsidRDefault="00A65B0F">
            <w:pPr>
              <w:spacing w:after="0" w:line="240" w:lineRule="auto" w:before="0"/>
              <w:jc w:val="left"/>
            </w:pPr>
            <w:r>
              <w:rPr>
                <w:rFonts w:ascii="Times New Roman" w:hAnsi="Times New Roman"/>
                <w:b w:val="0"/>
                <w:sz w:val="16"/>
              </w:rPr>
              <w:t>PyDelPhi benchmark</w:t>
            </w:r>
          </w:p>
        </w:tc>
        <w:tc>
          <w:tcPr>
            <w:tcW w:w="700" w:type="dxa"/>
            <w:vAlign w:val="center"/>
          </w:tcPr>
          <w:p w14:paraId="11E477DB" w14:textId="77777777" w:rsidR="000B62E7" w:rsidRDefault="00A65B0F">
            <w:pPr>
              <w:spacing w:after="0" w:line="240" w:lineRule="auto" w:before="0"/>
              <w:jc w:val="left"/>
            </w:pPr>
            <w:r>
              <w:rPr>
                <w:rFonts w:ascii="Times New Roman" w:hAnsi="Times New Roman"/>
                <w:b w:val="0"/>
                <w:sz w:val="16"/>
              </w:rPr>
              <w:t>14942</w:t>
            </w:r>
          </w:p>
        </w:tc>
        <w:tc>
          <w:tcPr>
            <w:tcW w:w="600" w:type="dxa"/>
            <w:vAlign w:val="center"/>
          </w:tcPr>
          <w:p w14:paraId="04D6D551"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0C24637" w14:textId="77777777" w:rsidR="000B62E7" w:rsidRDefault="00A65B0F">
            <w:pPr>
              <w:spacing w:after="0" w:line="240" w:lineRule="auto" w:before="0"/>
              <w:jc w:val="left"/>
            </w:pPr>
            <w:r>
              <w:rPr>
                <w:rFonts w:ascii="Times New Roman" w:hAnsi="Times New Roman"/>
                <w:b w:val="0"/>
                <w:sz w:val="16"/>
              </w:rPr>
              <w:t>8.579e-13</w:t>
            </w:r>
          </w:p>
        </w:tc>
        <w:tc>
          <w:tcPr>
            <w:tcW w:w="1050" w:type="dxa"/>
            <w:vAlign w:val="center"/>
          </w:tcPr>
          <w:p w14:paraId="780C71E3" w14:textId="77777777" w:rsidR="000B62E7" w:rsidRDefault="00A65B0F">
            <w:pPr>
              <w:spacing w:after="0" w:line="240" w:lineRule="auto" w:before="0"/>
              <w:jc w:val="left"/>
            </w:pPr>
            <w:r>
              <w:rPr>
                <w:rFonts w:ascii="Times New Roman" w:hAnsi="Times New Roman"/>
                <w:b w:val="0"/>
                <w:sz w:val="16"/>
              </w:rPr>
              <w:t>7.647e-05</w:t>
            </w:r>
          </w:p>
        </w:tc>
        <w:tc>
          <w:tcPr>
            <w:tcW w:w="1200" w:type="dxa"/>
            <w:vAlign w:val="center"/>
          </w:tcPr>
          <w:p w14:paraId="1079FD5D" w14:textId="77777777" w:rsidR="000B62E7" w:rsidRDefault="00A65B0F">
            <w:pPr>
              <w:spacing w:after="0" w:line="240" w:lineRule="auto" w:before="0"/>
              <w:jc w:val="left"/>
            </w:pPr>
            <w:r>
              <w:rPr>
                <w:rFonts w:ascii="Times New Roman" w:hAnsi="Times New Roman"/>
                <w:b w:val="0"/>
                <w:sz w:val="16"/>
              </w:rPr>
              <w:t>7.647e-05</w:t>
            </w:r>
          </w:p>
        </w:tc>
        <w:tc>
          <w:tcPr>
            <w:tcW w:w="700" w:type="dxa"/>
            <w:vAlign w:val="center"/>
          </w:tcPr>
          <w:p w14:paraId="32F9A1D7" w14:textId="77777777" w:rsidR="000B62E7" w:rsidRDefault="00A65B0F">
            <w:pPr>
              <w:spacing w:after="0" w:line="240" w:lineRule="auto" w:before="0"/>
              <w:jc w:val="left"/>
            </w:pPr>
            <w:r>
              <w:rPr>
                <w:rFonts w:ascii="Times New Roman" w:hAnsi="Times New Roman"/>
                <w:b w:val="0"/>
                <w:sz w:val="16"/>
              </w:rPr>
              <w:t>245.0 s</w:t>
            </w:r>
          </w:p>
        </w:tc>
        <w:tc>
          <w:tcPr>
            <w:tcW w:w="650" w:type="dxa"/>
            <w:vAlign w:val="center"/>
          </w:tcPr>
          <w:p w14:paraId="2DC292C4" w14:textId="77777777" w:rsidR="000B62E7" w:rsidRDefault="00A65B0F">
            <w:pPr>
              <w:spacing w:after="0" w:line="240" w:lineRule="auto" w:before="0"/>
              <w:jc w:val="left"/>
            </w:pPr>
            <w:r>
              <w:rPr>
                <w:rFonts w:ascii="Times New Roman" w:hAnsi="Times New Roman"/>
                <w:b w:val="0"/>
                <w:sz w:val="16"/>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0C5110AC" w14:textId="77777777" w:rsidR="000B62E7" w:rsidRDefault="00A65B0F">
            <w:pPr>
              <w:spacing w:after="0" w:line="240" w:lineRule="auto" w:before="0"/>
              <w:jc w:val="left"/>
            </w:pPr>
            <w:r>
              <w:rPr>
                <w:rFonts w:ascii="Times New Roman" w:hAnsi="Times New Roman"/>
                <w:b w:val="0"/>
                <w:sz w:val="16"/>
              </w:rPr>
              <w:t>1A63</w:t>
            </w:r>
          </w:p>
        </w:tc>
        <w:tc>
          <w:tcPr>
            <w:tcW w:w="700" w:type="dxa"/>
            <w:vAlign w:val="center"/>
          </w:tcPr>
          <w:p w14:paraId="1CF94817" w14:textId="77777777" w:rsidR="000B62E7" w:rsidRDefault="00A65B0F">
            <w:pPr>
              <w:spacing w:after="0" w:line="240" w:lineRule="auto" w:before="0"/>
              <w:jc w:val="left"/>
            </w:pPr>
            <w:r>
              <w:rPr>
                <w:rFonts w:ascii="Times New Roman" w:hAnsi="Times New Roman"/>
                <w:b w:val="0"/>
                <w:sz w:val="16"/>
              </w:rPr>
              <w:t>17250</w:t>
            </w:r>
          </w:p>
        </w:tc>
        <w:tc>
          <w:tcPr>
            <w:tcW w:w="600" w:type="dxa"/>
            <w:vAlign w:val="center"/>
          </w:tcPr>
          <w:p w14:paraId="224F5746"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8D3E5C1" w14:textId="77777777" w:rsidR="000B62E7" w:rsidRDefault="00A65B0F">
            <w:pPr>
              <w:spacing w:after="0" w:line="240" w:lineRule="auto" w:before="0"/>
              <w:jc w:val="left"/>
            </w:pPr>
            <w:r>
              <w:rPr>
                <w:rFonts w:ascii="Times New Roman" w:hAnsi="Times New Roman"/>
                <w:b w:val="0"/>
                <w:sz w:val="16"/>
              </w:rPr>
              <w:t>1.337e-11</w:t>
            </w:r>
          </w:p>
        </w:tc>
        <w:tc>
          <w:tcPr>
            <w:tcW w:w="1050" w:type="dxa"/>
            <w:vAlign w:val="center"/>
          </w:tcPr>
          <w:p w14:paraId="54220856" w14:textId="77777777" w:rsidR="000B62E7" w:rsidRDefault="00A65B0F">
            <w:pPr>
              <w:spacing w:after="0" w:line="240" w:lineRule="auto" w:before="0"/>
              <w:jc w:val="left"/>
            </w:pPr>
            <w:r>
              <w:rPr>
                <w:rFonts w:ascii="Times New Roman" w:hAnsi="Times New Roman"/>
                <w:b w:val="0"/>
                <w:sz w:val="16"/>
              </w:rPr>
              <w:t>2.534e-03</w:t>
            </w:r>
          </w:p>
        </w:tc>
        <w:tc>
          <w:tcPr>
            <w:tcW w:w="1200" w:type="dxa"/>
            <w:vAlign w:val="center"/>
          </w:tcPr>
          <w:p w14:paraId="38A6A24F" w14:textId="77777777" w:rsidR="000B62E7" w:rsidRDefault="00A65B0F">
            <w:pPr>
              <w:spacing w:after="0" w:line="240" w:lineRule="auto" w:before="0"/>
              <w:jc w:val="left"/>
            </w:pPr>
            <w:r>
              <w:rPr>
                <w:rFonts w:ascii="Times New Roman" w:hAnsi="Times New Roman"/>
                <w:b w:val="0"/>
                <w:sz w:val="16"/>
              </w:rPr>
              <w:t>2.535e-03</w:t>
            </w:r>
          </w:p>
        </w:tc>
        <w:tc>
          <w:tcPr>
            <w:tcW w:w="700" w:type="dxa"/>
            <w:vAlign w:val="center"/>
          </w:tcPr>
          <w:p w14:paraId="6BAD8D15" w14:textId="77777777" w:rsidR="000B62E7" w:rsidRDefault="00A65B0F">
            <w:pPr>
              <w:spacing w:after="0" w:line="240" w:lineRule="auto" w:before="0"/>
              <w:jc w:val="left"/>
            </w:pPr>
            <w:r>
              <w:rPr>
                <w:rFonts w:ascii="Times New Roman" w:hAnsi="Times New Roman"/>
                <w:b w:val="0"/>
                <w:sz w:val="16"/>
              </w:rPr>
              <w:t>312.6 s</w:t>
            </w:r>
          </w:p>
        </w:tc>
        <w:tc>
          <w:tcPr>
            <w:tcW w:w="650" w:type="dxa"/>
            <w:vAlign w:val="center"/>
          </w:tcPr>
          <w:p w14:paraId="7C0A5D67" w14:textId="77777777" w:rsidR="000B62E7" w:rsidRDefault="00A65B0F">
            <w:pPr>
              <w:spacing w:after="0" w:line="240" w:lineRule="auto" w:before="0"/>
              <w:jc w:val="left"/>
            </w:pPr>
            <w:r>
              <w:rPr>
                <w:rFonts w:ascii="Times New Roman" w:hAnsi="Times New Roman"/>
                <w:b w:val="0"/>
                <w:sz w:val="16"/>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435F69C7" w14:textId="77777777" w:rsidR="000B62E7" w:rsidRDefault="00A65B0F">
            <w:pPr>
              <w:spacing w:after="0" w:line="240" w:lineRule="auto" w:before="0"/>
              <w:jc w:val="left"/>
            </w:pPr>
            <w:r>
              <w:rPr>
                <w:rFonts w:ascii="Times New Roman" w:hAnsi="Times New Roman"/>
                <w:b w:val="0"/>
                <w:sz w:val="16"/>
              </w:rPr>
              <w:t>1SH1</w:t>
            </w:r>
          </w:p>
        </w:tc>
        <w:tc>
          <w:tcPr>
            <w:tcW w:w="700" w:type="dxa"/>
            <w:vAlign w:val="center"/>
          </w:tcPr>
          <w:p w14:paraId="3E69DB79" w14:textId="77777777" w:rsidR="000B62E7" w:rsidRDefault="00A65B0F">
            <w:pPr>
              <w:spacing w:after="0" w:line="240" w:lineRule="auto" w:before="0"/>
              <w:jc w:val="left"/>
            </w:pPr>
            <w:r>
              <w:rPr>
                <w:rFonts w:ascii="Times New Roman" w:hAnsi="Times New Roman"/>
                <w:b w:val="0"/>
                <w:sz w:val="16"/>
              </w:rPr>
              <w:t>6673</w:t>
            </w:r>
          </w:p>
        </w:tc>
        <w:tc>
          <w:tcPr>
            <w:tcW w:w="600" w:type="dxa"/>
            <w:vAlign w:val="center"/>
          </w:tcPr>
          <w:p w14:paraId="7E15852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AA2EF7C" w14:textId="77777777" w:rsidR="000B62E7" w:rsidRDefault="00A65B0F">
            <w:pPr>
              <w:spacing w:after="0" w:line="240" w:lineRule="auto" w:before="0"/>
              <w:jc w:val="left"/>
            </w:pPr>
            <w:r>
              <w:rPr>
                <w:rFonts w:ascii="Times New Roman" w:hAnsi="Times New Roman"/>
                <w:b w:val="0"/>
                <w:sz w:val="16"/>
              </w:rPr>
              <w:t>1.164e-14</w:t>
            </w:r>
          </w:p>
        </w:tc>
        <w:tc>
          <w:tcPr>
            <w:tcW w:w="1050" w:type="dxa"/>
            <w:vAlign w:val="center"/>
          </w:tcPr>
          <w:p w14:paraId="77CA1D51" w14:textId="77777777" w:rsidR="000B62E7" w:rsidRDefault="00A65B0F">
            <w:pPr>
              <w:spacing w:after="0" w:line="240" w:lineRule="auto" w:before="0"/>
              <w:jc w:val="left"/>
            </w:pPr>
            <w:r>
              <w:rPr>
                <w:rFonts w:ascii="Times New Roman" w:hAnsi="Times New Roman"/>
                <w:b w:val="0"/>
                <w:sz w:val="16"/>
              </w:rPr>
              <w:t>5.519e-06</w:t>
            </w:r>
          </w:p>
        </w:tc>
        <w:tc>
          <w:tcPr>
            <w:tcW w:w="1200" w:type="dxa"/>
            <w:vAlign w:val="center"/>
          </w:tcPr>
          <w:p w14:paraId="1FD3B240" w14:textId="77777777" w:rsidR="000B62E7" w:rsidRDefault="00A65B0F">
            <w:pPr>
              <w:spacing w:after="0" w:line="240" w:lineRule="auto" w:before="0"/>
              <w:jc w:val="left"/>
            </w:pPr>
            <w:r>
              <w:rPr>
                <w:rFonts w:ascii="Times New Roman" w:hAnsi="Times New Roman"/>
                <w:b w:val="0"/>
                <w:sz w:val="16"/>
              </w:rPr>
              <w:t>5.519e-06</w:t>
            </w:r>
          </w:p>
        </w:tc>
        <w:tc>
          <w:tcPr>
            <w:tcW w:w="700" w:type="dxa"/>
            <w:vAlign w:val="center"/>
          </w:tcPr>
          <w:p w14:paraId="176A049D" w14:textId="77777777" w:rsidR="000B62E7" w:rsidRDefault="00A65B0F">
            <w:pPr>
              <w:spacing w:after="0" w:line="240" w:lineRule="auto" w:before="0"/>
              <w:jc w:val="left"/>
            </w:pPr>
            <w:r>
              <w:rPr>
                <w:rFonts w:ascii="Times New Roman" w:hAnsi="Times New Roman"/>
                <w:b w:val="0"/>
                <w:sz w:val="16"/>
              </w:rPr>
              <w:t>57.0 s</w:t>
            </w:r>
          </w:p>
        </w:tc>
        <w:tc>
          <w:tcPr>
            <w:tcW w:w="650" w:type="dxa"/>
            <w:vAlign w:val="center"/>
          </w:tcPr>
          <w:p w14:paraId="593FB9D3" w14:textId="77777777" w:rsidR="000B62E7" w:rsidRDefault="00A65B0F">
            <w:pPr>
              <w:spacing w:after="0" w:line="240" w:lineRule="auto" w:before="0"/>
              <w:jc w:val="left"/>
            </w:pPr>
            <w:r>
              <w:rPr>
                <w:rFonts w:ascii="Times New Roman" w:hAnsi="Times New Roman"/>
                <w:b w:val="0"/>
                <w:sz w:val="16"/>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before="0"/>
              <w:jc w:val="left"/>
            </w:pPr>
            <w:r>
              <w:rPr>
                <w:rFonts w:ascii="Times New Roman" w:hAnsi="Times New Roman"/>
                <w:b w:val="0"/>
                <w:sz w:val="16"/>
              </w:rPr>
              <w:t>Ubiquitin</w:t>
            </w:r>
          </w:p>
        </w:tc>
        <w:tc>
          <w:tcPr>
            <w:tcW w:w="1100" w:type="dxa"/>
            <w:vAlign w:val="center"/>
          </w:tcPr>
          <w:p w14:paraId="40BE4AC7" w14:textId="77777777" w:rsidR="000B62E7" w:rsidRDefault="00A65B0F">
            <w:pPr>
              <w:spacing w:after="0" w:line="240" w:lineRule="auto" w:before="0"/>
              <w:jc w:val="left"/>
            </w:pPr>
            <w:r>
              <w:rPr>
                <w:rFonts w:ascii="Times New Roman" w:hAnsi="Times New Roman"/>
                <w:b w:val="0"/>
                <w:sz w:val="16"/>
              </w:rPr>
              <w:t>1UBQ</w:t>
            </w:r>
          </w:p>
        </w:tc>
        <w:tc>
          <w:tcPr>
            <w:tcW w:w="700" w:type="dxa"/>
            <w:vAlign w:val="center"/>
          </w:tcPr>
          <w:p w14:paraId="5F47855D" w14:textId="77777777" w:rsidR="000B62E7" w:rsidRDefault="00A65B0F">
            <w:pPr>
              <w:spacing w:after="0" w:line="240" w:lineRule="auto" w:before="0"/>
              <w:jc w:val="left"/>
            </w:pPr>
            <w:r>
              <w:rPr>
                <w:rFonts w:ascii="Times New Roman" w:hAnsi="Times New Roman"/>
                <w:b w:val="0"/>
                <w:sz w:val="16"/>
              </w:rPr>
              <w:t>11242</w:t>
            </w:r>
          </w:p>
        </w:tc>
        <w:tc>
          <w:tcPr>
            <w:tcW w:w="600" w:type="dxa"/>
            <w:vAlign w:val="center"/>
          </w:tcPr>
          <w:p w14:paraId="55D42F27"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821DA5D" w14:textId="77777777" w:rsidR="000B62E7" w:rsidRDefault="00A65B0F">
            <w:pPr>
              <w:spacing w:after="0" w:line="240" w:lineRule="auto" w:before="0"/>
              <w:jc w:val="left"/>
            </w:pPr>
            <w:r>
              <w:rPr>
                <w:rFonts w:ascii="Times New Roman" w:hAnsi="Times New Roman"/>
                <w:b w:val="0"/>
                <w:sz w:val="16"/>
              </w:rPr>
              <w:t>2.719e-13</w:t>
            </w:r>
          </w:p>
        </w:tc>
        <w:tc>
          <w:tcPr>
            <w:tcW w:w="1050" w:type="dxa"/>
            <w:vAlign w:val="center"/>
          </w:tcPr>
          <w:p w14:paraId="55C2EA8A" w14:textId="77777777" w:rsidR="000B62E7" w:rsidRDefault="00A65B0F">
            <w:pPr>
              <w:spacing w:after="0" w:line="240" w:lineRule="auto" w:before="0"/>
              <w:jc w:val="left"/>
            </w:pPr>
            <w:r>
              <w:rPr>
                <w:rFonts w:ascii="Times New Roman" w:hAnsi="Times New Roman"/>
                <w:b w:val="0"/>
                <w:sz w:val="16"/>
              </w:rPr>
              <w:t>1.440e-05</w:t>
            </w:r>
          </w:p>
        </w:tc>
        <w:tc>
          <w:tcPr>
            <w:tcW w:w="1200" w:type="dxa"/>
            <w:vAlign w:val="center"/>
          </w:tcPr>
          <w:p w14:paraId="31AC9849" w14:textId="77777777" w:rsidR="000B62E7" w:rsidRDefault="00A65B0F">
            <w:pPr>
              <w:spacing w:after="0" w:line="240" w:lineRule="auto" w:before="0"/>
              <w:jc w:val="left"/>
            </w:pPr>
            <w:r>
              <w:rPr>
                <w:rFonts w:ascii="Times New Roman" w:hAnsi="Times New Roman"/>
                <w:b w:val="0"/>
                <w:sz w:val="16"/>
              </w:rPr>
              <w:t>1.440e-05</w:t>
            </w:r>
          </w:p>
        </w:tc>
        <w:tc>
          <w:tcPr>
            <w:tcW w:w="700" w:type="dxa"/>
            <w:vAlign w:val="center"/>
          </w:tcPr>
          <w:p w14:paraId="455AEE6D" w14:textId="77777777" w:rsidR="000B62E7" w:rsidRDefault="00A65B0F">
            <w:pPr>
              <w:spacing w:after="0" w:line="240" w:lineRule="auto" w:before="0"/>
              <w:jc w:val="left"/>
            </w:pPr>
            <w:r>
              <w:rPr>
                <w:rFonts w:ascii="Times New Roman" w:hAnsi="Times New Roman"/>
                <w:b w:val="0"/>
                <w:sz w:val="16"/>
              </w:rPr>
              <w:t>154.9 s</w:t>
            </w:r>
          </w:p>
        </w:tc>
        <w:tc>
          <w:tcPr>
            <w:tcW w:w="650" w:type="dxa"/>
            <w:vAlign w:val="center"/>
          </w:tcPr>
          <w:p w14:paraId="4C79B77E" w14:textId="77777777" w:rsidR="000B62E7" w:rsidRDefault="00A65B0F">
            <w:pPr>
              <w:spacing w:after="0" w:line="240" w:lineRule="auto" w:before="0"/>
              <w:jc w:val="left"/>
            </w:pPr>
            <w:r>
              <w:rPr>
                <w:rFonts w:ascii="Times New Roman" w:hAnsi="Times New Roman"/>
                <w:b w:val="0"/>
                <w:sz w:val="16"/>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before="0"/>
              <w:jc w:val="left"/>
            </w:pPr>
            <w:r>
              <w:rPr>
                <w:rFonts w:ascii="Times New Roman" w:hAnsi="Times New Roman"/>
                <w:b w:val="0"/>
                <w:sz w:val="16"/>
              </w:rPr>
              <w:t>Chymotrypsin inhibitor 2</w:t>
            </w:r>
          </w:p>
        </w:tc>
        <w:tc>
          <w:tcPr>
            <w:tcW w:w="1100" w:type="dxa"/>
            <w:vAlign w:val="center"/>
          </w:tcPr>
          <w:p w14:paraId="13F477CF" w14:textId="77777777" w:rsidR="000B62E7" w:rsidRDefault="00A65B0F">
            <w:pPr>
              <w:spacing w:after="0" w:line="240" w:lineRule="auto" w:before="0"/>
              <w:jc w:val="left"/>
            </w:pPr>
            <w:r>
              <w:rPr>
                <w:rFonts w:ascii="Times New Roman" w:hAnsi="Times New Roman"/>
                <w:b w:val="0"/>
                <w:sz w:val="16"/>
              </w:rPr>
              <w:t>2CI2</w:t>
            </w:r>
          </w:p>
        </w:tc>
        <w:tc>
          <w:tcPr>
            <w:tcW w:w="700" w:type="dxa"/>
            <w:vAlign w:val="center"/>
          </w:tcPr>
          <w:p w14:paraId="24A4EECE" w14:textId="77777777" w:rsidR="000B62E7" w:rsidRDefault="00A65B0F">
            <w:pPr>
              <w:spacing w:after="0" w:line="240" w:lineRule="auto" w:before="0"/>
              <w:jc w:val="left"/>
            </w:pPr>
            <w:r>
              <w:rPr>
                <w:rFonts w:ascii="Times New Roman" w:hAnsi="Times New Roman"/>
                <w:b w:val="0"/>
                <w:sz w:val="16"/>
              </w:rPr>
              <w:t>9889</w:t>
            </w:r>
          </w:p>
        </w:tc>
        <w:tc>
          <w:tcPr>
            <w:tcW w:w="600" w:type="dxa"/>
            <w:vAlign w:val="center"/>
          </w:tcPr>
          <w:p w14:paraId="666A2DE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270B5D1" w14:textId="77777777" w:rsidR="000B62E7" w:rsidRDefault="00A65B0F">
            <w:pPr>
              <w:spacing w:after="0" w:line="240" w:lineRule="auto" w:before="0"/>
              <w:jc w:val="left"/>
            </w:pPr>
            <w:r>
              <w:rPr>
                <w:rFonts w:ascii="Times New Roman" w:hAnsi="Times New Roman"/>
                <w:b w:val="0"/>
                <w:sz w:val="16"/>
              </w:rPr>
              <w:t>5.964e-14</w:t>
            </w:r>
          </w:p>
        </w:tc>
        <w:tc>
          <w:tcPr>
            <w:tcW w:w="1050" w:type="dxa"/>
            <w:vAlign w:val="center"/>
          </w:tcPr>
          <w:p w14:paraId="08FBC8CE" w14:textId="77777777" w:rsidR="000B62E7" w:rsidRDefault="00A65B0F">
            <w:pPr>
              <w:spacing w:after="0" w:line="240" w:lineRule="auto" w:before="0"/>
              <w:jc w:val="left"/>
            </w:pPr>
            <w:r>
              <w:rPr>
                <w:rFonts w:ascii="Times New Roman" w:hAnsi="Times New Roman"/>
                <w:b w:val="0"/>
                <w:sz w:val="16"/>
              </w:rPr>
              <w:t>8.022e-06</w:t>
            </w:r>
          </w:p>
        </w:tc>
        <w:tc>
          <w:tcPr>
            <w:tcW w:w="1200" w:type="dxa"/>
            <w:vAlign w:val="center"/>
          </w:tcPr>
          <w:p w14:paraId="3E532AF4" w14:textId="77777777" w:rsidR="000B62E7" w:rsidRDefault="00A65B0F">
            <w:pPr>
              <w:spacing w:after="0" w:line="240" w:lineRule="auto" w:before="0"/>
              <w:jc w:val="left"/>
            </w:pPr>
            <w:r>
              <w:rPr>
                <w:rFonts w:ascii="Times New Roman" w:hAnsi="Times New Roman"/>
                <w:b w:val="0"/>
                <w:sz w:val="16"/>
              </w:rPr>
              <w:t>8.022e-06</w:t>
            </w:r>
          </w:p>
        </w:tc>
        <w:tc>
          <w:tcPr>
            <w:tcW w:w="700" w:type="dxa"/>
            <w:vAlign w:val="center"/>
          </w:tcPr>
          <w:p w14:paraId="17A39B40" w14:textId="77777777" w:rsidR="000B62E7" w:rsidRDefault="00A65B0F">
            <w:pPr>
              <w:spacing w:after="0" w:line="240" w:lineRule="auto" w:before="0"/>
              <w:jc w:val="left"/>
            </w:pPr>
            <w:r>
              <w:rPr>
                <w:rFonts w:ascii="Times New Roman" w:hAnsi="Times New Roman"/>
                <w:b w:val="0"/>
                <w:sz w:val="16"/>
              </w:rPr>
              <w:t>126.3 s</w:t>
            </w:r>
          </w:p>
        </w:tc>
        <w:tc>
          <w:tcPr>
            <w:tcW w:w="650" w:type="dxa"/>
            <w:vAlign w:val="center"/>
          </w:tcPr>
          <w:p w14:paraId="7A879A19" w14:textId="77777777" w:rsidR="000B62E7" w:rsidRDefault="00A65B0F">
            <w:pPr>
              <w:spacing w:after="0" w:line="240" w:lineRule="auto" w:before="0"/>
              <w:jc w:val="left"/>
            </w:pPr>
            <w:r>
              <w:rPr>
                <w:rFonts w:ascii="Times New Roman" w:hAnsi="Times New Roman"/>
                <w:b w:val="0"/>
                <w:sz w:val="16"/>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before="0"/>
              <w:jc w:val="left"/>
            </w:pPr>
            <w:r>
              <w:rPr>
                <w:rFonts w:ascii="Times New Roman" w:hAnsi="Times New Roman"/>
                <w:b w:val="0"/>
                <w:sz w:val="16"/>
              </w:rPr>
              <w:t>Villin headpiece subdomain</w:t>
            </w:r>
          </w:p>
        </w:tc>
        <w:tc>
          <w:tcPr>
            <w:tcW w:w="1100" w:type="dxa"/>
            <w:vAlign w:val="center"/>
          </w:tcPr>
          <w:p w14:paraId="27BAFD1F" w14:textId="77777777" w:rsidR="000B62E7" w:rsidRDefault="00A65B0F">
            <w:pPr>
              <w:spacing w:after="0" w:line="240" w:lineRule="auto" w:before="0"/>
              <w:jc w:val="left"/>
            </w:pPr>
            <w:r>
              <w:rPr>
                <w:rFonts w:ascii="Times New Roman" w:hAnsi="Times New Roman"/>
                <w:b w:val="0"/>
                <w:sz w:val="16"/>
              </w:rPr>
              <w:t>1VII</w:t>
            </w:r>
          </w:p>
        </w:tc>
        <w:tc>
          <w:tcPr>
            <w:tcW w:w="700" w:type="dxa"/>
            <w:vAlign w:val="center"/>
          </w:tcPr>
          <w:p w14:paraId="4B8D4449" w14:textId="77777777" w:rsidR="000B62E7" w:rsidRDefault="00A65B0F">
            <w:pPr>
              <w:spacing w:after="0" w:line="240" w:lineRule="auto" w:before="0"/>
              <w:jc w:val="left"/>
            </w:pPr>
            <w:r>
              <w:rPr>
                <w:rFonts w:ascii="Times New Roman" w:hAnsi="Times New Roman"/>
                <w:b w:val="0"/>
                <w:sz w:val="16"/>
              </w:rPr>
              <w:t>5032</w:t>
            </w:r>
          </w:p>
        </w:tc>
        <w:tc>
          <w:tcPr>
            <w:tcW w:w="600" w:type="dxa"/>
            <w:vAlign w:val="center"/>
          </w:tcPr>
          <w:p w14:paraId="05817CF0"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3A2C38D" w14:textId="77777777" w:rsidR="000B62E7" w:rsidRDefault="00A65B0F">
            <w:pPr>
              <w:spacing w:after="0" w:line="240" w:lineRule="auto" w:before="0"/>
              <w:jc w:val="left"/>
            </w:pPr>
            <w:r>
              <w:rPr>
                <w:rFonts w:ascii="Times New Roman" w:hAnsi="Times New Roman"/>
                <w:b w:val="0"/>
                <w:sz w:val="16"/>
              </w:rPr>
              <w:t>7.353e-13</w:t>
            </w:r>
          </w:p>
        </w:tc>
        <w:tc>
          <w:tcPr>
            <w:tcW w:w="1050" w:type="dxa"/>
            <w:vAlign w:val="center"/>
          </w:tcPr>
          <w:p w14:paraId="2634D330" w14:textId="77777777" w:rsidR="000B62E7" w:rsidRDefault="00A65B0F">
            <w:pPr>
              <w:spacing w:after="0" w:line="240" w:lineRule="auto" w:before="0"/>
              <w:jc w:val="left"/>
            </w:pPr>
            <w:r>
              <w:rPr>
                <w:rFonts w:ascii="Times New Roman" w:hAnsi="Times New Roman"/>
                <w:b w:val="0"/>
                <w:sz w:val="16"/>
              </w:rPr>
              <w:t>5.357e-06</w:t>
            </w:r>
          </w:p>
        </w:tc>
        <w:tc>
          <w:tcPr>
            <w:tcW w:w="1200" w:type="dxa"/>
            <w:vAlign w:val="center"/>
          </w:tcPr>
          <w:p w14:paraId="53969F8B" w14:textId="77777777" w:rsidR="000B62E7" w:rsidRDefault="00A65B0F">
            <w:pPr>
              <w:spacing w:after="0" w:line="240" w:lineRule="auto" w:before="0"/>
              <w:jc w:val="left"/>
            </w:pPr>
            <w:r>
              <w:rPr>
                <w:rFonts w:ascii="Times New Roman" w:hAnsi="Times New Roman"/>
                <w:b w:val="0"/>
                <w:sz w:val="16"/>
              </w:rPr>
              <w:t>5.357e-06</w:t>
            </w:r>
          </w:p>
        </w:tc>
        <w:tc>
          <w:tcPr>
            <w:tcW w:w="700" w:type="dxa"/>
            <w:vAlign w:val="center"/>
          </w:tcPr>
          <w:p w14:paraId="54737FCC" w14:textId="77777777" w:rsidR="000B62E7" w:rsidRDefault="00A65B0F">
            <w:pPr>
              <w:spacing w:after="0" w:line="240" w:lineRule="auto" w:before="0"/>
              <w:jc w:val="left"/>
            </w:pPr>
            <w:r>
              <w:rPr>
                <w:rFonts w:ascii="Times New Roman" w:hAnsi="Times New Roman"/>
                <w:b w:val="0"/>
                <w:sz w:val="16"/>
              </w:rPr>
              <w:t>37.4 s</w:t>
            </w:r>
          </w:p>
        </w:tc>
        <w:tc>
          <w:tcPr>
            <w:tcW w:w="650" w:type="dxa"/>
            <w:vAlign w:val="center"/>
          </w:tcPr>
          <w:p w14:paraId="6DFA88F4" w14:textId="77777777" w:rsidR="000B62E7" w:rsidRDefault="00A65B0F">
            <w:pPr>
              <w:spacing w:after="0" w:line="240" w:lineRule="auto" w:before="0"/>
              <w:jc w:val="left"/>
            </w:pPr>
            <w:r>
              <w:rPr>
                <w:rFonts w:ascii="Times New Roman" w:hAnsi="Times New Roman"/>
                <w:b w:val="0"/>
                <w:sz w:val="16"/>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primary full-protein panel.</w:t>
      </w:r>
    </w:p>
    <w:tbl>
      <w:tblPr>
        <w:tblStyle w:val="TableGrid"/>
        <w:tblW w:w="10050" w:type="dxa"/>
        <w:jc w:val="center"/>
        <w:tblLayout w:type="autofit"/>
        <w:tblLook w:val="04A0" w:firstRow="1" w:lastRow="0" w:firstColumn="1" w:lastColumn="0" w:noHBand="0" w:noVBand="1"/>
      </w:tblPr>
      <w:tblGrid>
        <w:gridCol w:w="2400"/>
        <w:gridCol w:w="1100"/>
        <w:gridCol w:w="900"/>
        <w:gridCol w:w="1100"/>
        <w:gridCol w:w="1050"/>
        <w:gridCol w:w="1450"/>
        <w:gridCol w:w="115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7C75105B" w14:textId="77777777" w:rsidR="000B62E7" w:rsidRDefault="00A65B0F">
            <w:pPr>
              <w:spacing w:after="0" w:line="240" w:lineRule="auto" w:before="0"/>
              <w:jc w:val="left"/>
            </w:pPr>
            <w:r>
              <w:rPr>
                <w:rFonts w:ascii="Times New Roman" w:hAnsi="Times New Roman"/>
                <w:b/>
                <w:sz w:val="16"/>
              </w:rPr>
              <w:t>PDB/source</w:t>
            </w:r>
          </w:p>
        </w:tc>
        <w:tc>
          <w:tcPr>
            <w:tcW w:w="900" w:type="dxa"/>
            <w:shd w:val="clear" w:color="auto" w:fill="E7E6E6"/>
            <w:vAlign w:val="center"/>
          </w:tcPr>
          <w:p w14:paraId="32016061" w14:textId="77777777" w:rsidR="000B62E7" w:rsidRDefault="00A65B0F">
            <w:pPr>
              <w:spacing w:after="0" w:line="240" w:lineRule="auto" w:before="0"/>
              <w:jc w:val="left"/>
            </w:pPr>
            <w:r>
              <w:rPr>
                <w:rFonts w:ascii="Times New Roman" w:hAnsi="Times New Roman"/>
                <w:b/>
                <w:sz w:val="16"/>
              </w:rPr>
              <w:t>Panels</w:t>
            </w:r>
          </w:p>
        </w:tc>
        <w:tc>
          <w:tcPr>
            <w:tcW w:w="1100" w:type="dxa"/>
            <w:shd w:val="clear" w:color="auto" w:fill="E7E6E6"/>
            <w:vAlign w:val="center"/>
          </w:tcPr>
          <w:p w14:paraId="79DB43AC" w14:textId="77777777" w:rsidR="000B62E7" w:rsidRDefault="00A65B0F">
            <w:pPr>
              <w:spacing w:after="0" w:line="240" w:lineRule="auto" w:before="0"/>
              <w:jc w:val="left"/>
            </w:pPr>
            <w:r>
              <w:rPr>
                <w:rFonts w:ascii="Times New Roman" w:hAnsi="Times New Roman"/>
                <w:b/>
                <w:sz w:val="16"/>
              </w:rPr>
              <w:t>Energy</w:t>
            </w:r>
          </w:p>
        </w:tc>
        <w:tc>
          <w:tcPr>
            <w:tcW w:w="1050" w:type="dxa"/>
            <w:shd w:val="clear" w:color="auto" w:fill="E7E6E6"/>
            <w:vAlign w:val="center"/>
          </w:tcPr>
          <w:p>
            <w:pPr>
              <w:jc w:val="left"/>
            </w:pPr>
            <w:r>
              <w:rPr>
                <w:b/>
                <w:sz w:val="16"/>
              </w:rPr>
              <w:t>Audit max</w:t>
            </w:r>
          </w:p>
        </w:tc>
        <w:tc>
          <w:tcPr>
            <w:tcW w:w="1450" w:type="dxa"/>
            <w:shd w:val="clear" w:color="auto" w:fill="E7E6E6"/>
            <w:vAlign w:val="center"/>
          </w:tcPr>
          <w:p>
            <w:pPr>
              <w:jc w:val="left"/>
            </w:pPr>
            <w:r>
              <w:rPr>
                <w:b/>
                <w:sz w:val="16"/>
              </w:rPr>
              <w:t>Sampled residual max</w:t>
            </w:r>
          </w:p>
        </w:tc>
        <w:tc>
          <w:tcPr>
            <w:tcW w:w="1150" w:type="dxa"/>
            <w:shd w:val="clear" w:color="auto" w:fill="E7E6E6"/>
            <w:vAlign w:val="center"/>
          </w:tcPr>
          <w:p w14:paraId="57C16C6E" w14:textId="77777777" w:rsidR="000B62E7" w:rsidRDefault="00A65B0F">
            <w:pPr>
              <w:spacing w:after="0" w:line="240" w:lineRule="auto" w:before="0"/>
              <w:jc w:val="left"/>
            </w:pPr>
            <w:r>
              <w:rPr>
                <w:rFonts w:ascii="Times New Roman" w:hAnsi="Times New Roman"/>
                <w:b/>
                <w:sz w:val="16"/>
              </w:rPr>
              <w:t>Energy spread</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08A9E9D" w14:textId="77777777" w:rsidR="000B62E7" w:rsidRDefault="00A65B0F">
            <w:pPr>
              <w:spacing w:after="0" w:line="240" w:lineRule="auto" w:before="0"/>
              <w:jc w:val="left"/>
            </w:pPr>
            <w:r>
              <w:rPr>
                <w:rFonts w:ascii="Times New Roman" w:hAnsi="Times New Roman"/>
                <w:b w:val="0"/>
                <w:sz w:val="16"/>
              </w:rPr>
              <w:t>PyDelPhi benchmark</w:t>
            </w:r>
          </w:p>
        </w:tc>
        <w:tc>
          <w:tcPr>
            <w:tcW w:w="900" w:type="dxa"/>
            <w:vAlign w:val="center"/>
          </w:tcPr>
          <w:p w14:paraId="50F3C5AD" w14:textId="77777777" w:rsidR="000B62E7" w:rsidRDefault="00A65B0F">
            <w:pPr>
              <w:spacing w:after="0" w:line="240" w:lineRule="auto" w:before="0"/>
              <w:jc w:val="left"/>
            </w:pPr>
            <w:r>
              <w:rPr>
                <w:rFonts w:ascii="Times New Roman" w:hAnsi="Times New Roman"/>
                <w:b w:val="0"/>
                <w:sz w:val="16"/>
              </w:rPr>
              <w:t>14942</w:t>
            </w:r>
          </w:p>
        </w:tc>
        <w:tc>
          <w:tcPr>
            <w:tcW w:w="1100" w:type="dxa"/>
            <w:vAlign w:val="center"/>
          </w:tcPr>
          <w:p w14:paraId="32F3531E" w14:textId="77777777" w:rsidR="000B62E7" w:rsidRDefault="00A65B0F">
            <w:pPr>
              <w:spacing w:after="0" w:line="240" w:lineRule="auto" w:before="0"/>
              <w:jc w:val="left"/>
            </w:pPr>
            <w:r>
              <w:rPr>
                <w:rFonts w:ascii="Times New Roman" w:hAnsi="Times New Roman"/>
                <w:b w:val="0"/>
                <w:sz w:val="16"/>
              </w:rPr>
              <w:t>-21030.83</w:t>
            </w:r>
          </w:p>
        </w:tc>
        <w:tc>
          <w:tcPr>
            <w:tcW w:w="1050" w:type="dxa"/>
            <w:vAlign w:val="center"/>
          </w:tcPr>
          <w:p w14:paraId="3BC87480" w14:textId="77777777" w:rsidR="000B62E7" w:rsidRDefault="00A65B0F">
            <w:pPr>
              <w:spacing w:after="0" w:line="240" w:lineRule="auto" w:before="0"/>
              <w:jc w:val="left"/>
            </w:pPr>
            <w:r>
              <w:rPr>
                <w:rFonts w:ascii="Times New Roman" w:hAnsi="Times New Roman"/>
                <w:b w:val="0"/>
                <w:sz w:val="16"/>
              </w:rPr>
              <w:t>6.383e-05</w:t>
            </w:r>
          </w:p>
        </w:tc>
        <w:tc>
          <w:tcPr>
            <w:tcW w:w="1450" w:type="dxa"/>
            <w:vAlign w:val="center"/>
          </w:tcPr>
          <w:p w14:paraId="142A1ABC" w14:textId="77777777" w:rsidR="000B62E7" w:rsidRDefault="00A65B0F">
            <w:pPr>
              <w:spacing w:after="0" w:line="240" w:lineRule="auto" w:before="0"/>
              <w:jc w:val="left"/>
            </w:pPr>
            <w:r>
              <w:rPr>
                <w:rFonts w:ascii="Times New Roman" w:hAnsi="Times New Roman"/>
                <w:b w:val="0"/>
                <w:sz w:val="16"/>
              </w:rPr>
              <w:t>6.383e-05</w:t>
            </w:r>
          </w:p>
        </w:tc>
        <w:tc>
          <w:tcPr>
            <w:tcW w:w="1150" w:type="dxa"/>
            <w:vAlign w:val="center"/>
          </w:tcPr>
          <w:p w14:paraId="2E5055AC" w14:textId="77777777" w:rsidR="000B62E7" w:rsidRDefault="00A65B0F">
            <w:pPr>
              <w:spacing w:after="0" w:line="240" w:lineRule="auto" w:before="0"/>
              <w:jc w:val="left"/>
            </w:pPr>
            <w:r>
              <w:rPr>
                <w:rFonts w:ascii="Times New Roman" w:hAnsi="Times New Roman"/>
                <w:b w:val="0"/>
                <w:sz w:val="16"/>
              </w:rPr>
              <w:t>0.000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45397A89" w14:textId="77777777" w:rsidR="000B62E7" w:rsidRDefault="00A65B0F">
            <w:pPr>
              <w:spacing w:after="0" w:line="240" w:lineRule="auto" w:before="0"/>
              <w:jc w:val="left"/>
            </w:pPr>
            <w:r>
              <w:rPr>
                <w:rFonts w:ascii="Times New Roman" w:hAnsi="Times New Roman"/>
                <w:b w:val="0"/>
                <w:sz w:val="16"/>
              </w:rPr>
              <w:t>1A63</w:t>
            </w:r>
          </w:p>
        </w:tc>
        <w:tc>
          <w:tcPr>
            <w:tcW w:w="900" w:type="dxa"/>
            <w:vAlign w:val="center"/>
          </w:tcPr>
          <w:p w14:paraId="491EA872" w14:textId="77777777" w:rsidR="000B62E7" w:rsidRDefault="00A65B0F">
            <w:pPr>
              <w:spacing w:after="0" w:line="240" w:lineRule="auto" w:before="0"/>
              <w:jc w:val="left"/>
            </w:pPr>
            <w:r>
              <w:rPr>
                <w:rFonts w:ascii="Times New Roman" w:hAnsi="Times New Roman"/>
                <w:b w:val="0"/>
                <w:sz w:val="16"/>
              </w:rPr>
              <w:t>17250</w:t>
            </w:r>
          </w:p>
        </w:tc>
        <w:tc>
          <w:tcPr>
            <w:tcW w:w="1100" w:type="dxa"/>
            <w:vAlign w:val="center"/>
          </w:tcPr>
          <w:p w14:paraId="3830EC9D" w14:textId="77777777" w:rsidR="000B62E7" w:rsidRDefault="00A65B0F">
            <w:pPr>
              <w:spacing w:after="0" w:line="240" w:lineRule="auto" w:before="0"/>
              <w:jc w:val="left"/>
            </w:pPr>
            <w:r>
              <w:rPr>
                <w:rFonts w:ascii="Times New Roman" w:hAnsi="Times New Roman"/>
                <w:b w:val="0"/>
                <w:sz w:val="16"/>
              </w:rPr>
              <w:t>-247716.08</w:t>
            </w:r>
          </w:p>
        </w:tc>
        <w:tc>
          <w:tcPr>
            <w:tcW w:w="1050" w:type="dxa"/>
            <w:vAlign w:val="center"/>
          </w:tcPr>
          <w:p w14:paraId="47F21CA6" w14:textId="77777777" w:rsidR="000B62E7" w:rsidRDefault="00A65B0F">
            <w:pPr>
              <w:spacing w:after="0" w:line="240" w:lineRule="auto" w:before="0"/>
              <w:jc w:val="left"/>
            </w:pPr>
            <w:r>
              <w:rPr>
                <w:rFonts w:ascii="Times New Roman" w:hAnsi="Times New Roman"/>
                <w:b w:val="0"/>
                <w:sz w:val="16"/>
              </w:rPr>
              <w:t>2.357e-03</w:t>
            </w:r>
          </w:p>
        </w:tc>
        <w:tc>
          <w:tcPr>
            <w:tcW w:w="1450" w:type="dxa"/>
            <w:vAlign w:val="center"/>
          </w:tcPr>
          <w:p w14:paraId="2E41EF70" w14:textId="77777777" w:rsidR="000B62E7" w:rsidRDefault="00A65B0F">
            <w:pPr>
              <w:spacing w:after="0" w:line="240" w:lineRule="auto" w:before="0"/>
              <w:jc w:val="left"/>
            </w:pPr>
            <w:r>
              <w:rPr>
                <w:rFonts w:ascii="Times New Roman" w:hAnsi="Times New Roman"/>
                <w:b w:val="0"/>
                <w:sz w:val="16"/>
              </w:rPr>
              <w:t>2.357e-03</w:t>
            </w:r>
          </w:p>
        </w:tc>
        <w:tc>
          <w:tcPr>
            <w:tcW w:w="1150" w:type="dxa"/>
            <w:vAlign w:val="center"/>
          </w:tcPr>
          <w:p w14:paraId="328B5B14" w14:textId="77777777" w:rsidR="000B62E7" w:rsidRDefault="00A65B0F">
            <w:pPr>
              <w:spacing w:after="0" w:line="240" w:lineRule="auto" w:before="0"/>
              <w:jc w:val="left"/>
            </w:pPr>
            <w:r>
              <w:rPr>
                <w:rFonts w:ascii="Times New Roman" w:hAnsi="Times New Roman"/>
                <w:b w:val="0"/>
                <w:sz w:val="16"/>
              </w:rPr>
              <w:t>0.000</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790F99A7" w14:textId="77777777" w:rsidR="000B62E7" w:rsidRDefault="00A65B0F">
            <w:pPr>
              <w:spacing w:after="0" w:line="240" w:lineRule="auto" w:before="0"/>
              <w:jc w:val="left"/>
            </w:pPr>
            <w:r>
              <w:rPr>
                <w:rFonts w:ascii="Times New Roman" w:hAnsi="Times New Roman"/>
                <w:b w:val="0"/>
                <w:sz w:val="16"/>
              </w:rPr>
              <w:t>1SH1</w:t>
            </w:r>
          </w:p>
        </w:tc>
        <w:tc>
          <w:tcPr>
            <w:tcW w:w="900" w:type="dxa"/>
            <w:vAlign w:val="center"/>
          </w:tcPr>
          <w:p w14:paraId="6686A529" w14:textId="77777777" w:rsidR="000B62E7" w:rsidRDefault="00A65B0F">
            <w:pPr>
              <w:spacing w:after="0" w:line="240" w:lineRule="auto" w:before="0"/>
              <w:jc w:val="left"/>
            </w:pPr>
            <w:r>
              <w:rPr>
                <w:rFonts w:ascii="Times New Roman" w:hAnsi="Times New Roman"/>
                <w:b w:val="0"/>
                <w:sz w:val="16"/>
              </w:rPr>
              <w:t>6673</w:t>
            </w:r>
          </w:p>
        </w:tc>
        <w:tc>
          <w:tcPr>
            <w:tcW w:w="1100" w:type="dxa"/>
            <w:vAlign w:val="center"/>
          </w:tcPr>
          <w:p w14:paraId="567AFBB9" w14:textId="77777777" w:rsidR="000B62E7" w:rsidRDefault="00A65B0F">
            <w:pPr>
              <w:spacing w:after="0" w:line="240" w:lineRule="auto" w:before="0"/>
              <w:jc w:val="left"/>
            </w:pPr>
            <w:r>
              <w:rPr>
                <w:rFonts w:ascii="Times New Roman" w:hAnsi="Times New Roman"/>
                <w:b w:val="0"/>
                <w:sz w:val="16"/>
              </w:rPr>
              <w:t>-4362.07</w:t>
            </w:r>
          </w:p>
        </w:tc>
        <w:tc>
          <w:tcPr>
            <w:tcW w:w="1050" w:type="dxa"/>
            <w:vAlign w:val="center"/>
          </w:tcPr>
          <w:p w14:paraId="4717BC47" w14:textId="77777777" w:rsidR="000B62E7" w:rsidRDefault="00A65B0F">
            <w:pPr>
              <w:spacing w:after="0" w:line="240" w:lineRule="auto" w:before="0"/>
              <w:jc w:val="left"/>
            </w:pPr>
            <w:r>
              <w:rPr>
                <w:rFonts w:ascii="Times New Roman" w:hAnsi="Times New Roman"/>
                <w:b w:val="0"/>
                <w:sz w:val="16"/>
              </w:rPr>
              <w:t>4.894e-06</w:t>
            </w:r>
          </w:p>
        </w:tc>
        <w:tc>
          <w:tcPr>
            <w:tcW w:w="1450" w:type="dxa"/>
            <w:vAlign w:val="center"/>
          </w:tcPr>
          <w:p w14:paraId="749EC1FD" w14:textId="77777777" w:rsidR="000B62E7" w:rsidRDefault="00A65B0F">
            <w:pPr>
              <w:spacing w:after="0" w:line="240" w:lineRule="auto" w:before="0"/>
              <w:jc w:val="left"/>
            </w:pPr>
            <w:r>
              <w:rPr>
                <w:rFonts w:ascii="Times New Roman" w:hAnsi="Times New Roman"/>
                <w:b w:val="0"/>
                <w:sz w:val="16"/>
              </w:rPr>
              <w:t>4.894e-06</w:t>
            </w:r>
          </w:p>
        </w:tc>
        <w:tc>
          <w:tcPr>
            <w:tcW w:w="1150" w:type="dxa"/>
            <w:vAlign w:val="center"/>
          </w:tcPr>
          <w:p w14:paraId="0984EAB8" w14:textId="77777777" w:rsidR="000B62E7" w:rsidRDefault="00A65B0F">
            <w:pPr>
              <w:spacing w:after="0" w:line="240" w:lineRule="auto" w:before="0"/>
              <w:jc w:val="left"/>
            </w:pPr>
            <w:r>
              <w:rPr>
                <w:rFonts w:ascii="Times New Roman" w:hAnsi="Times New Roman"/>
                <w:b w:val="0"/>
                <w:sz w:val="16"/>
              </w:rPr>
              <w:t>0.000</w:t>
            </w:r>
          </w:p>
        </w:tc>
      </w:tr>
    </w:tbl>
    <w:p w14:paraId="4A414A51" w14:textId="77777777" w:rsidR="000B62E7" w:rsidRDefault="00A65B0F">
      <w:r>
        <w:rPr>
          <w:rFonts w:ascii="Times New Roman" w:hAnsi="Times New Roman"/>
          <w:sz w:val="20"/>
        </w:rPr>
        <w:br w:type="page"/>
      </w:r>
    </w:p>
    <w:p>
      <w:commentRangeStart w:id="5"/>
      <w:r>
        <w:t>Table 6. Compact ablation and sensitivity summary for the reported p4/cap-64 protocol.</w:t>
      </w:r>
      <w:commentRangeEnd w:id="5"/>
      <w:r>
        <w:commentReference w:id="5"/>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rPr>
          <w:tblHeader w:val="true"/>
          <w:cantSplit/>
        </w:trPr>
        <w:tc>
          <w:tcPr>
            <w:tcW w:type="dxa" w:w="2088"/>
            <w:vAlign w:val="center"/>
            <w:shd w:fill="E5E7EB"/>
          </w:tcPr>
          <w:p>
            <w:pPr>
              <w:jc w:val="left"/>
            </w:pPr>
            <w:r>
              <w:rPr>
                <w:b/>
                <w:sz w:val="16"/>
              </w:rPr>
              <w:t>Axis</w:t>
            </w:r>
          </w:p>
        </w:tc>
        <w:tc>
          <w:tcPr>
            <w:tcW w:type="dxa" w:w="2448"/>
            <w:vAlign w:val="center"/>
            <w:shd w:fill="E5E7EB"/>
          </w:tcPr>
          <w:p>
            <w:pPr>
              <w:jc w:val="left"/>
            </w:pPr>
            <w:r>
              <w:rPr>
                <w:b/>
                <w:sz w:val="16"/>
              </w:rPr>
              <w:t>Evidence</w:t>
            </w:r>
          </w:p>
        </w:tc>
        <w:tc>
          <w:tcPr>
            <w:tcW w:type="dxa" w:w="3456"/>
            <w:vAlign w:val="center"/>
            <w:shd w:fill="E5E7EB"/>
          </w:tcPr>
          <w:p>
            <w:pPr>
              <w:jc w:val="left"/>
            </w:pPr>
            <w:r>
              <w:rPr>
                <w:b/>
                <w:sz w:val="16"/>
              </w:rPr>
              <w:t>Main observation</w:t>
            </w:r>
          </w:p>
        </w:tc>
        <w:tc>
          <w:tcPr>
            <w:tcW w:type="dxa" w:w="2232"/>
            <w:vAlign w:val="center"/>
            <w:shd w:fill="E5E7EB"/>
          </w:tcPr>
          <w:p>
            <w:pPr>
              <w:jc w:val="left"/>
            </w:pPr>
            <w:r>
              <w:rPr>
                <w:b/>
                <w:sz w:val="16"/>
              </w:rPr>
              <w:t>Boundary</w:t>
            </w:r>
          </w:p>
        </w:tc>
      </w:tr>
      <w:tr>
        <w:trPr>
          <w:cantSplit/>
        </w:trPr>
        <w:tc>
          <w:tcPr>
            <w:tcW w:type="dxa" w:w="2088"/>
            <w:vAlign w:val="center"/>
          </w:tcPr>
          <w:p>
            <w:pPr>
              <w:jc w:val="left"/>
            </w:pPr>
            <w:r>
              <w:rPr>
                <w:sz w:val="16"/>
              </w:rPr>
              <w:t>Direct/FMM/ILU ladder</w:t>
            </w:r>
          </w:p>
        </w:tc>
        <w:tc>
          <w:tcPr>
            <w:tcW w:type="dxa" w:w="2448"/>
            <w:vAlign w:val="center"/>
          </w:tcPr>
          <w:p>
            <w:pPr>
              <w:jc w:val="left"/>
            </w:pPr>
            <w:r>
              <w:rPr>
                <w:sz w:val="16"/>
              </w:rPr>
              <w:t>Six-protein ladder in Table 3</w:t>
            </w:r>
          </w:p>
        </w:tc>
        <w:tc>
          <w:tcPr>
            <w:tcW w:type="dxa" w:w="3456"/>
            <w:vAlign w:val="center"/>
          </w:tcPr>
          <w:p>
            <w:pPr>
              <w:jc w:val="left"/>
            </w:pPr>
            <w:r>
              <w:rPr>
                <w:sz w:val="16"/>
              </w:rPr>
              <w:t>Low-order FMM reduces matvec cost but does not remove Krylov stalls with weak preconditioners; near-field ILU(0) stabilizes the tested solves.</w:t>
            </w:r>
          </w:p>
        </w:tc>
        <w:tc>
          <w:tcPr>
            <w:tcW w:type="dxa" w:w="2232"/>
            <w:vAlign w:val="center"/>
          </w:tcPr>
          <w:p>
            <w:pPr>
              <w:jc w:val="left"/>
            </w:pPr>
            <w:r>
              <w:rPr>
                <w:sz w:val="16"/>
              </w:rPr>
              <w:t>Not an exhaustive preconditioner comparison.</w:t>
            </w:r>
          </w:p>
        </w:tc>
      </w:tr>
      <w:tr>
        <w:trPr>
          <w:cantSplit/>
        </w:trPr>
        <w:tc>
          <w:tcPr>
            <w:tcW w:type="dxa" w:w="2088"/>
            <w:vAlign w:val="center"/>
          </w:tcPr>
          <w:p>
            <w:pPr>
              <w:jc w:val="left"/>
            </w:pPr>
            <w:r>
              <w:rPr>
                <w:sz w:val="16"/>
              </w:rPr>
              <w:t>ILU(0) cost split</w:t>
            </w:r>
          </w:p>
        </w:tc>
        <w:tc>
          <w:tcPr>
            <w:tcW w:type="dxa" w:w="2448"/>
            <w:vAlign w:val="center"/>
          </w:tcPr>
          <w:p>
            <w:pPr>
              <w:jc w:val="left"/>
            </w:pPr>
            <w:r>
              <w:rPr>
                <w:sz w:val="16"/>
              </w:rPr>
              <w:t>1A63 profile: 5.15 s setup, 6.37 s total application, 151.9 s p4 matvec, 312.6 s wall</w:t>
            </w:r>
          </w:p>
        </w:tc>
        <w:tc>
          <w:tcPr>
            <w:tcW w:type="dxa" w:w="3456"/>
            <w:vAlign w:val="center"/>
          </w:tcPr>
          <w:p>
            <w:pPr>
              <w:jc w:val="left"/>
            </w:pPr>
            <w:r>
              <w:rPr>
                <w:sz w:val="16"/>
              </w:rPr>
              <w:t>The ILU(0) overhead is small relative to the measured solve cost in this CPU workflow.</w:t>
            </w:r>
          </w:p>
        </w:tc>
        <w:tc>
          <w:tcPr>
            <w:tcW w:type="dxa" w:w="2232"/>
            <w:vAlign w:val="center"/>
          </w:tcPr>
          <w:p>
            <w:pPr>
              <w:jc w:val="left"/>
            </w:pPr>
            <w:r>
              <w:rPr>
                <w:sz w:val="16"/>
              </w:rPr>
              <w:t>Larger-panel setup and factor-memory scaling remain open.</w:t>
            </w:r>
          </w:p>
        </w:tc>
      </w:tr>
      <w:tr>
        <w:trPr>
          <w:cantSplit/>
        </w:trPr>
        <w:tc>
          <w:tcPr>
            <w:tcW w:type="dxa" w:w="2088"/>
            <w:vAlign w:val="center"/>
          </w:tcPr>
          <w:p>
            <w:pPr>
              <w:jc w:val="left"/>
            </w:pPr>
            <w:r>
              <w:rPr>
                <w:sz w:val="16"/>
              </w:rPr>
              <w:t>Geometry guard</w:t>
            </w:r>
          </w:p>
        </w:tc>
        <w:tc>
          <w:tcPr>
            <w:tcW w:type="dxa" w:w="2448"/>
            <w:vAlign w:val="center"/>
          </w:tcPr>
          <w:p>
            <w:pPr>
              <w:jc w:val="left"/>
            </w:pPr>
            <w:r>
              <w:rPr>
                <w:sz w:val="16"/>
              </w:rPr>
              <w:t>Six-protein guard-on/guard-off runs</w:t>
            </w:r>
          </w:p>
        </w:tc>
        <w:tc>
          <w:tcPr>
            <w:tcW w:type="dxa" w:w="3456"/>
            <w:vAlign w:val="center"/>
          </w:tcPr>
          <w:p>
            <w:pPr>
              <w:jc w:val="left"/>
            </w:pPr>
            <w:r>
              <w:rPr>
                <w:sz w:val="16"/>
              </w:rPr>
              <w:t>Guard-off keeps GMRES convergence but fails 1A63 sampled audit (5.18e-2); guard-on reduces the 1A63 audit to 2.53e-3.</w:t>
            </w:r>
          </w:p>
        </w:tc>
        <w:tc>
          <w:tcPr>
            <w:tcW w:type="dxa" w:w="2232"/>
            <w:vAlign w:val="center"/>
          </w:tcPr>
          <w:p>
            <w:pPr>
              <w:jc w:val="left"/>
            </w:pPr>
            <w:r>
              <w:rPr>
                <w:sz w:val="16"/>
              </w:rPr>
              <w:t>Evidence supports the guard for this panel, not all geometries.</w:t>
            </w:r>
          </w:p>
        </w:tc>
      </w:tr>
      <w:tr>
        <w:trPr>
          <w:cantSplit/>
        </w:trPr>
        <w:tc>
          <w:tcPr>
            <w:tcW w:type="dxa" w:w="2088"/>
            <w:vAlign w:val="center"/>
          </w:tcPr>
          <w:p>
            <w:pPr>
              <w:jc w:val="left"/>
            </w:pPr>
            <w:r>
              <w:rPr>
                <w:sz w:val="16"/>
              </w:rPr>
              <w:t>Opening theta</w:t>
            </w:r>
          </w:p>
        </w:tc>
        <w:tc>
          <w:tcPr>
            <w:tcW w:type="dxa" w:w="2448"/>
            <w:vAlign w:val="center"/>
          </w:tcPr>
          <w:p>
            <w:pPr>
              <w:jc w:val="left"/>
            </w:pPr>
            <w:r>
              <w:rPr>
                <w:sz w:val="16"/>
              </w:rPr>
              <w:t>theta = 0.4, 0.5, 0.6, 0.7</w:t>
            </w:r>
          </w:p>
        </w:tc>
        <w:tc>
          <w:tcPr>
            <w:tcW w:type="dxa" w:w="3456"/>
            <w:vAlign w:val="center"/>
          </w:tcPr>
          <w:p>
            <w:pPr>
              <w:jc w:val="left"/>
            </w:pPr>
            <w:r>
              <w:rPr>
                <w:sz w:val="16"/>
              </w:rPr>
              <w:t>All four settings pass; median wall time ranges from 142.9 s to 126.2 s.</w:t>
            </w:r>
          </w:p>
        </w:tc>
        <w:tc>
          <w:tcPr>
            <w:tcW w:type="dxa" w:w="2232"/>
            <w:vAlign w:val="center"/>
          </w:tcPr>
          <w:p>
            <w:pPr>
              <w:jc w:val="left"/>
            </w:pPr>
            <w:r>
              <w:rPr>
                <w:sz w:val="16"/>
              </w:rPr>
              <w:t>theta = 0.6 is the predefined protocol value, not a global optimum.</w:t>
            </w:r>
          </w:p>
        </w:tc>
      </w:tr>
      <w:tr>
        <w:trPr>
          <w:cantSplit/>
        </w:trPr>
        <w:tc>
          <w:tcPr>
            <w:tcW w:type="dxa" w:w="2088"/>
            <w:vAlign w:val="center"/>
          </w:tcPr>
          <w:p>
            <w:pPr>
              <w:jc w:val="left"/>
            </w:pPr>
            <w:r>
              <w:rPr>
                <w:sz w:val="16"/>
              </w:rPr>
              <w:t>Expansion order</w:t>
            </w:r>
          </w:p>
        </w:tc>
        <w:tc>
          <w:tcPr>
            <w:tcW w:type="dxa" w:w="2448"/>
            <w:vAlign w:val="center"/>
          </w:tcPr>
          <w:p>
            <w:pPr>
              <w:jc w:val="left"/>
            </w:pPr>
            <w:r>
              <w:rPr>
                <w:sz w:val="16"/>
              </w:rPr>
              <w:t>p2/p3/p4/p5 rows on six proteins</w:t>
            </w:r>
          </w:p>
        </w:tc>
        <w:tc>
          <w:tcPr>
            <w:tcW w:type="dxa" w:w="3456"/>
            <w:vAlign w:val="center"/>
          </w:tcPr>
          <w:p>
            <w:pPr>
              <w:jc w:val="left"/>
            </w:pPr>
            <w:r>
              <w:t>All tested orders pass under the guard. p2 is fallback-dominated; p4 preserves far-field compression and had a lower mean wall time than the other far-compressed rows in this panel.</w:t>
            </w:r>
          </w:p>
        </w:tc>
        <w:tc>
          <w:tcPr>
            <w:tcW w:type="dxa" w:w="2232"/>
            <w:vAlign w:val="center"/>
          </w:tcPr>
          <w:p>
            <w:pPr>
              <w:jc w:val="left"/>
            </w:pPr>
            <w:r>
              <w:rPr>
                <w:sz w:val="16"/>
              </w:rPr>
              <w:t>Additional meshes and systems are needed before recommending a general p order.</w:t>
            </w:r>
          </w:p>
        </w:tc>
      </w:tr>
      <w:tr>
        <w:trPr>
          <w:cantSplit/>
        </w:trPr>
        <w:tc>
          <w:tcPr>
            <w:tcW w:type="dxa" w:w="2088"/>
            <w:vAlign w:val="center"/>
          </w:tcPr>
          <w:p>
            <w:pPr>
              <w:jc w:val="left"/>
            </w:pPr>
            <w:r>
              <w:rPr>
                <w:sz w:val="16"/>
              </w:rPr>
              <w:t>ILU neighbor cap</w:t>
            </w:r>
          </w:p>
        </w:tc>
        <w:tc>
          <w:tcPr>
            <w:tcW w:type="dxa" w:w="2448"/>
            <w:vAlign w:val="center"/>
          </w:tcPr>
          <w:p>
            <w:pPr>
              <w:jc w:val="left"/>
            </w:pPr>
            <w:r>
              <w:rPr>
                <w:sz w:val="16"/>
              </w:rPr>
              <w:t>Caps 32, 64, 128 on Barnase, 1A63, 1SH1</w:t>
            </w:r>
          </w:p>
        </w:tc>
        <w:tc>
          <w:tcPr>
            <w:tcW w:type="dxa" w:w="3456"/>
            <w:vAlign w:val="center"/>
          </w:tcPr>
          <w:p>
            <w:pPr>
              <w:jc w:val="left"/>
            </w:pPr>
            <w:r>
              <w:rPr>
                <w:sz w:val="16"/>
              </w:rPr>
              <w:t>All caps pass. Cap 64 gives the lowest mean matvec time with moderate graph size and memory in this subset.</w:t>
            </w:r>
          </w:p>
        </w:tc>
        <w:tc>
          <w:tcPr>
            <w:tcW w:type="dxa" w:w="2232"/>
            <w:vAlign w:val="center"/>
          </w:tcPr>
          <w:p>
            <w:pPr>
              <w:jc w:val="left"/>
            </w:pPr>
            <w:r>
              <w:t>A larger cap sweep and additional proteins would be needed before claiming cap optimality.</w:t>
            </w:r>
          </w:p>
        </w:tc>
      </w:tr>
      <w:tr>
        <w:trPr>
          <w:cantSplit/>
        </w:trPr>
        <w:tc>
          <w:tcPr>
            <w:tcW w:type="dxa" w:w="2088"/>
            <w:vAlign w:val="center"/>
          </w:tcPr>
          <w:p>
            <w:pPr>
              <w:jc w:val="left"/>
            </w:pPr>
            <w:r>
              <w:rPr>
                <w:sz w:val="16"/>
              </w:rPr>
              <w:t>Tail indicator</w:t>
            </w:r>
          </w:p>
        </w:tc>
        <w:tc>
          <w:tcPr>
            <w:tcW w:type="dxa" w:w="2448"/>
            <w:vAlign w:val="center"/>
          </w:tcPr>
          <w:p>
            <w:pPr>
              <w:jc w:val="left"/>
            </w:pPr>
            <w:r>
              <w:rPr>
                <w:sz w:val="16"/>
              </w:rPr>
              <w:t>Tail-on rows pass; tail-off rows stop at the guarded validator</w:t>
            </w:r>
          </w:p>
        </w:tc>
        <w:tc>
          <w:tcPr>
            <w:tcW w:type="dxa" w:w="3456"/>
            <w:vAlign w:val="center"/>
          </w:tcPr>
          <w:p>
            <w:pPr>
              <w:jc w:val="left"/>
            </w:pPr>
            <w:r>
              <w:rPr>
                <w:sz w:val="16"/>
              </w:rPr>
              <w:t>Tail refinement is part of the reported workflow.</w:t>
            </w:r>
          </w:p>
        </w:tc>
        <w:tc>
          <w:tcPr>
            <w:tcW w:type="dxa" w:w="2232"/>
            <w:vAlign w:val="center"/>
          </w:tcPr>
          <w:p>
            <w:pPr>
              <w:jc w:val="left"/>
            </w:pPr>
            <w:r>
              <w:rPr>
                <w:sz w:val="16"/>
              </w:rPr>
              <w:t>A deliberately relaxed tail-off numerical run would be needed to isolate the tail term alone.</w:t>
            </w:r>
          </w:p>
        </w:tc>
      </w:tr>
    </w:tbl>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5"/>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pPr>
        <w:pStyle w:val="Caption"/>
        <w:jc w:val="center"/>
      </w:pPr>
      <w:r>
        <w:drawing>
          <wp:inline xmlns:a="http://schemas.openxmlformats.org/drawingml/2006/main" xmlns:pic="http://schemas.openxmlformats.org/drawingml/2006/picture">
            <wp:extent cx="6126480" cy="4016248"/>
            <wp:docPr id="6" name="Picture 6"/>
            <wp:cNvGraphicFramePr>
              <a:graphicFrameLocks noChangeAspect="1"/>
            </wp:cNvGraphicFramePr>
            <a:graphic>
              <a:graphicData uri="http://schemas.openxmlformats.org/drawingml/2006/picture">
                <pic:pic>
                  <pic:nvPicPr>
                    <pic:cNvPr id="0" name="fagbi_scope_z4x_global_p_order_panels.png"/>
                    <pic:cNvPicPr/>
                  </pic:nvPicPr>
                  <pic:blipFill>
                    <a:blip r:embed="rId22"/>
                    <a:stretch>
                      <a:fillRect/>
                    </a:stretch>
                  </pic:blipFill>
                  <pic:spPr>
                    <a:xfrm>
                      <a:off x="0" y="0"/>
                      <a:ext cx="6126480" cy="4016248"/>
                    </a:xfrm>
                    <a:prstGeom prst="rect"/>
                  </pic:spPr>
                </pic:pic>
              </a:graphicData>
            </a:graphic>
          </wp:inline>
        </w:drawing>
      </w:r>
    </w:p>
    <w:p>
      <w:commentRangeStart w:id="4"/>
      <w:pPr>
        <w:pStyle w:val="Caption"/>
      </w:pPr>
      <w:r>
        <w:rPr>
          <w:rFonts w:ascii="Times New Roman" w:hAnsi="Times New Roman"/>
        </w:rPr>
        <w:t>Figure 6 | Guarded p-order trade-off across the six-protein panel. A, sampled direct-operator audit RMS. B, total wall time. C, peak resident set size. D, accepted far M2L pairs and direct-fallback panel pairs. Points and bars show mean +/- s.d. across the six proteins. The p2 rows pass the audit by demoting essentially all far work to direct fallback. The reported p4 policy is retained because it passes the audit while preserving far-field compression in the current panel; no general p-order optimum is implied.</w:t>
      </w:r>
      <w:commentRangeEnd w:id="4"/>
      <w:r>
        <w:commentReference w:id="4"/>
      </w: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2"/>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2"/>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2"/>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2"/>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2"/>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2"/>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2"/>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2"/>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2"/>
        </w:rPr>
        <w:t>[9] L. Wilson, W. Geng, and R. Krasny, TABI-PB 2.0: An improved version of the treecode-accelerated boundary integral Poisson-Boltzmann solver, Journal of Physical Chemistry B 126, 7104-7113, 2022.</w:t>
      </w:r>
    </w:p>
    <w:p>
      <w:pPr/>
      <w:r>
        <w:rPr>
          <w:rFonts w:ascii="Times New Roman" w:hAnsi="Times New Roman"/>
          <w:sz w:val="22"/>
        </w:rPr>
        <w:t>[10] W. Geng and R. Krasny, A treecode-accelerated boundary integral Poisson-Boltzmann solver for electrostatics of solvated biomolecules, Journal of Computational Physics 247, 62-78, 2013.</w:t>
      </w:r>
    </w:p>
    <w:p>
      <w:pPr/>
      <w:r>
        <w:rPr>
          <w:rFonts w:ascii="Times New Roman" w:hAnsi="Times New Roman"/>
          <w:sz w:val="22"/>
        </w:rPr>
        <w:t>[11] J. Chen and W. Geng, On preconditioning the treecode-accelerated boundary integral (TABI) Poisson-Boltzmann solver, Journal of Computational Physics 373, 750-762, 2018.</w:t>
      </w:r>
    </w:p>
    <w:sectPr w:rsidR="000B62E7" w:rsidSect="00034616">
      <w:headerReference w:type="default" r:id="rId17"/>
      <w:footerReference w:type="default" r:id="rId18"/>
      <w:pgSz w:w="12240" w:h="15840"/>
      <w:pgMar w:top="1440" w:right="1440" w:bottom="1440" w:left="1440" w:header="648" w:footer="648" w:gutter="0"/>
      <w:cols w:space="720"/>
      <w:docGrid w:linePitch="360"/>
    </w:sectPr>
  </w:body>
</w:document>
</file>

<file path=word/comments.xml><?xml version="1.0" encoding="utf-8"?>
<w:comments xmlns:w="http://schemas.openxmlformats.org/wordprocessingml/2006/main">
  <w:comment w:id="0" w:author="Author action" w:date="2026-06-29T04:41:41Z">
    <w:p>
      <w:r>
        <w:t>ACTION: No additional APBS calculation is required for the JCP framing here. Keep APBS as grid-solver context only. Before submission, archive the APBS input files/logs/grid sizes used for Fig. S2 so the comparison is auditable.</w:t>
      </w:r>
    </w:p>
  </w:comment>
  <w:comment w:id="1" w:author="Author action" w:date="2026-06-29T04:41:41Z">
    <w:p>
      <w:r>
        <w:t>OPTIONAL BUT RECOMMENDED FOR JCP: add a small mesh/surface-density sensitivity table if time permits, e.g. 1VII and 1UBQ at two or three surface-point settings. Report panels, energy, sampled audit, iterations, wall time, and RSS. This is a strengthening calculation, not required for the bounded claim as written.</w:t>
      </w:r>
    </w:p>
  </w:comment>
  <w:comment w:id="2" w:author="Author action" w:date="2026-06-29T04:41:41Z">
    <w:p>
      <w:r>
        <w:t>OPTIONAL: the existing small dense calibration supports the sampled audit. If runtime allows, add one larger mini dense case or one additional mesh level; otherwise keep the limitation sentence unchanged.</w:t>
      </w:r>
    </w:p>
  </w:comment>
  <w:comment w:id="3" w:author="Author action" w:date="2026-06-29T04:41:41Z">
    <w:p>
      <w:r>
        <w:t>REQUIRED BEFORE SUBMISSION: replace [vX.X-manuscript], [GitHub release URL], and [Zenodo DOI] with the real tagged release and DOI. This is not a numerical calculation, but the manuscript should not be submitted with placeholders.</w:t>
      </w:r>
    </w:p>
  </w:comment>
  <w:comment w:id="4" w:author="Author action" w:date="2026-06-29T04:41:41Z">
    <w:p>
      <w:r>
        <w:t>ACTION: check that Fig. 6 values and error bars exactly match the archived CSV/logs for the p2-p5 sweep. No rerun is required unless the archived numbers differ from the figure.</w:t>
      </w:r>
    </w:p>
  </w:comment>
  <w:comment w:id="5" w:author="Author action" w:date="2026-06-29T04:41:41Z">
    <w:p>
      <w:r>
        <w:t>ACTION: check that every summary value in Table 6 matches Tables 3-5, Figure 6, and Supplementary Tables S2-S4. No new calculation is needed unless a mismatch is found.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