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t>Grid-based Poisson-Boltzmann solvers are robust and widely used, but volumetric discretization can impose substantial memory costs and approximate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directly evaluated 2 x 2 coupled near-field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benchmark acceptance criteria, whereas rows using near-field ILU(0) reached the GMRES stopping criterion in 128 reported iterations across all fixtures. The guarded p4 + sparse ILU(0) path retained this convergence behavior and passed sampled direct-operator audits, with a maximum sampled residual of 2.534e-3 and peak resident memory of 369.6 MB. Additional p-order and neighbor-cap sweeps support the reported p4/cap-64 setting as a reproducible operating point for the tested cases; no general optimality claim is made.</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r>
      <w:r>
        <w:t>Implicit-solvent electrostatics is a standard approximation in biomolecular modeling [12].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r>
      <w:r>
        <w:t>Boundary-integral equation (BIE) formulations provide an alternative discretization for continuum electrostatics [13].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 The p4/cap-64 setting is reported as a tested protocol choice, not as a universal parameter recommendation.</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jc w:val="both"/>
        <w:rPr>
          <w:lang w:val="vi-VN"/>
        </w:rPr>
      </w:pPr>
      <w:r>
        <w:rPr>
          <w:rFonts w:ascii="Times New Roman" w:hAnsi="Times New Roman"/>
          <w:b w:val="0"/>
          <w:sz w:val="22"/>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r>
      <w:r>
        <w:t>TITAN solves a coupled boundary-integral Poisson-Boltzmann system on triangulated molecular surfaces. Following the TABI boundary-integral formulation [10] and earlier boundary-integral PB work [13],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 with Krylov and preconditioning terminology following standard sparse iterative-solver references [15].</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r>
      <w:r>
        <w:t>Here the multi-index gamma labels the Coulomb or screened Green-function jet coefficient through degree 9. K1 and K3 use base Green jets, while K2 and K4 reconstruct source-normal derivative terms from adjacent jet coefficients during contraction.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a directly evaluated 2 x 2 coupled local operator block A_ij. ILU(0) factorization [4] is then performed strictly on this sparsity pattern. The resulting preconditioner retains selected cross-leaf near-field couplings while avoiding fill-in beyond the graph. Section 3.5 and the Supplement compare caps 32, 64, and 128 on the primary cap-sweep subset; cap 64 is used as the reported protocol value rather than as a claimed optimum.</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two sampled dense-reference quantities. The sampled audit RMS is the root-mean-square discrepancy between accelerated and dense direct operator rows on sampled target panels. The sampled direct true residual is the residual of the final solution evaluated on the same sampled dense direct rows with the same normalization; the two values can therefore be numerically close when the accelerated-row discrepancy dominates the sampled residual. The manuscript-facing guarded p4 ladder used 512 sampled target panels per protein. The p-order coverage sweep used a separate 1024-row sampled audit to stress-test fallback accounting; these two audit sizes are reported separately and were not pooled.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r>
      <w:r>
        <w:t>Protein structures were prepared with PDB2PQR/APBS-family tooling [6], [7], [14]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jc w:val="left"/>
            </w:pPr>
            <w:r>
              <w:rPr>
                <w:rFonts w:ascii="Times New Roman" w:hAnsi="Times New Roman"/>
                <w:b/>
                <w:sz w:val="16"/>
              </w:rPr>
            </w:r>
            <w:r>
              <w:rPr>
                <w:rFonts w:ascii="Times New Roman" w:hAnsi="Times New Roman"/>
                <w:b/>
                <w:sz w:val="16"/>
              </w:rPr>
              <w:t>Category</w:t>
            </w:r>
          </w:p>
        </w:tc>
        <w:tc>
          <w:tcPr>
            <w:tcW w:type="dxa" w:w="2232"/>
            <w:vAlign w:val="center"/>
            <w:shd w:fill="E5E7EB"/>
          </w:tcPr>
          <w:p>
            <w:pPr>
              <w:spacing w:after="0" w:before="0"/>
              <w:jc w:val="left"/>
            </w:pPr>
            <w:r>
              <w:rPr>
                <w:rFonts w:ascii="Times New Roman" w:hAnsi="Times New Roman"/>
                <w:b/>
                <w:sz w:val="16"/>
              </w:rPr>
            </w:r>
            <w:r>
              <w:rPr>
                <w:rFonts w:ascii="Times New Roman" w:hAnsi="Times New Roman"/>
                <w:b/>
                <w:sz w:val="16"/>
              </w:rPr>
              <w:t>Parameter</w:t>
            </w:r>
          </w:p>
        </w:tc>
        <w:tc>
          <w:tcPr>
            <w:tcW w:type="dxa" w:w="3096"/>
            <w:vAlign w:val="center"/>
            <w:shd w:fill="E5E7EB"/>
          </w:tcPr>
          <w:p>
            <w:pPr>
              <w:spacing w:after="0" w:before="0"/>
              <w:jc w:val="left"/>
            </w:pPr>
            <w:r>
              <w:rPr>
                <w:rFonts w:ascii="Times New Roman" w:hAnsi="Times New Roman"/>
                <w:b/>
                <w:sz w:val="16"/>
              </w:rPr>
            </w:r>
            <w:r>
              <w:rPr>
                <w:rFonts w:ascii="Times New Roman" w:hAnsi="Times New Roman"/>
                <w:b/>
                <w:sz w:val="16"/>
              </w:rPr>
              <w:t>Value used in the reported rows</w:t>
            </w:r>
          </w:p>
        </w:tc>
        <w:tc>
          <w:tcPr>
            <w:tcW w:type="dxa" w:w="3384"/>
            <w:vAlign w:val="center"/>
            <w:shd w:fill="E5E7EB"/>
          </w:tcPr>
          <w:p>
            <w:pPr>
              <w:spacing w:after="0" w:before="0"/>
              <w:jc w:val="left"/>
            </w:pPr>
            <w:r>
              <w:rPr>
                <w:rFonts w:ascii="Times New Roman" w:hAnsi="Times New Roman"/>
                <w:b/>
                <w:sz w:val="16"/>
              </w:rPr>
            </w:r>
            <w:r>
              <w:rPr>
                <w:rFonts w:ascii="Times New Roman" w:hAnsi="Times New Roman"/>
                <w:b/>
                <w:sz w:val="16"/>
              </w:rPr>
              <w:t>Evidence and notes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jc w:val="left"/>
            </w:pPr>
            <w:r>
              <w:rPr>
                <w:sz w:val="16"/>
              </w:rPr>
              <w:t>TABI 2013 coupled two-row boundary-integral formulation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pPr>
              <w:jc w:val="left"/>
            </w:pPr>
            <w:r>
              <w:rPr>
                <w:rFonts w:ascii="Times New Roman" w:hAnsi="Times New Roman"/>
                <w:sz w:val="16"/>
              </w:rPr>
              <w:t>Guarded p4 run manifest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autofit"/>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jc w:val="left"/>
            </w:pPr>
            <w:r>
              <w:rPr>
                <w:rFonts w:ascii="Times New Roman" w:hAnsi="Times New Roman"/>
                <w:b/>
                <w:sz w:val="16"/>
              </w:rPr>
              <w:t>Aspect</w:t>
            </w:r>
          </w:p>
        </w:tc>
        <w:tc>
          <w:tcPr>
            <w:tcW w:w="2720" w:type="dxa"/>
            <w:shd w:val="clear" w:color="auto" w:fill="E7E6E6"/>
            <w:vAlign w:val="center"/>
          </w:tcPr>
          <w:p>
            <w:pPr>
              <w:spacing w:after="0" w:before="0"/>
              <w:jc w:val="left"/>
            </w:pPr>
            <w:r>
              <w:rPr>
                <w:rFonts w:ascii="Times New Roman" w:hAnsi="Times New Roman"/>
                <w:b/>
                <w:sz w:val="16"/>
              </w:rPr>
              <w:t>TABI-PB 2.0</w:t>
            </w:r>
          </w:p>
        </w:tc>
        <w:tc>
          <w:tcPr>
            <w:tcW w:w="2720" w:type="dxa"/>
            <w:shd w:val="clear" w:color="auto" w:fill="E7E6E6"/>
            <w:vAlign w:val="center"/>
          </w:tcPr>
          <w:p>
            <w:pPr>
              <w:spacing w:after="0" w:before="0"/>
              <w:jc w:val="left"/>
            </w:pPr>
            <w:r>
              <w:rPr>
                <w:rFonts w:ascii="Times New Roman" w:hAnsi="Times New Roman"/>
                <w:b/>
                <w:sz w:val="16"/>
              </w:rPr>
              <w:t>FAGBI / Cartesian Galerkin FMM</w:t>
            </w:r>
          </w:p>
        </w:tc>
        <w:tc>
          <w:tcPr>
            <w:tcW w:w="2720" w:type="dxa"/>
            <w:shd w:val="clear" w:color="auto" w:fill="E7E6E6"/>
            <w:vAlign w:val="center"/>
          </w:tcPr>
          <w:p>
            <w:pPr>
              <w:spacing w:after="0" w:before="0"/>
              <w:jc w:val="left"/>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jc w:val="left"/>
            </w:pPr>
            <w:r>
              <w:rPr>
                <w:rFonts w:ascii="Times New Roman" w:hAnsi="Times New Roman"/>
                <w:b w:val="0"/>
                <w:sz w:val="16"/>
              </w:rPr>
              <w:t>Discretization</w:t>
            </w:r>
          </w:p>
        </w:tc>
        <w:tc>
          <w:tcPr>
            <w:tcW w:w="2720" w:type="dxa"/>
            <w:vAlign w:val="center"/>
          </w:tcPr>
          <w:p>
            <w:pPr>
              <w:spacing w:after="0" w:before="0"/>
              <w:jc w:val="left"/>
            </w:pPr>
            <w:r>
              <w:rPr>
                <w:rFonts w:ascii="Times New Roman" w:hAnsi="Times New Roman"/>
                <w:b w:val="0"/>
                <w:sz w:val="16"/>
              </w:rPr>
              <w:t>Node-patch BIE on NanoShaper surfaces; surface-vertex/patch unknowns.</w:t>
            </w:r>
          </w:p>
        </w:tc>
        <w:tc>
          <w:tcPr>
            <w:tcW w:w="2720" w:type="dxa"/>
            <w:vAlign w:val="center"/>
          </w:tcPr>
          <w:p>
            <w:pPr>
              <w:spacing w:after="0" w:before="0"/>
              <w:jc w:val="left"/>
            </w:pPr>
            <w:r>
              <w:rPr>
                <w:rFonts w:ascii="Times New Roman" w:hAnsi="Times New Roman"/>
                <w:b w:val="0"/>
                <w:sz w:val="16"/>
              </w:rPr>
              <w:t>Galerkin BIE PB with analytical integration and Cartesian FMM acceleration.</w:t>
            </w:r>
          </w:p>
        </w:tc>
        <w:tc>
          <w:tcPr>
            <w:tcW w:w="2720" w:type="dxa"/>
            <w:vAlign w:val="center"/>
          </w:tcPr>
          <w:p>
            <w:pPr>
              <w:spacing w:after="0" w:before="0"/>
              <w:jc w:val="left"/>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jc w:val="left"/>
            </w:pPr>
            <w:r>
              <w:rPr>
                <w:rFonts w:ascii="Times New Roman" w:hAnsi="Times New Roman"/>
                <w:b w:val="0"/>
                <w:sz w:val="16"/>
              </w:rPr>
              <w:t>Fast operator</w:t>
            </w:r>
          </w:p>
        </w:tc>
        <w:tc>
          <w:tcPr>
            <w:tcW w:w="2720" w:type="dxa"/>
            <w:vAlign w:val="center"/>
          </w:tcPr>
          <w:p>
            <w:pPr>
              <w:spacing w:after="0" w:before="0"/>
              <w:jc w:val="left"/>
            </w:pPr>
            <w:r>
              <w:rPr>
                <w:rFonts w:ascii="Times New Roman" w:hAnsi="Times New Roman"/>
                <w:b w:val="0"/>
                <w:sz w:val="16"/>
              </w:rPr>
              <w:t>Barycentric Lagrange dual-tree traversal; GPU-oriented PP/PC/CP/CC kernels.</w:t>
            </w:r>
          </w:p>
        </w:tc>
        <w:tc>
          <w:tcPr>
            <w:tcW w:w="2720" w:type="dxa"/>
            <w:vAlign w:val="center"/>
          </w:tcPr>
          <w:p>
            <w:pPr>
              <w:spacing w:after="0" w:before="0"/>
              <w:jc w:val="left"/>
            </w:pPr>
            <w:r>
              <w:rPr>
                <w:rFonts w:ascii="Times New Roman" w:hAnsi="Times New Roman"/>
                <w:b w:val="0"/>
                <w:sz w:val="16"/>
              </w:rPr>
              <w:t>Cartesian FMM-accelerated Galerkin operator with adaptive order and Duffy treatment.</w:t>
            </w:r>
          </w:p>
        </w:tc>
        <w:tc>
          <w:tcPr>
            <w:tcW w:w="2720" w:type="dxa"/>
            <w:vAlign w:val="center"/>
          </w:tcPr>
          <w:p>
            <w:pPr>
              <w:spacing w:after="0" w:before="0"/>
              <w:jc w:val="left"/>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jc w:val="left"/>
            </w:pPr>
            <w:r>
              <w:rPr>
                <w:rFonts w:ascii="Times New Roman" w:hAnsi="Times New Roman"/>
                <w:b w:val="0"/>
                <w:sz w:val="16"/>
              </w:rPr>
              <w:t>Acceptance policy</w:t>
            </w:r>
          </w:p>
        </w:tc>
        <w:tc>
          <w:tcPr>
            <w:tcW w:w="2720" w:type="dxa"/>
            <w:vAlign w:val="center"/>
          </w:tcPr>
          <w:p>
            <w:pPr>
              <w:spacing w:after="0" w:before="0"/>
              <w:jc w:val="left"/>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jc w:val="left"/>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jc w:val="left"/>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jc w:val="left"/>
            </w:pPr>
            <w:r>
              <w:rPr>
                <w:rFonts w:ascii="Times New Roman" w:hAnsi="Times New Roman"/>
                <w:b w:val="0"/>
                <w:sz w:val="16"/>
              </w:rPr>
              <w:t>Preconditioning</w:t>
            </w:r>
          </w:p>
        </w:tc>
        <w:tc>
          <w:tcPr>
            <w:tcW w:w="2720" w:type="dxa"/>
            <w:vAlign w:val="center"/>
          </w:tcPr>
          <w:p>
            <w:pPr>
              <w:spacing w:after="0" w:before="0"/>
              <w:jc w:val="left"/>
            </w:pPr>
            <w:r>
              <w:rPr>
                <w:rFonts w:ascii="Times New Roman" w:hAnsi="Times New Roman"/>
                <w:b w:val="0"/>
                <w:sz w:val="16"/>
              </w:rPr>
              <w:t>Block preconditioning in a GPU-oriented TABI-PB 2.0 pipeline.</w:t>
            </w:r>
          </w:p>
        </w:tc>
        <w:tc>
          <w:tcPr>
            <w:tcW w:w="2720" w:type="dxa"/>
            <w:vAlign w:val="center"/>
          </w:tcPr>
          <w:p>
            <w:pPr>
              <w:spacing w:after="0" w:before="0"/>
              <w:jc w:val="left"/>
            </w:pPr>
            <w:r>
              <w:rPr>
                <w:rFonts w:ascii="Times New Roman" w:hAnsi="Times New Roman"/>
                <w:b w:val="0"/>
                <w:sz w:val="16"/>
              </w:rPr>
              <w:t>Block-diagonal preconditioning in the Galerkin/FMM solver.</w:t>
            </w:r>
          </w:p>
        </w:tc>
        <w:tc>
          <w:tcPr>
            <w:tcW w:w="2720" w:type="dxa"/>
            <w:vAlign w:val="center"/>
          </w:tcPr>
          <w:p>
            <w:pPr>
              <w:spacing w:after="0" w:before="0"/>
              <w:jc w:val="left"/>
            </w:pPr>
            <w:r>
              <w:rPr>
                <w:rFonts w:ascii="Times New Roman" w:hAnsi="Times New Roman"/>
                <w:b w:val="0"/>
                <w:sz w:val="16"/>
              </w:rPr>
              <w:t>Near-field graph ILU(0) with directly evaluated 2 x 2 near-field blocks; no fill beyond graph.</w:t>
            </w:r>
          </w:p>
        </w:tc>
      </w:tr>
      <w:tr w:rsidR="000B62E7" w14:paraId="065C6827" w14:textId="77777777">
        <w:trPr>
          <w:cantSplit/>
          <w:jc w:val="center"/>
        </w:trPr>
        <w:tc>
          <w:tcPr>
            <w:tcW w:w="1200" w:type="dxa"/>
            <w:vAlign w:val="center"/>
          </w:tcPr>
          <w:p>
            <w:pPr>
              <w:spacing w:after="0" w:before="0"/>
              <w:jc w:val="left"/>
            </w:pPr>
            <w:r>
              <w:rPr>
                <w:rFonts w:ascii="Times New Roman" w:hAnsi="Times New Roman"/>
                <w:b w:val="0"/>
                <w:sz w:val="16"/>
              </w:rPr>
              <w:t>Verification emphasis</w:t>
            </w:r>
          </w:p>
        </w:tc>
        <w:tc>
          <w:tcPr>
            <w:tcW w:w="2720" w:type="dxa"/>
            <w:vAlign w:val="center"/>
          </w:tcPr>
          <w:p>
            <w:pPr>
              <w:spacing w:after="0" w:before="0"/>
              <w:jc w:val="left"/>
            </w:pPr>
            <w:r>
              <w:rPr>
                <w:rFonts w:ascii="Times New Roman" w:hAnsi="Times New Roman"/>
                <w:b w:val="0"/>
                <w:sz w:val="16"/>
              </w:rPr>
              <w:t>Energy error and runtime against extrapolated surface-resolution references.</w:t>
            </w:r>
          </w:p>
        </w:tc>
        <w:tc>
          <w:tcPr>
            <w:tcW w:w="2720" w:type="dxa"/>
            <w:vAlign w:val="center"/>
          </w:tcPr>
          <w:p>
            <w:pPr>
              <w:spacing w:after="0" w:before="0"/>
              <w:jc w:val="left"/>
            </w:pPr>
            <w:r>
              <w:rPr>
                <w:rFonts w:ascii="Times New Roman" w:hAnsi="Times New Roman"/>
                <w:b w:val="0"/>
                <w:sz w:val="16"/>
              </w:rPr>
              <w:t>Accuracy established under the reference tests of the published method.</w:t>
            </w:r>
          </w:p>
        </w:tc>
        <w:tc>
          <w:tcPr>
            <w:tcW w:w="2720" w:type="dxa"/>
            <w:vAlign w:val="center"/>
          </w:tcPr>
          <w:p>
            <w:pPr>
              <w:spacing w:after="0" w:before="0"/>
              <w:jc w:val="left"/>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jc w:val="left"/>
            </w:pPr>
            <w:r>
              <w:rPr>
                <w:rFonts w:ascii="Times New Roman" w:hAnsi="Times New Roman"/>
                <w:b w:val="0"/>
                <w:sz w:val="16"/>
              </w:rPr>
              <w:t>Hardware status</w:t>
            </w:r>
          </w:p>
        </w:tc>
        <w:tc>
          <w:tcPr>
            <w:tcW w:w="2720" w:type="dxa"/>
            <w:vAlign w:val="center"/>
          </w:tcPr>
          <w:p>
            <w:pPr>
              <w:spacing w:after="0" w:before="0"/>
              <w:jc w:val="left"/>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jc w:val="left"/>
            </w:pPr>
            <w:r>
              <w:rPr>
                <w:rFonts w:ascii="Times New Roman" w:hAnsi="Times New Roman"/>
                <w:b w:val="0"/>
                <w:sz w:val="16"/>
              </w:rPr>
              <w:t>Used here as the closest analytical FMM-BIE reference, not as a wall-time target.</w:t>
            </w:r>
          </w:p>
        </w:tc>
        <w:tc>
          <w:tcPr>
            <w:tcW w:w="2720" w:type="dxa"/>
            <w:vAlign w:val="center"/>
          </w:tcPr>
          <w:p>
            <w:pPr>
              <w:spacing w:after="0" w:before="0"/>
              <w:jc w:val="left"/>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accepted solves under the benchmark criteria. With a diagonal preconditioner, 0/6 systems passed the convergence criterion; the median iteration count was 680. With leaf-local block preconditioning, 0/6 systems passed and the median iteration count reached the 720-iteration budget. These results indicate that the bottleneck is not only the cost of applying the dense operator, but also the conditioning of the coupled surface system.</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directly evaluated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rows reached the GMRES stopping criterion at 128 reported iterations. The largest sampled audit RMS in Table 4 was 2.534e-03 for 1A63, and the largest reported resident set size was 369.6 MB. These metrics indicate that the high-order guarded path retained the Krylov benefit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commentRangeStart w:id="0"/>
      <w:commentRangeEnd w:id="0"/>
      <w:r>
        <w:t>APBS is included only as a grid-solver context in Supplementary Figure S2, not as a numerical correctness oracle for TITAN. The APBS finite-difference grid and the TITAN boundary-integral surface discretization define different discrete operators and interface representations; therefore TITAN-APBS reaction-energy differences are not interpreted as dense-operator error. Panel A reports reaction-energy scale from TITAN and from the finest APBS grid in this sweep. Panel B reports the relative change in APBS reaction energy when the finite-difference grid is refined from d225 to d257, and therefore measures APBS grid sensitivity. Using the same PQR inputs for 1VII, 1UBQ, and 2CI2, APBS reaction energies remained visibly grid-sensitive over the tested range; the final d225-to-d257 change reached 3.61% across the three systems. The comparison is useful for computational footprint: at d257, APBS required 3498.3-3546.8 MB peak RSS, whereas the corresponding TITAN guarded p4 rows used 58.2-150.3 MB; the largest APBS/TITAN RSS ratio was 60.1x. CPU wall times at the finest APBS grid were of the same order as the TITAN guarded rows for these small proteins. These APBS rows support the scope statement, but correctness of the fast BIE operator is assessed against dense direct TABI rows where feasible and sampled dense direct rows on full-protein cases. APBS input files, logs, and grid dimensions used for this context figure are included in the manuscript archive described in Code and Data Availability.</w:t>
      </w:r>
    </w:p>
    <w:p>
      <w:commentRangeStart w:id="2"/>
      <w:r/>
      <w:commentRangeEnd w:id="2"/>
      <w:r/>
      <w:r>
        <w:t>Full dense direct calibration on small systems is reported in Supplementary Table S5. The calibration includes two analytic coarse sphere cases and mini public-protein subsets with 2534-3656 panels, for which full O(N^2) direct TABI solves remain practical. In the larger 1VII-mini calibration row (3656 panels), guarded p4 matched dense direct reaction energy within 3.21 x 10^-4 kJ/mol and produced a sampled direct true residual of 1.01 x 10^-6. Across the full calibration table, guarded p4 matched the dense direct reaction energy within 6.3 x 10^-4 kJ/mol, and the largest sampled direct true residual was 1.28 x 10^-6. These rows calibrate the sampled direct-operator audit used for the full-protein rows while leaving full dense direct reaction-energy solves for complete proteins outside the present runtime envelope.</w:t>
      </w:r>
    </w:p>
    <w:p>
      <w:r>
        <w:t>Supplementary Table S6 reports a minimal surface-density stress check on 1VII. Increasing the generated surface from 5032 to 8507 panels changed the reaction energy, as expected for a different surface discretization, but the guarded p4 solve remained stable: the sampled audit RMS and sampled direct true residual were both 7.87 x 10^-6, with 128 GMRES iterations. A much denser surface request exceeded the current 256 MB compressed Green-jet cache budget before solution and is reported as a memory-scaling limit rather than as a numerical failure. This check is not used to claim a mesh-convergence order; it only confirms that the reported verification protocol remains stable when the 1VII surface is refined beyond the manuscript-facing mesh.</w:t>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commentRangeStart w:id="1"/>
      <w:pPr>
        <w:jc w:val="both"/>
      </w:pPr>
      <w:r/>
      <w:commentRangeEnd w:id="1"/>
      <w:r/>
      <w:r>
        <w:t>The present evidence has explicit limits. The benchmark is CPU/AVX2-only, uses six protein fixtures, and relies on sampled direct-operator audits for full-protein verification rather than full dense O(N^2) reaction-energy oracles at the largest panel counts. The small dense direct calibration rows in Supplementary Table S5 support the audit protocol where dense solves are practical. Section 3.5 and the Supplement add p-order, opening-angle, guard, tail-policy, ILU neighbor-cap, and a minimal 1VII surface-density stress check, but they do not replace broader mesh-convergence and larger-system validation. The APBS context rows are not used to claim interchangeability with grid-based APBS energies.</w:t>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Cartesian FMM/M2L restored sampled agreement with dense direct evaluations. The architecture provides a reproducible CPU baseline that can be extended to broader validation sets and accelerated backends.</w:t>
      </w:r>
    </w:p>
    <w:p>
      <w:pPr>
        <w:pStyle w:val="Heading2"/>
      </w:pPr>
      <w:r>
        <w:t>3.5. Ablation and Sensitivity</w:t>
      </w:r>
    </w:p>
    <w:p>
      <w:pPr>
        <w:spacing w:after="120"/>
      </w:pPr>
      <w:r>
        <w:t>The ablation evidence is intended to make the reported protocol interpretable rather than to search the full parameter space. It asks five practical questions: whether fast matrix-vector evaluation alone removes the bottleneck, whether near-field ILU(0) is inexpensive enough to justify its setup cost, whether the geometric guard is needed for sampled direct-operator agreement, how the Taylor order changes the balance between compression and fallback, and how the ILU neighbor cap affects cost and memory.</w:t>
      </w:r>
    </w:p>
    <w:p>
      <w:pPr>
        <w:spacing w:after="120"/>
      </w:pPr>
      <w:r>
        <w:rPr>
          <w:rFonts w:ascii="Times New Roman" w:hAnsi="Times New Roman"/>
          <w:sz w:val="22"/>
        </w:rPr>
        <w:t>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 In the 1A63 guarded p4 profile, ILU(0) setup accounts for 5.15 s and preconditioner application accounts for 6.37 s over the solve, compared with 151.9 s for p4 matrix-vector application and 312.6 s total wall time. This cost split supports the use of the graph factorization in the tested CPU workflow, while leaving larger-panel scaling as a separate question.</w:t>
      </w:r>
    </w:p>
    <w:p>
      <w:pPr>
        <w:spacing w:after="120"/>
      </w:pPr>
      <w:r>
        <w:rPr>
          <w:rFonts w:ascii="Times New Roman" w:hAnsi="Times New Roman"/>
          <w:sz w:val="22"/>
        </w:rPr>
        <w:t>The guard ablation separates internal convergence from operator agreement. In the six-protein guard-on/guard-off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reported p4 path.</w:t>
      </w:r>
    </w:p>
    <w:p>
      <w:pPr>
        <w:spacing w:after="120"/>
      </w:pPr>
      <w:r>
        <w:rPr>
          <w:rFonts w:ascii="Times New Roman" w:hAnsi="Times New Roman"/>
          <w:sz w:val="22"/>
        </w:rPr>
        <w:t>Opening-angle sensitivity was evaluated over theta = 0.4, 0.5, 0.6, and 0.7. All four settings passed the sampled direct-operator gate on the six-protein panel, and the median wall time decreased modestly from 142.9 s at theta = 0.4 to 126.2 s at theta = 0.7. The manuscript retains theta = 0.6 because it was the predefined validation setting used in the repeatability gates. This result is read narrowly: within the tested range, the strict guard dominated the sampled accuracy behavior; no global theta optimum is inferred.</w:t>
      </w:r>
    </w:p>
    <w:p>
      <w:pPr>
        <w:pStyle w:val="Caption"/>
        <w:spacing w:before="160" w:after="60"/>
      </w:pPr>
      <w:r>
        <w:rPr>
          <w:rFonts w:ascii="Times New Roman" w:hAnsi="Times New Roman"/>
          <w:sz w:val="20"/>
        </w:rPr>
        <w:t>Table 6 summarizes the ablation and sensitivity evidence used to bound the reported p4/cap-64 protocol.</w:t>
      </w:r>
    </w:p>
    <w:p>
      <w:pPr>
        <w:spacing w:after="120"/>
      </w:pPr>
      <w:r>
        <w:t>The p-order sweep was run under the guarded policy on the six-protein panel. Orders p2, p3, p4, and p5 all passed the sampled audit gate, but they did so with different work decompositions. The p2 rows are conservative: they produce very small sampled residuals while accepting no far M2L pairs, so most risky far work is demoted to direct fallback. The reported p4 row is retained because it remains audit-passing while preserving substantial far-field compression and the lowest mean wall time among the far-compressed rows in this panel.</w:t>
      </w:r>
    </w:p>
    <w:p>
      <w:pPr/>
      <w:r>
        <w:t>The p2 coverage logs check that the p2 audit is not simply a skipped-work result. Across the six proteins, p2 accepted zero far M2L pairs, rejected 337,815 far cell pairs, and demoted 295,959,727 panel pairs to direct fallback. Every p2 solve also reports a nonzero total evaluated interaction count and at least 1024 independently sampled dense-audit rows in the separate p-order coverage protocol. The p2 audit therefore reflects conservative direct evaluation of risky interactions rather than omission of far-field work.</w:t>
      </w:r>
    </w:p>
    <w:p>
      <w:r>
        <w:t>The ILU neighbor-cap sweep was run on Barnase, 1A63, and 1SH1 under the guarded p4 protocol. Caps 32, 64, and 128 all passed the sampled direct-operator gate. Cap 32 had the lowest mean RSS, cap 128 used the largest graph and memory, and cap 64 gave the lowest mean matrix-vector time in this three-protein sweep. The manuscript therefore uses cap 64 as a balanced protocol value for the reported runs, not as an accuracy-only optimum.</w:t>
      </w:r>
    </w:p>
    <w:p>
      <w:r/>
      <w:r>
        <w:t>Taken together, the ablations and small-system dense calibration rows support the selected p4/cap-64 guarded workflow for the current benchmark panel while keeping stronger questions--larger protein sets, formal mesh-convergence studies, and broader hardware comparisons--outside the present claim.</w:t>
      </w: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t>This work describes a guarded fourth-order Cartesian FMM/M2L boundary-integral PB path with sparse near-field ILU(0) preconditioning. On the reported primary and supplementary protein fixtures, the guarded p4 workflow reached the stated stopping criteria, passed sampled direct-operator verification, and kept resident memory below 370 MB. The p-order and neighbor-cap sweeps support the reported p4/cap-64 setting as a reproducible operating point for the tested panel, while leaving broader optimality and scaling questions open. The supported claim is deliberately bounded: the method combines analytical fast evaluation, deterministic far-field guarding, and graph-based sparse preconditioning to make the tested dense molecular-surface PB solves Krylov-stable and auditable on CPU hardware. These results do not establish interchangeability with grid-based APBS energies or general superiority over production grid solvers.</w:t>
      </w:r>
    </w:p>
    <w:p>
      <w:pPr>
        <w:pStyle w:val="Heading1"/>
      </w:pPr>
      <w:r>
        <w:rPr>
          <w:rFonts w:ascii="Times New Roman" w:hAnsi="Times New Roman"/>
          <w:sz w:val="22"/>
        </w:rPr>
        <w:t>Code and Data Availability</w:t>
      </w:r>
    </w:p>
    <w:p>
      <w:commentRangeStart w:id="3"/>
      <w:pPr/>
      <w:commentRangeEnd w:id="3"/>
      <w:r/>
      <w:r>
        <w:t>The TITAN source code corresponding to this manuscript has been prepared for release under the MIT License as the tagged release fagbi-submission-v0.1 at https://github.com/hoanglinh221191/TITAN. The persistent Zenodo DOI will be inserted after deposition of the tagged release and before journal submission. The archived release will include source code, build instructions, benchmark manifests, input metadata, scripts, figures, APBS input files, APBS logs, APBS grid-size settings used for Supplementary Figure S2, and reference outputs for Tables 3-6 and Supplementary Tables S1-S6. Public protein structures are identified by their RCSB PDB accession codes; derived surface metadata, run manifests, and tabulated outputs corresponding to the manuscript tables are included in the release manifest.</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autofit"/>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jc w:val="left"/>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jc w:val="left"/>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jc w:val="left"/>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jc w:val="left"/>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jc w:val="left"/>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jc w:val="left"/>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jc w:val="left"/>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jc w:val="left"/>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jc w:val="left"/>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jc w:val="left"/>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jc w:val="left"/>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jc w:val="left"/>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jc w:val="left"/>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jc w:val="left"/>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jc w:val="left"/>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jc w:val="left"/>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jc w:val="left"/>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jc w:val="left"/>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jc w:val="left"/>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jc w:val="left"/>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jc w:val="left"/>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jc w:val="left"/>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jc w:val="left"/>
            </w:pPr>
            <w:r>
              <w:rPr>
                <w:rFonts w:ascii="Times New Roman" w:hAnsi="Times New Roman"/>
                <w:b w:val="0"/>
                <w:sz w:val="16"/>
              </w:rPr>
              <w:t>Supp.</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jc w:val="left"/>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jc w:val="left"/>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jc w:val="left"/>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jc w:val="left"/>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jc w:val="left"/>
            </w:pPr>
            <w:r>
              <w:rPr>
                <w:rFonts w:ascii="Times New Roman" w:hAnsi="Times New Roman"/>
                <w:b w:val="0"/>
                <w:sz w:val="16"/>
              </w:rPr>
              <w:t>Supp.</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jc w:val="left"/>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jc w:val="left"/>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jc w:val="left"/>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jc w:val="left"/>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jc w:val="left"/>
            </w:pPr>
            <w:r>
              <w:rPr>
                <w:rFonts w:ascii="Times New Roman" w:hAnsi="Times New Roman"/>
                <w:b w:val="0"/>
                <w:sz w:val="16"/>
              </w:rPr>
              <w:t>Supp.</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autofit"/>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jc w:val="left"/>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jc w:val="left"/>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jc w:val="left"/>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jc w:val="left"/>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jc w:val="left"/>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jc w:val="left"/>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jc w:val="left"/>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jc w:val="left"/>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jc w:val="left"/>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jc w:val="left"/>
            </w:pPr>
            <w:r>
              <w:rPr>
                <w:rFonts w:ascii="Times New Roman" w:hAnsi="Times New Roman"/>
                <w:b w:val="0"/>
                <w:sz w:val="16"/>
              </w:rPr>
              <w:t>576</w:t>
            </w:r>
          </w:p>
        </w:tc>
        <w:tc>
          <w:tcPr>
            <w:tcW w:w="1400" w:type="dxa"/>
            <w:vAlign w:val="center"/>
          </w:tcPr>
          <w:p>
            <w:pPr>
              <w:spacing w:after="0" w:before="0"/>
              <w:jc w:val="left"/>
            </w:pPr>
            <w:r>
              <w:rPr>
                <w:rFonts w:ascii="Times New Roman" w:hAnsi="Times New Roman"/>
                <w:b w:val="0"/>
                <w:sz w:val="16"/>
              </w:rPr>
              <w:t>no passing solve under budget</w:t>
            </w:r>
          </w:p>
        </w:tc>
        <w:tc>
          <w:tcPr>
            <w:tcW w:w="3260" w:type="dxa"/>
            <w:vAlign w:val="center"/>
          </w:tcPr>
          <w:p>
            <w:pPr>
              <w:spacing w:after="0" w:before="0"/>
              <w:jc w:val="left"/>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jc w:val="left"/>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jc w:val="left"/>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jc w:val="left"/>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jc w:val="left"/>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jc w:val="left"/>
            </w:pPr>
            <w:r>
              <w:rPr>
                <w:rFonts w:ascii="Times New Roman" w:hAnsi="Times New Roman"/>
                <w:b w:val="0"/>
                <w:sz w:val="16"/>
              </w:rPr>
              <w:t>median 1.207e-02</w:t>
            </w:r>
          </w:p>
        </w:tc>
        <w:tc>
          <w:tcPr>
            <w:tcW w:w="3260" w:type="dxa"/>
            <w:vAlign w:val="center"/>
          </w:tcPr>
          <w:p>
            <w:pPr>
              <w:spacing w:after="0" w:before="0"/>
              <w:jc w:val="left"/>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jc w:val="left"/>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jc w:val="left"/>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jc w:val="left"/>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jc w:val="left"/>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jc w:val="left"/>
            </w:pPr>
            <w:r>
              <w:rPr>
                <w:rFonts w:ascii="Times New Roman" w:hAnsi="Times New Roman"/>
                <w:b w:val="0"/>
                <w:sz w:val="16"/>
              </w:rPr>
              <w:t>median 1.258e-02</w:t>
            </w:r>
          </w:p>
        </w:tc>
        <w:tc>
          <w:tcPr>
            <w:tcW w:w="3260" w:type="dxa"/>
            <w:vAlign w:val="center"/>
          </w:tcPr>
          <w:p>
            <w:pPr>
              <w:spacing w:after="0" w:before="0"/>
              <w:jc w:val="left"/>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jc w:val="left"/>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jc w:val="left"/>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jc w:val="left"/>
            </w:pPr>
            <w:r>
              <w:rPr>
                <w:rFonts w:ascii="Times New Roman" w:hAnsi="Times New Roman"/>
                <w:b w:val="0"/>
                <w:sz w:val="16"/>
              </w:rPr>
              <w:t>median 4.052e-02; max 9.671e-01</w:t>
            </w:r>
          </w:p>
        </w:tc>
        <w:tc>
          <w:tcPr>
            <w:tcW w:w="3260" w:type="dxa"/>
            <w:vAlign w:val="center"/>
          </w:tcPr>
          <w:p>
            <w:pPr>
              <w:spacing w:after="0" w:before="0"/>
              <w:jc w:val="left"/>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jc w:val="left"/>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jc w:val="left"/>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jc w:val="left"/>
            </w:pPr>
            <w:r>
              <w:rPr>
                <w:rFonts w:ascii="Times New Roman" w:hAnsi="Times New Roman"/>
                <w:b w:val="0"/>
                <w:sz w:val="16"/>
              </w:rPr>
              <w:t>median 1.121e-05; max 2.534e-03</w:t>
            </w:r>
          </w:p>
        </w:tc>
        <w:tc>
          <w:tcPr>
            <w:tcW w:w="3260" w:type="dxa"/>
            <w:vAlign w:val="center"/>
          </w:tcPr>
          <w:p>
            <w:pPr>
              <w:spacing w:after="0" w:before="0"/>
              <w:jc w:val="left"/>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autofit"/>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jc w:val="left"/>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jc w:val="left"/>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jc w:val="left"/>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jc w:val="left"/>
            </w:pPr>
            <w:r>
              <w:rPr>
                <w:rFonts w:ascii="Times New Roman" w:hAnsi="Times New Roman"/>
                <w:b/>
                <w:sz w:val="16"/>
              </w:rPr>
              <w:t>Internal residual</w:t>
            </w:r>
          </w:p>
        </w:tc>
        <w:tc>
          <w:tcPr>
            <w:tcW w:w="1050" w:type="dxa"/>
            <w:shd w:val="clear" w:color="auto" w:fill="E7E6E6"/>
            <w:vAlign w:val="center"/>
          </w:tcPr>
          <w:p>
            <w:pPr>
              <w:jc w:val="left"/>
            </w:pPr>
            <w:r>
              <w:rPr>
                <w:b/>
                <w:sz w:val="16"/>
              </w:rPr>
              <w:t>Audit RMS</w:t>
            </w:r>
          </w:p>
        </w:tc>
        <w:tc>
          <w:tcPr>
            <w:tcW w:w="1200" w:type="dxa"/>
            <w:shd w:val="clear" w:color="auto" w:fill="E7E6E6"/>
            <w:vAlign w:val="center"/>
          </w:tcPr>
          <w:p>
            <w:pPr>
              <w:jc w:val="left"/>
            </w:pPr>
            <w:r>
              <w:rPr>
                <w:b/>
                <w:sz w:val="16"/>
              </w:rPr>
              <w:t>Sampled direct residual</w:t>
            </w:r>
          </w:p>
        </w:tc>
        <w:tc>
          <w:tcPr>
            <w:tcW w:w="700" w:type="dxa"/>
            <w:shd w:val="clear" w:color="auto" w:fill="E7E6E6"/>
            <w:vAlign w:val="center"/>
          </w:tcPr>
          <w:p w14:paraId="1CC77690" w14:textId="77777777" w:rsidR="000B62E7" w:rsidRDefault="00A65B0F">
            <w:pPr>
              <w:spacing w:after="0" w:line="240" w:lineRule="auto" w:before="0"/>
              <w:jc w:val="left"/>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jc w:val="left"/>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jc w:val="left"/>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jc w:val="left"/>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jc w:val="left"/>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jc w:val="left"/>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jc w:val="left"/>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jc w:val="left"/>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jc w:val="left"/>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jc w:val="left"/>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jc w:val="left"/>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jc w:val="left"/>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jc w:val="left"/>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jc w:val="left"/>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jc w:val="left"/>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jc w:val="left"/>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jc w:val="left"/>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jc w:val="left"/>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jc w:val="left"/>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jc w:val="left"/>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jc w:val="left"/>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jc w:val="left"/>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jc w:val="left"/>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jc w:val="left"/>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jc w:val="left"/>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jc w:val="left"/>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jc w:val="left"/>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jc w:val="left"/>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jc w:val="left"/>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jc w:val="left"/>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jc w:val="left"/>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jc w:val="left"/>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jc w:val="left"/>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jc w:val="left"/>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jc w:val="left"/>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jc w:val="left"/>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jc w:val="left"/>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jc w:val="left"/>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jc w:val="left"/>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jc w:val="left"/>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jc w:val="left"/>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jc w:val="left"/>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jc w:val="left"/>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jc w:val="left"/>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jc w:val="left"/>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jc w:val="left"/>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jc w:val="left"/>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primary full-protein panel.</w:t>
      </w:r>
    </w:p>
    <w:tbl>
      <w:tblPr>
        <w:tblStyle w:val="TableGrid"/>
        <w:tblW w:w="10050" w:type="dxa"/>
        <w:jc w:val="center"/>
        <w:tblLayout w:type="autofit"/>
        <w:tblLook w:val="04A0" w:firstRow="1" w:lastRow="0" w:firstColumn="1" w:lastColumn="0" w:noHBand="0" w:noVBand="1"/>
      </w:tblPr>
      <w:tblGrid>
        <w:gridCol w:w="2400"/>
        <w:gridCol w:w="1100"/>
        <w:gridCol w:w="900"/>
        <w:gridCol w:w="1100"/>
        <w:gridCol w:w="1050"/>
        <w:gridCol w:w="1450"/>
        <w:gridCol w:w="115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jc w:val="left"/>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jc w:val="left"/>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jc w:val="left"/>
            </w:pPr>
            <w:r>
              <w:rPr>
                <w:rFonts w:ascii="Times New Roman" w:hAnsi="Times New Roman"/>
                <w:b/>
                <w:sz w:val="16"/>
              </w:rPr>
              <w:t>Energy</w:t>
            </w:r>
          </w:p>
        </w:tc>
        <w:tc>
          <w:tcPr>
            <w:tcW w:w="1050" w:type="dxa"/>
            <w:shd w:val="clear" w:color="auto" w:fill="E7E6E6"/>
            <w:vAlign w:val="center"/>
          </w:tcPr>
          <w:p>
            <w:pPr>
              <w:jc w:val="left"/>
            </w:pPr>
            <w:r>
              <w:rPr>
                <w:b/>
                <w:sz w:val="16"/>
              </w:rPr>
              <w:t>Audit max</w:t>
            </w:r>
          </w:p>
        </w:tc>
        <w:tc>
          <w:tcPr>
            <w:tcW w:w="1450" w:type="dxa"/>
            <w:shd w:val="clear" w:color="auto" w:fill="E7E6E6"/>
            <w:vAlign w:val="center"/>
          </w:tcPr>
          <w:p>
            <w:pPr>
              <w:jc w:val="left"/>
            </w:pPr>
            <w:r>
              <w:rPr>
                <w:b/>
                <w:sz w:val="16"/>
              </w:rPr>
              <w:t>Sampled residual max</w:t>
            </w:r>
          </w:p>
        </w:tc>
        <w:tc>
          <w:tcPr>
            <w:tcW w:w="1150" w:type="dxa"/>
            <w:shd w:val="clear" w:color="auto" w:fill="E7E6E6"/>
            <w:vAlign w:val="center"/>
          </w:tcPr>
          <w:p w14:paraId="57C16C6E" w14:textId="77777777" w:rsidR="000B62E7" w:rsidRDefault="00A65B0F">
            <w:pPr>
              <w:spacing w:after="0" w:line="240" w:lineRule="auto" w:before="0"/>
              <w:jc w:val="left"/>
            </w:pPr>
            <w:r>
              <w:rPr>
                <w:rFonts w:ascii="Times New Roman" w:hAnsi="Times New Roman"/>
                <w:b/>
                <w:sz w:val="16"/>
              </w:rPr>
              <w:t>Energy spread</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jc w:val="left"/>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jc w:val="left"/>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jc w:val="left"/>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jc w:val="left"/>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jc w:val="left"/>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jc w:val="left"/>
            </w:pPr>
            <w:r>
              <w:rPr>
                <w:rFonts w:ascii="Times New Roman" w:hAnsi="Times New Roman"/>
                <w:b w:val="0"/>
                <w:sz w:val="16"/>
              </w:rPr>
              <w:t>0.000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jc w:val="left"/>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jc w:val="left"/>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jc w:val="left"/>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jc w:val="left"/>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jc w:val="left"/>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jc w:val="left"/>
            </w:pPr>
            <w:r>
              <w:rPr>
                <w:rFonts w:ascii="Times New Roman" w:hAnsi="Times New Roman"/>
                <w:b w:val="0"/>
                <w:sz w:val="16"/>
              </w:rPr>
              <w:t>0.000</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jc w:val="left"/>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jc w:val="left"/>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jc w:val="left"/>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jc w:val="left"/>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jc w:val="left"/>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jc w:val="left"/>
            </w:pPr>
            <w:r>
              <w:rPr>
                <w:rFonts w:ascii="Times New Roman" w:hAnsi="Times New Roman"/>
                <w:b w:val="0"/>
                <w:sz w:val="16"/>
              </w:rPr>
              <w:t>0.000</w:t>
            </w:r>
          </w:p>
        </w:tc>
      </w:tr>
    </w:tbl>
    <w:p w14:paraId="4A414A51" w14:textId="77777777" w:rsidR="000B62E7" w:rsidRDefault="00A65B0F">
      <w:r>
        <w:rPr>
          <w:rFonts w:ascii="Times New Roman" w:hAnsi="Times New Roman"/>
          <w:sz w:val="20"/>
        </w:rPr>
        <w:br w:type="page"/>
      </w:r>
    </w:p>
    <w:p>
      <w:commentRangeStart w:id="5"/>
      <w:r>
        <w:t>Table 6. Compact ablation and sensitivity summary for the reported p4/cap-64 protocol.</w:t>
      </w:r>
      <w:commentRangeEnd w:id="5"/>
      <w:r>
        <w:commentReference w:id="5"/>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cantSplit/>
        </w:trPr>
        <w:tc>
          <w:tcPr>
            <w:tcW w:type="dxa" w:w="2088"/>
            <w:vAlign w:val="center"/>
            <w:shd w:fill="E5E7EB"/>
          </w:tcPr>
          <w:p>
            <w:pPr>
              <w:jc w:val="left"/>
            </w:pPr>
            <w:r>
              <w:rPr>
                <w:b/>
                <w:sz w:val="16"/>
              </w:rPr>
              <w:t>Axis</w:t>
            </w:r>
          </w:p>
        </w:tc>
        <w:tc>
          <w:tcPr>
            <w:tcW w:type="dxa" w:w="2448"/>
            <w:vAlign w:val="center"/>
            <w:shd w:fill="E5E7EB"/>
          </w:tcPr>
          <w:p>
            <w:pPr>
              <w:jc w:val="left"/>
            </w:pPr>
            <w:r>
              <w:rPr>
                <w:b/>
                <w:sz w:val="16"/>
              </w:rPr>
              <w:t>Evidence</w:t>
            </w:r>
          </w:p>
        </w:tc>
        <w:tc>
          <w:tcPr>
            <w:tcW w:type="dxa" w:w="3456"/>
            <w:vAlign w:val="center"/>
            <w:shd w:fill="E5E7EB"/>
          </w:tcPr>
          <w:p>
            <w:pPr>
              <w:jc w:val="left"/>
            </w:pPr>
            <w:r>
              <w:rPr>
                <w:b/>
                <w:sz w:val="16"/>
              </w:rPr>
              <w:t>Main observation</w:t>
            </w:r>
          </w:p>
        </w:tc>
        <w:tc>
          <w:tcPr>
            <w:tcW w:type="dxa" w:w="2232"/>
            <w:vAlign w:val="center"/>
            <w:shd w:fill="E5E7EB"/>
          </w:tcPr>
          <w:p>
            <w:pPr>
              <w:jc w:val="left"/>
            </w:pPr>
            <w:r>
              <w:rPr>
                <w:b/>
                <w:sz w:val="16"/>
              </w:rPr>
              <w:t>Boundary</w:t>
            </w:r>
          </w:p>
        </w:tc>
      </w:tr>
      <w:tr>
        <w:trPr>
          <w:cantSplit/>
        </w:trPr>
        <w:tc>
          <w:tcPr>
            <w:tcW w:type="dxa" w:w="2088"/>
            <w:vAlign w:val="center"/>
          </w:tcPr>
          <w:p>
            <w:pPr>
              <w:jc w:val="left"/>
            </w:pPr>
            <w:r>
              <w:rPr>
                <w:sz w:val="16"/>
              </w:rPr>
              <w:t>Direct/FMM/ILU ladder</w:t>
            </w:r>
          </w:p>
        </w:tc>
        <w:tc>
          <w:tcPr>
            <w:tcW w:type="dxa" w:w="2448"/>
            <w:vAlign w:val="center"/>
          </w:tcPr>
          <w:p>
            <w:pPr>
              <w:jc w:val="left"/>
            </w:pPr>
            <w:r>
              <w:rPr>
                <w:sz w:val="16"/>
              </w:rPr>
              <w:t>Six-protein ladder in Table 3</w:t>
            </w:r>
          </w:p>
        </w:tc>
        <w:tc>
          <w:tcPr>
            <w:tcW w:type="dxa" w:w="3456"/>
            <w:vAlign w:val="center"/>
          </w:tcPr>
          <w:p>
            <w:pPr>
              <w:jc w:val="left"/>
            </w:pPr>
            <w:r>
              <w:rPr>
                <w:sz w:val="16"/>
              </w:rPr>
              <w:t>Low-order FMM reduces matvec cost but does not remove Krylov stalls with weak preconditioners; near-field ILU(0) stabilizes the tested solves.</w:t>
            </w:r>
          </w:p>
        </w:tc>
        <w:tc>
          <w:tcPr>
            <w:tcW w:type="dxa" w:w="2232"/>
            <w:vAlign w:val="center"/>
          </w:tcPr>
          <w:p>
            <w:pPr>
              <w:jc w:val="left"/>
            </w:pPr>
            <w:r>
              <w:rPr>
                <w:sz w:val="16"/>
              </w:rPr>
              <w:t>Not an exhaustive preconditioner comparison.</w:t>
            </w:r>
          </w:p>
        </w:tc>
      </w:tr>
      <w:tr>
        <w:trPr>
          <w:cantSplit/>
        </w:trPr>
        <w:tc>
          <w:tcPr>
            <w:tcW w:type="dxa" w:w="2088"/>
            <w:vAlign w:val="center"/>
          </w:tcPr>
          <w:p>
            <w:pPr>
              <w:jc w:val="left"/>
            </w:pPr>
            <w:r>
              <w:rPr>
                <w:sz w:val="16"/>
              </w:rPr>
              <w:t>ILU(0) cost split</w:t>
            </w:r>
          </w:p>
        </w:tc>
        <w:tc>
          <w:tcPr>
            <w:tcW w:type="dxa" w:w="2448"/>
            <w:vAlign w:val="center"/>
          </w:tcPr>
          <w:p>
            <w:pPr>
              <w:jc w:val="left"/>
            </w:pPr>
            <w:r>
              <w:rPr>
                <w:sz w:val="16"/>
              </w:rPr>
              <w:t>1A63 profile: 5.15 s setup, 6.37 s total application, 151.9 s p4 matvec, 312.6 s wall</w:t>
            </w:r>
          </w:p>
        </w:tc>
        <w:tc>
          <w:tcPr>
            <w:tcW w:type="dxa" w:w="3456"/>
            <w:vAlign w:val="center"/>
          </w:tcPr>
          <w:p>
            <w:pPr>
              <w:jc w:val="left"/>
            </w:pPr>
            <w:r>
              <w:rPr>
                <w:sz w:val="16"/>
              </w:rPr>
              <w:t>The ILU(0) overhead is small relative to the measured solve cost in this CPU workflow.</w:t>
            </w:r>
          </w:p>
        </w:tc>
        <w:tc>
          <w:tcPr>
            <w:tcW w:type="dxa" w:w="2232"/>
            <w:vAlign w:val="center"/>
          </w:tcPr>
          <w:p>
            <w:pPr>
              <w:jc w:val="left"/>
            </w:pPr>
            <w:r>
              <w:rPr>
                <w:sz w:val="16"/>
              </w:rPr>
              <w:t>Larger-panel setup and factor-memory scaling remain open.</w:t>
            </w:r>
          </w:p>
        </w:tc>
      </w:tr>
      <w:tr>
        <w:trPr>
          <w:cantSplit/>
        </w:trPr>
        <w:tc>
          <w:tcPr>
            <w:tcW w:type="dxa" w:w="2088"/>
            <w:vAlign w:val="center"/>
          </w:tcPr>
          <w:p>
            <w:pPr>
              <w:jc w:val="left"/>
            </w:pPr>
            <w:r>
              <w:rPr>
                <w:sz w:val="16"/>
              </w:rPr>
              <w:t>Geometry guard</w:t>
            </w:r>
          </w:p>
        </w:tc>
        <w:tc>
          <w:tcPr>
            <w:tcW w:type="dxa" w:w="2448"/>
            <w:vAlign w:val="center"/>
          </w:tcPr>
          <w:p>
            <w:pPr>
              <w:jc w:val="left"/>
            </w:pPr>
            <w:r>
              <w:rPr>
                <w:sz w:val="16"/>
              </w:rPr>
              <w:t>Six-protein guard-on/guard-off runs</w:t>
            </w:r>
          </w:p>
        </w:tc>
        <w:tc>
          <w:tcPr>
            <w:tcW w:type="dxa" w:w="3456"/>
            <w:vAlign w:val="center"/>
          </w:tcPr>
          <w:p>
            <w:pPr>
              <w:jc w:val="left"/>
            </w:pPr>
            <w:r>
              <w:rPr>
                <w:sz w:val="16"/>
              </w:rPr>
              <w:t>Guard-off keeps GMRES convergence but fails 1A63 sampled audit (5.18e-2); guard-on reduces the 1A63 audit to 2.53e-3.</w:t>
            </w:r>
          </w:p>
        </w:tc>
        <w:tc>
          <w:tcPr>
            <w:tcW w:type="dxa" w:w="2232"/>
            <w:vAlign w:val="center"/>
          </w:tcPr>
          <w:p>
            <w:pPr>
              <w:jc w:val="left"/>
            </w:pPr>
            <w:r>
              <w:rPr>
                <w:sz w:val="16"/>
              </w:rPr>
              <w:t>Evidence supports the guard for this panel, not all geometries.</w:t>
            </w:r>
          </w:p>
        </w:tc>
      </w:tr>
      <w:tr>
        <w:trPr>
          <w:cantSplit/>
        </w:trPr>
        <w:tc>
          <w:tcPr>
            <w:tcW w:type="dxa" w:w="2088"/>
            <w:vAlign w:val="center"/>
          </w:tcPr>
          <w:p>
            <w:pPr>
              <w:jc w:val="left"/>
            </w:pPr>
            <w:r>
              <w:rPr>
                <w:sz w:val="16"/>
              </w:rPr>
              <w:t>Opening theta</w:t>
            </w:r>
          </w:p>
        </w:tc>
        <w:tc>
          <w:tcPr>
            <w:tcW w:type="dxa" w:w="2448"/>
            <w:vAlign w:val="center"/>
          </w:tcPr>
          <w:p>
            <w:pPr>
              <w:jc w:val="left"/>
            </w:pPr>
            <w:r>
              <w:rPr>
                <w:sz w:val="16"/>
              </w:rPr>
              <w:t>theta = 0.4, 0.5, 0.6, 0.7</w:t>
            </w:r>
          </w:p>
        </w:tc>
        <w:tc>
          <w:tcPr>
            <w:tcW w:type="dxa" w:w="3456"/>
            <w:vAlign w:val="center"/>
          </w:tcPr>
          <w:p>
            <w:pPr>
              <w:jc w:val="left"/>
            </w:pPr>
            <w:r>
              <w:rPr>
                <w:sz w:val="16"/>
              </w:rPr>
              <w:t>All four settings pass; median wall time ranges from 142.9 s to 126.2 s.</w:t>
            </w:r>
          </w:p>
        </w:tc>
        <w:tc>
          <w:tcPr>
            <w:tcW w:type="dxa" w:w="2232"/>
            <w:vAlign w:val="center"/>
          </w:tcPr>
          <w:p>
            <w:pPr>
              <w:jc w:val="left"/>
            </w:pPr>
            <w:r>
              <w:rPr>
                <w:sz w:val="16"/>
              </w:rPr>
              <w:t>theta = 0.6 is the predefined protocol value, not a global optimum.</w:t>
            </w:r>
          </w:p>
        </w:tc>
      </w:tr>
      <w:tr>
        <w:trPr>
          <w:cantSplit/>
        </w:trPr>
        <w:tc>
          <w:tcPr>
            <w:tcW w:type="dxa" w:w="2088"/>
            <w:vAlign w:val="center"/>
          </w:tcPr>
          <w:p>
            <w:pPr>
              <w:jc w:val="left"/>
            </w:pPr>
            <w:r>
              <w:rPr>
                <w:sz w:val="16"/>
              </w:rPr>
              <w:t>Expansion order</w:t>
            </w:r>
          </w:p>
        </w:tc>
        <w:tc>
          <w:tcPr>
            <w:tcW w:type="dxa" w:w="2448"/>
            <w:vAlign w:val="center"/>
          </w:tcPr>
          <w:p>
            <w:pPr>
              <w:jc w:val="left"/>
            </w:pPr>
            <w:r>
              <w:rPr>
                <w:sz w:val="16"/>
              </w:rPr>
              <w:t>p2/p3/p4/p5 rows on six proteins</w:t>
            </w:r>
          </w:p>
        </w:tc>
        <w:tc>
          <w:tcPr>
            <w:tcW w:type="dxa" w:w="3456"/>
            <w:vAlign w:val="center"/>
          </w:tcPr>
          <w:p>
            <w:pPr>
              <w:jc w:val="left"/>
            </w:pPr>
            <w:r>
              <w:t>All tested orders pass under the guard. p2 is fallback-dominated; p4 preserves far-field compression and had a lower mean wall time than the other far-compressed rows in this panel.</w:t>
            </w:r>
          </w:p>
        </w:tc>
        <w:tc>
          <w:tcPr>
            <w:tcW w:type="dxa" w:w="2232"/>
            <w:vAlign w:val="center"/>
          </w:tcPr>
          <w:p>
            <w:pPr>
              <w:jc w:val="left"/>
            </w:pPr>
            <w:r>
              <w:rPr>
                <w:sz w:val="16"/>
              </w:rPr>
              <w:t>Additional meshes and systems are needed before recommending a general p order.</w:t>
            </w:r>
          </w:p>
        </w:tc>
      </w:tr>
      <w:tr>
        <w:trPr>
          <w:cantSplit/>
        </w:trPr>
        <w:tc>
          <w:tcPr>
            <w:tcW w:type="dxa" w:w="2088"/>
            <w:vAlign w:val="center"/>
          </w:tcPr>
          <w:p>
            <w:pPr>
              <w:jc w:val="left"/>
            </w:pPr>
            <w:r>
              <w:rPr>
                <w:sz w:val="16"/>
              </w:rPr>
              <w:t>ILU neighbor cap</w:t>
            </w:r>
          </w:p>
        </w:tc>
        <w:tc>
          <w:tcPr>
            <w:tcW w:type="dxa" w:w="2448"/>
            <w:vAlign w:val="center"/>
          </w:tcPr>
          <w:p>
            <w:pPr>
              <w:jc w:val="left"/>
            </w:pPr>
            <w:r>
              <w:rPr>
                <w:sz w:val="16"/>
              </w:rPr>
              <w:t>Caps 32, 64, 128 on Barnase, 1A63, 1SH1</w:t>
            </w:r>
          </w:p>
        </w:tc>
        <w:tc>
          <w:tcPr>
            <w:tcW w:type="dxa" w:w="3456"/>
            <w:vAlign w:val="center"/>
          </w:tcPr>
          <w:p>
            <w:pPr>
              <w:jc w:val="left"/>
            </w:pPr>
            <w:r>
              <w:rPr>
                <w:sz w:val="16"/>
              </w:rPr>
              <w:t>All caps pass. Cap 64 gives the lowest mean matvec time with moderate graph size and memory in this subset.</w:t>
            </w:r>
          </w:p>
        </w:tc>
        <w:tc>
          <w:tcPr>
            <w:tcW w:type="dxa" w:w="2232"/>
            <w:vAlign w:val="center"/>
          </w:tcPr>
          <w:p>
            <w:pPr>
              <w:jc w:val="left"/>
            </w:pPr>
            <w:r>
              <w:t>A larger cap sweep and additional proteins would be needed before claiming cap optimality.</w:t>
            </w:r>
          </w:p>
        </w:tc>
      </w:tr>
      <w:tr>
        <w:trPr>
          <w:cantSplit/>
        </w:trPr>
        <w:tc>
          <w:tcPr>
            <w:tcW w:type="dxa" w:w="2088"/>
            <w:vAlign w:val="center"/>
          </w:tcPr>
          <w:p>
            <w:pPr>
              <w:jc w:val="left"/>
            </w:pPr>
            <w:r>
              <w:rPr>
                <w:sz w:val="16"/>
              </w:rPr>
              <w:t>Tail indicator</w:t>
            </w:r>
          </w:p>
        </w:tc>
        <w:tc>
          <w:tcPr>
            <w:tcW w:type="dxa" w:w="2448"/>
            <w:vAlign w:val="center"/>
          </w:tcPr>
          <w:p>
            <w:pPr>
              <w:jc w:val="left"/>
            </w:pPr>
            <w:r>
              <w:rPr>
                <w:sz w:val="16"/>
              </w:rPr>
              <w:t>Tail-on rows pass; tail-off rows stop at the guarded validator</w:t>
            </w:r>
          </w:p>
        </w:tc>
        <w:tc>
          <w:tcPr>
            <w:tcW w:type="dxa" w:w="3456"/>
            <w:vAlign w:val="center"/>
          </w:tcPr>
          <w:p>
            <w:pPr>
              <w:jc w:val="left"/>
            </w:pPr>
            <w:r>
              <w:rPr>
                <w:sz w:val="16"/>
              </w:rPr>
              <w:t>Tail refinement is part of the reported workflow.</w:t>
            </w:r>
          </w:p>
        </w:tc>
        <w:tc>
          <w:tcPr>
            <w:tcW w:type="dxa" w:w="2232"/>
            <w:vAlign w:val="center"/>
          </w:tcPr>
          <w:p>
            <w:pPr>
              <w:jc w:val="left"/>
            </w:pPr>
            <w:r>
              <w:rPr>
                <w:sz w:val="16"/>
              </w:rPr>
              <w:t>A deliberately relaxed tail-off numerical run would be needed to isolate the tail term alone.</w:t>
            </w:r>
          </w:p>
        </w:tc>
      </w:tr>
    </w:tbl>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commentRangeStart w:id="4"/>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The reported p4 policy is retained because it passes the audit while preserving far-field compression in the current panel; no general p-order optimum is implied.</w:t>
      </w:r>
      <w:commentRangeEnd w:id="4"/>
      <w:r>
        <w:commentReference w:id="4"/>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p>
      <w:pPr/>
      <w:r>
        <w:t>[12] B. Honig and A. Nicholls, Classical electrostatics in biology and chemistry, Science 268, 1144-1149, 1995.</w:t>
      </w:r>
    </w:p>
    <w:p>
      <w:pPr/>
      <w:r>
        <w:t>[13] A. H. Juffer, E. F. F. Botta, B. A. M. van Keulen, A. van der Ploeg, and H. J. C. Berendsen, The electric potential of a macromolecule in a solvent: A fundamental approach, Journal of Computational Physics 97, 144-171, 1991.</w:t>
      </w:r>
    </w:p>
    <w:p>
      <w:pPr/>
      <w:r>
        <w:t>[14] N. A. Baker, D. Sept, S. Joseph, M. J. Holst, and J. A. McCammon, Electrostatics of nanosystems: application to microtubules and the ribosome, Proceedings of the National Academy of Sciences of the United States of America 98, 10037-10041, 2001.</w:t>
      </w:r>
    </w:p>
    <w:p>
      <w:pPr/>
      <w:r>
        <w:t>[15] Y. Saad, Iterative Methods for Sparse Linear Systems, 2nd ed., Society for Industrial and Applied Mathematics, Philadelphia, 2003.</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comments.xml><?xml version="1.0" encoding="utf-8"?>
<w:comments xmlns:w="http://schemas.openxmlformats.org/wordprocessingml/2006/main">
  <w:comment w:id="0" w:author="Author action" w:date="2026-06-29T04:41:41Z">
    <w:p>
      <w:r>
        <w:t>ACTION: No additional APBS calculation is required for the JCP framing here. Keep APBS as grid-solver context only. Before submission, archive the APBS input files/logs/grid sizes used for Fig. S2 so the comparison is auditable.</w:t>
      </w:r>
    </w:p>
  </w:comment>
  <w:comment w:id="1" w:author="Author action" w:date="2026-06-29T04:41:41Z">
    <w:p>
      <w:r>
        <w:t>OPTIONAL BUT RECOMMENDED FOR JCP: add a small mesh/surface-density sensitivity table if time permits, e.g. 1VII and 1UBQ at two or three surface-point settings. Report panels, energy, sampled audit, iterations, wall time, and RSS. This is a strengthening calculation, not required for the bounded claim as written.</w:t>
      </w:r>
    </w:p>
  </w:comment>
  <w:comment w:id="2" w:author="Author action" w:date="2026-06-29T04:41:41Z">
    <w:p>
      <w:r>
        <w:t>OPTIONAL: the existing small dense calibration supports the sampled audit. If runtime allows, add one larger mini dense case or one additional mesh level; otherwise keep the limitation sentence unchanged.</w:t>
      </w:r>
    </w:p>
  </w:comment>
  <w:comment w:id="3" w:author="Author action" w:date="2026-06-29T04:41:41Z">
    <w:p>
      <w:r>
        <w:t>REQUIRED BEFORE SUBMISSION: replace [vX.X-manuscript], [GitHub release URL], and [Zenodo DOI] with the real tagged release and DOI. This is not a numerical calculation, but the manuscript should not be submitted with placeholders.</w:t>
      </w:r>
    </w:p>
  </w:comment>
  <w:comment w:id="4" w:author="Author action" w:date="2026-06-29T04:41:41Z">
    <w:p>
      <w:r>
        <w:t>ACTION: check that Fig. 6 values and error bars exactly match the archived CSV/logs for the p2-p5 sweep. No rerun is required unless the archived numbers differ from the figure.</w:t>
      </w:r>
    </w:p>
  </w:comment>
  <w:comment w:id="5" w:author="Author action" w:date="2026-06-29T04:41:41Z">
    <w:p>
      <w:r>
        <w:t>ACTION: check that every summary value in Table 6 matches Tables 3-5, Figure 6, and Supplementary Tables S2-S4. No new calculation is needed unless a mismatch is found.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