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73937" w14:textId="77777777" w:rsidR="000B62E7" w:rsidRDefault="00A65B0F">
      <w:pPr>
        <w:jc w:val="center"/>
      </w:pPr>
      <w:r>
        <w:rPr>
          <w:rFonts w:ascii="Times New Roman" w:hAnsi="Times New Roman"/>
          <w:sz w:val="22"/>
        </w:rPr>
        <w:t>TITAN: Guarded Cartesian FMM/M2L Boundary-Integral Poisson-Boltzmann Solves with Sparse Near-Field ILU(0) Preconditioning</w:t>
      </w:r>
    </w:p>
    <w:p w14:paraId="3E5AB165" w14:textId="77777777" w:rsidR="000B62E7" w:rsidRDefault="00A65B0F">
      <w:pPr>
        <w:jc w:val="center"/>
      </w:pPr>
      <w:r>
        <w:rPr>
          <w:rFonts w:ascii="Times New Roman" w:hAnsi="Times New Roman"/>
          <w:sz w:val="22"/>
        </w:rPr>
        <w:t>Hoang Linh Nguyen1,2,*</w:t>
      </w:r>
    </w:p>
    <w:p w14:paraId="3854554C" w14:textId="77777777" w:rsidR="000B62E7" w:rsidRDefault="00A65B0F">
      <w:pPr>
        <w:jc w:val="center"/>
      </w:pPr>
      <w:r>
        <w:rPr>
          <w:rFonts w:ascii="Times New Roman" w:hAnsi="Times New Roman"/>
          <w:sz w:val="22"/>
        </w:rPr>
        <w:t>1Institute of Fundamental and Applied Sciences, Duy Tan University, Ho Chi Minh City 700000, Vietnam</w:t>
      </w:r>
    </w:p>
    <w:p w14:paraId="165903C7" w14:textId="77777777" w:rsidR="000B62E7" w:rsidRDefault="00A65B0F">
      <w:pPr>
        <w:jc w:val="center"/>
      </w:pPr>
      <w:r>
        <w:rPr>
          <w:rFonts w:ascii="Times New Roman" w:hAnsi="Times New Roman"/>
          <w:sz w:val="22"/>
        </w:rPr>
        <w:t>2Faculty of Environmental and Natural Sciences, Duy Tan University, Da Nang 550000, Vietnam</w:t>
      </w:r>
    </w:p>
    <w:p w14:paraId="6FF2A17D" w14:textId="77777777" w:rsidR="000B62E7" w:rsidRDefault="00A65B0F">
      <w:pPr>
        <w:jc w:val="center"/>
      </w:pPr>
      <w:r>
        <w:rPr>
          <w:rFonts w:ascii="Times New Roman" w:hAnsi="Times New Roman"/>
          <w:sz w:val="22"/>
        </w:rPr>
        <w:t>*Email: nguyenhoanglinh9@duytan.edu.vn</w:t>
      </w:r>
      <w:r>
        <w:rPr>
          <w:rFonts w:ascii="Times New Roman" w:hAnsi="Times New Roman"/>
          <w:sz w:val="20"/>
        </w:rPr>
        <w:br w:type="page"/>
      </w:r>
    </w:p>
    <w:p w14:paraId="4A2A1B17" w14:textId="77777777" w:rsidR="000B62E7" w:rsidRDefault="00A65B0F">
      <w:pPr>
        <w:pStyle w:val="Heading1"/>
      </w:pPr>
      <w:r>
        <w:rPr>
          <w:rFonts w:ascii="Times New Roman" w:hAnsi="Times New Roman"/>
          <w:b/>
          <w:sz w:val="24"/>
        </w:rPr>
        <w:lastRenderedPageBreak/>
        <w:t>Abstract</w:t>
      </w:r>
    </w:p>
    <w:p w14:paraId="4C5E23BC" w14:textId="77777777" w:rsidR="000B62E7" w:rsidRDefault="00A65B0F">
      <w:pPr>
        <w:jc w:val="both"/>
      </w:pPr>
      <w:r>
        <w:t>Grid-based Poisson-Boltzmann solvers are robust and widely used, but volumetric discretization can impose substantial memory costs and approximate sharp dielectric interfaces. Boundary-integral equation (BIE) formulations avoid a volume grid by solving on the molecular surface, but this reduction in dimensionality introduces a dense, derivative-rich operator that can be difficult for Krylov solvers. We present a CPU-oriented implementation in the TITAN engine that combines guarded fourth-order Cartesian FMM/M2L evaluation with a sparse near-field ILU(0) preconditioner built from the FMM near-source graph. The preconditioner stores directly evaluated 2 x 2 coupled near-field blocks on a capped spatial-neighbor graph, while the guarded p4 operator uses algebraic and geometric acceptance checks with deterministic direct fallback for risky interactions. On the six-protein panel reported here, weakly preconditioned degree-one FMM configurations did not meet the benchmark acceptance criteria, whereas rows using near-field ILU(0) reached the GMRES stopping criterion in 128 reported iterations across all fixtures. The guarded p4 + sparse ILU(0) path retained this convergence behavior and passed sampled direct-operator audits, with a maximum sampled residual of 2.534e-3 and peak resident memory of 369.6 MB. Additional p-order and neighbor-cap sweeps support the reported p4/cap-64 setting as a reproducible operating point for the tested cases; no general optimality claim is made.</w:t>
      </w:r>
    </w:p>
    <w:p w14:paraId="528DD018" w14:textId="77777777" w:rsidR="000B62E7" w:rsidRDefault="00A65B0F">
      <w:pPr>
        <w:pStyle w:val="Heading1"/>
      </w:pPr>
      <w:r>
        <w:rPr>
          <w:rFonts w:ascii="Times New Roman" w:hAnsi="Times New Roman"/>
          <w:b/>
          <w:sz w:val="24"/>
        </w:rPr>
        <w:t>Introduction</w:t>
      </w:r>
    </w:p>
    <w:p w14:paraId="52C891AA" w14:textId="77777777" w:rsidR="000012E1" w:rsidRPr="000012E1" w:rsidRDefault="000012E1" w:rsidP="000012E1">
      <w:pPr>
        <w:jc w:val="both"/>
      </w:pPr>
      <w:r>
        <w:rPr>
          <w:rFonts w:ascii="Times New Roman" w:hAnsi="Times New Roman"/>
          <w:sz w:val="22"/>
        </w:rPr>
        <w:t>Implicit-solvent electrostatics is a standard approximation in biomolecular modeling. It replaces explicit solvent molecules with a dielectric continuum and treats ionic screening through the Poisson-Boltzmann (PB) model. Grid-based finite-difference and finite-element PB solvers remain practical and widely used, but they require volumetric discretization. As molecular size and geometric complexity increase, this volume representation can increase memory use and can make it difficult to represent the dielectric interface at the desired surface resolution.</w:t>
      </w:r>
    </w:p>
    <w:p w14:paraId="738901A5" w14:textId="77777777" w:rsidR="000012E1" w:rsidRPr="000012E1" w:rsidRDefault="000012E1" w:rsidP="000012E1">
      <w:pPr>
        <w:jc w:val="both"/>
      </w:pPr>
      <w:r>
        <w:rPr>
          <w:rFonts w:ascii="Times New Roman" w:hAnsi="Times New Roman"/>
          <w:sz w:val="22"/>
        </w:rPr>
        <w:t>Boundary-integral equation (BIE) formulations provide an alternative discretization. They move the unknowns from the three-dimensional volume to the molecular surface and therefore reduce the number of geometric degrees of freedom. The cost of this reduction is that the surface operator is dense and contains derivative-sensitive interaction channels. Direct evaluation of the dense matrix-vector product scales as O(N^2), where N is the number of surface panels. In addition, the coupled potential and normal-derivative unknowns can produce linear systems that are difficult for GMRES when near-field surface interactions are not represented effectively in the preconditioner.</w:t>
      </w:r>
    </w:p>
    <w:p w14:paraId="6A10FD71" w14:textId="77777777" w:rsidR="000012E1" w:rsidRPr="000012E1" w:rsidRDefault="000012E1" w:rsidP="000012E1">
      <w:pPr>
        <w:jc w:val="both"/>
      </w:pPr>
      <w:r>
        <w:rPr>
          <w:rFonts w:ascii="Times New Roman" w:hAnsi="Times New Roman"/>
          <w:sz w:val="22"/>
        </w:rPr>
        <w:t>Fast summation methods address the arithmetic cost of dense BIE matrix-vector products. Treecodes and the Fast Multipole Method (FMM) [2] have been used successfully in boundary-integral PB solvers. Relevant prior work includes the TABI formulation [10], preconditioning studies for TABI [11], the Cartesian Galerkin FMM approach in FAGBI [1], and the GPU-oriented TABI-PB 2.0 implementation [9]. These methods establish that fast operator evaluation is feasible. The remaining issue studied here is how to combine fast evaluation with a preconditioner that is strong enough for derivative-rich molecular-surface operators.</w:t>
      </w:r>
    </w:p>
    <w:p w14:paraId="28D7C479" w14:textId="77777777" w:rsidR="000012E1" w:rsidRPr="000012E1" w:rsidRDefault="000012E1" w:rsidP="000012E1">
      <w:pPr>
        <w:jc w:val="both"/>
      </w:pPr>
      <w:r>
        <w:rPr>
          <w:rFonts w:ascii="Times New Roman" w:hAnsi="Times New Roman"/>
          <w:sz w:val="22"/>
        </w:rPr>
        <w:t>This work focuses on that preconditioning problem. Standard diagonal or strictly leaf-local block preconditioners are inexpensive, but they omit many strong cross-leaf near-field couplings created by molecular grooves, pockets, and closely opposed surface patches. ILU(0) provides a way to approximate local elimination without introducing fill outside a prescribed sparsity pattern. In TITAN, the sparsity pattern is derived from the same FMM near-source graph that identifies spatially adjacent panels. This graph-based construction lets the preconditioner retain local electrostatic connectivity without forming the full dense matrix.</w:t>
      </w:r>
    </w:p>
    <w:p w14:paraId="7899296D" w14:textId="77777777" w:rsidR="000012E1" w:rsidRPr="000012E1" w:rsidRDefault="000012E1" w:rsidP="000012E1">
      <w:pPr>
        <w:jc w:val="both"/>
      </w:pPr>
      <w:r>
        <w:rPr>
          <w:rFonts w:ascii="Times New Roman" w:hAnsi="Times New Roman"/>
          <w:sz w:val="22"/>
        </w:rPr>
        <w:t>We therefore evaluate an analytical FMM/M2L boundary-integral path in TITAN with a narrow scope: Krylov stabilization, guarded far-field evaluation, and direct-operator auditability on CPU hardware. The goal is not to replace production grid solvers or to claim wall-time superiority over GPU implementations. The goal is to establish whether a guarded Cartesian FMM/M2L operator and a sparse near-field ILU(0) preconditioner can produce reproducible, audited solves for representative protein surfaces.</w:t>
      </w:r>
    </w:p>
    <w:p w14:paraId="3007D7BE" w14:textId="0B007ADE" w:rsidR="000B62E7" w:rsidRDefault="000012E1">
      <w:pPr>
        <w:jc w:val="both"/>
      </w:pPr>
      <w:r>
        <w:rPr>
          <w:rFonts w:ascii="Times New Roman" w:hAnsi="Times New Roman"/>
          <w:sz w:val="22"/>
        </w:rPr>
        <w:t>The implementation uses a fourth-order Cartesian Taylor expansion (p = 4), compressed Green-function jets, deterministic direct fallback for rejected far interactions, and packed AVX2 direct evaluation for demoted work. Accuracy is assessed with sampled direct-operator residuals rather than only internal GMRES residuals. This distinction is important because a Krylov solve can converge relative to an approximate operator while still disagreeing with the dense boundary-integral operator that the fast method is intended to approximate. The p4/cap-64 setting is reported as a tested protocol choice, not as a universal parameter recommendation.</w:t>
      </w:r>
    </w:p>
    <w:p w14:paraId="37EC63D3" w14:textId="77777777" w:rsidR="000B62E7" w:rsidRDefault="00A65B0F">
      <w:pPr>
        <w:pStyle w:val="Heading1"/>
      </w:pPr>
      <w:r>
        <w:rPr>
          <w:rFonts w:ascii="Times New Roman" w:hAnsi="Times New Roman"/>
          <w:b/>
          <w:sz w:val="24"/>
        </w:rPr>
        <w:t>Methods</w:t>
      </w:r>
    </w:p>
    <w:p w14:paraId="5309CE33" w14:textId="3A3861DB" w:rsidR="00DE5574" w:rsidRDefault="00DE5574">
      <w:pPr>
        <w:jc w:val="both"/>
        <w:rPr>
          <w:lang w:val="vi-VN"/>
        </w:rPr>
      </w:pPr>
      <w:r>
        <w:rPr>
          <w:rFonts w:ascii="Times New Roman" w:hAnsi="Times New Roman"/>
          <w:b w:val="0"/>
          <w:sz w:val="22"/>
        </w:rPr>
        <w:t>Figure 1 summarizes the boundary-integral Poisson-Boltzmann workflow used in this manuscript. The numerical pipeline has six stages: molecular structure preparation, surface discretization, coupled BIE operator construction, fast matrix-vector evaluation, Krylov preconditioning and solution, and independent verification. This work does not introduce new molecular preparation chemistry or a new surface-definition model. The contribution is concentrated in the operator, solver, and verification stages: guarded Cartesian p4 FMM/M2L for the dense K1-K4 surface operator, graph-derived sparse near-field ILU(0) for Krylov stabilization, packed AVX2 fallback for rejected interactions, and sampled direct-operator checks.</w:t>
      </w:r>
    </w:p>
    <w:p w14:paraId="30BE046E" w14:textId="240AE762" w:rsidR="00623826" w:rsidRPr="00DE5574" w:rsidRDefault="00623826">
      <w:pPr>
        <w:pStyle w:val="Heading2"/>
        <w:jc w:val="both"/>
        <w:rPr>
          <w:lang w:val="vi-VN"/>
        </w:rPr>
      </w:pPr>
      <w:r>
        <w:rPr>
          <w:rFonts w:ascii="Times New Roman" w:hAnsi="Times New Roman"/>
          <w:b/>
          <w:sz w:val="22"/>
        </w:rPr>
        <w:t>2.1. Boundary-Integral Formulation and Coupled Surface Operator</w:t>
      </w:r>
    </w:p>
    <w:p w14:paraId="1CC73DB9" w14:textId="77777777" w:rsidR="00623826" w:rsidRPr="00623826" w:rsidRDefault="00623826" w:rsidP="00623826">
      <w:pPr>
        <w:jc w:val="both"/>
      </w:pPr>
      <w:r>
        <w:rPr>
          <w:rFonts w:ascii="Times New Roman" w:hAnsi="Times New Roman"/>
          <w:sz w:val="22"/>
        </w:rPr>
        <w:t>TITAN solves a coupled boundary-integral Poisson-Boltzmann system on triangulated molecular surfaces. Following the TABI boundary-integral formulation [10], each panel i carries the unknown vector u_i = (phi_i, partial_n phi_i)^T, where phi is the surface potential and partial_n phi is its normal derivative. The operator contains four analytical interaction channels, denoted K1 through K4, that couple the potential and normal-derivative rows. The same sign convention is used across the direct, degree-one accelerated, and guarded high-order paths. GMRES is used to solve the resulting nonsymmetric coupled linear system [3].</w:t>
      </w:r>
    </w:p>
    <w:p w14:paraId="1DC6D523" w14:textId="77777777" w:rsidR="006328A9" w:rsidRPr="006328A9" w:rsidRDefault="006328A9" w:rsidP="006328A9">
      <w:pPr>
        <w:jc w:val="both"/>
      </w:pPr>
      <w:r>
        <w:rPr>
          <w:rFonts w:ascii="Times New Roman" w:hAnsi="Times New Roman"/>
          <w:sz w:val="22"/>
        </w:rPr>
        <w:t>The local block form used throughout the implementation is:</w:t>
      </w:r>
    </w:p>
    <w:p>
      <w:pPr>
        <w:pStyle w:val="FirstParagraph"/>
      </w:pPr>
      <m:oMathPara>
        <m:oMathParaPr>
          <m:jc m:val="center"/>
        </m:oMathParaPr>
        <m:oMath>
          <m:sSub>
            <m:e>
              <m:r>
                <m:t>A</m:t>
              </m:r>
            </m:e>
            <m:sub>
              <m:r>
                <m:t>i</m:t>
              </m:r>
              <m:r>
                <m:t>j</m:t>
              </m:r>
            </m:sub>
          </m:sSub>
          <m:r>
            <m:rPr>
              <m:sty m:val="p"/>
            </m:rPr>
            <m:t>=</m:t>
          </m:r>
          <m:d>
            <m:dPr>
              <m:begChr m:val="["/>
              <m:endChr m:val="]"/>
              <m:sepChr m:val=""/>
              <m:grow/>
            </m:dPr>
            <m:e>
              <m:m>
                <m:mPr>
                  <m:baseJc m:val="center"/>
                  <m:plcHide m:val="on"/>
                  <m:mcs>
                    <m:mc>
                      <m:mcPr>
                        <m:mcJc m:val="center"/>
                        <m:count m:val="1"/>
                      </m:mcPr>
                    </m:mc>
                    <m:mc>
                      <m:mcPr>
                        <m:mcJc m:val="center"/>
                        <m:count m:val="1"/>
                      </m:mcPr>
                    </m:mc>
                  </m:mcs>
                </m:mPr>
                <m:mr>
                  <m:e>
                    <m:sSub>
                      <m:e>
                        <m:r>
                          <m:t>δ</m:t>
                        </m:r>
                      </m:e>
                      <m:sub>
                        <m:r>
                          <m:t>i</m:t>
                        </m:r>
                        <m:r>
                          <m:t>j</m:t>
                        </m:r>
                      </m:sub>
                    </m:sSub>
                    <m:sSub>
                      <m:e>
                        <m:r>
                          <m:t>c</m:t>
                        </m:r>
                      </m:e>
                      <m:sub>
                        <m:r>
                          <m:t>ϕ</m:t>
                        </m:r>
                      </m:sub>
                    </m:sSub>
                    <m:r>
                      <m:rPr>
                        <m:sty m:val="p"/>
                      </m:rPr>
                      <m:t>−</m:t>
                    </m:r>
                    <m:r>
                      <m:t>K</m:t>
                    </m:r>
                    <m:sSub>
                      <m:e>
                        <m:r>
                          <m:t>2</m:t>
                        </m:r>
                      </m:e>
                      <m:sub>
                        <m:r>
                          <m:t>i</m:t>
                        </m:r>
                        <m:r>
                          <m:t>j</m:t>
                        </m:r>
                      </m:sub>
                    </m:sSub>
                  </m:e>
                  <m:e>
                    <m:r>
                      <m:rPr>
                        <m:sty m:val="p"/>
                      </m:rPr>
                      <m:t>−</m:t>
                    </m:r>
                    <m:r>
                      <m:t>K</m:t>
                    </m:r>
                    <m:sSub>
                      <m:e>
                        <m:r>
                          <m:t>1</m:t>
                        </m:r>
                      </m:e>
                      <m:sub>
                        <m:r>
                          <m:t>i</m:t>
                        </m:r>
                        <m:r>
                          <m:t>j</m:t>
                        </m:r>
                      </m:sub>
                    </m:sSub>
                  </m:e>
                </m:mr>
                <m:mr>
                  <m:e>
                    <m:r>
                      <m:rPr>
                        <m:sty m:val="p"/>
                      </m:rPr>
                      <m:t>−</m:t>
                    </m:r>
                    <m:r>
                      <m:t>K</m:t>
                    </m:r>
                    <m:sSub>
                      <m:e>
                        <m:r>
                          <m:t>4</m:t>
                        </m:r>
                      </m:e>
                      <m:sub>
                        <m:r>
                          <m:t>i</m:t>
                        </m:r>
                        <m:r>
                          <m:t>j</m:t>
                        </m:r>
                      </m:sub>
                    </m:sSub>
                  </m:e>
                  <m:e>
                    <m:sSub>
                      <m:e>
                        <m:r>
                          <m:t>δ</m:t>
                        </m:r>
                      </m:e>
                      <m:sub>
                        <m:r>
                          <m:t>i</m:t>
                        </m:r>
                        <m:r>
                          <m:t>j</m:t>
                        </m:r>
                      </m:sub>
                    </m:sSub>
                    <m:sSub>
                      <m:e>
                        <m:r>
                          <m:t>c</m:t>
                        </m:r>
                      </m:e>
                      <m:sub>
                        <m:r>
                          <m:t>ϕ</m:t>
                        </m:r>
                        <m:r>
                          <m:t>n</m:t>
                        </m:r>
                      </m:sub>
                    </m:sSub>
                    <m:r>
                      <m:rPr>
                        <m:sty m:val="p"/>
                      </m:rPr>
                      <m:t>−</m:t>
                    </m:r>
                    <m:r>
                      <m:t>K</m:t>
                    </m:r>
                    <m:sSub>
                      <m:e>
                        <m:r>
                          <m:t>3</m:t>
                        </m:r>
                      </m:e>
                      <m:sub>
                        <m:r>
                          <m:t>i</m:t>
                        </m:r>
                        <m:r>
                          <m:t>j</m:t>
                        </m:r>
                      </m:sub>
                    </m:sSub>
                  </m:e>
                </m:mr>
              </m:m>
            </m:e>
          </m:d>
        </m:oMath>
      </m:oMathPara>
    </w:p>
    <w:p w14:paraId="35BA643E" w14:textId="77777777" w:rsidR="006328A9" w:rsidRPr="006328A9" w:rsidRDefault="006328A9" w:rsidP="006328A9">
      <w:pPr>
        <w:jc w:val="both"/>
      </w:pPr>
      <w:r>
        <w:rPr>
          <w:rFonts w:ascii="Times New Roman" w:hAnsi="Times New Roman"/>
          <w:sz w:val="22"/>
        </w:rPr>
        <w:t>Here j denotes a direct near-neighbor panel, a guarded direct-fallback panel, or a far-cell contribution accumulated by moment-to-local translation. The matrix-vector product is applied as A_phi x = c_phi phi - Phi_K and A_phi_n x = c_phi_n phi_n - Phi_n,K.</w:t>
      </w:r>
    </w:p>
    <w:p w14:paraId="4AA481F4" w14:textId="77777777" w:rsidR="006328A9" w:rsidRPr="006328A9" w:rsidRDefault="006328A9" w:rsidP="006328A9">
      <w:pPr>
        <w:jc w:val="both"/>
      </w:pPr>
      <w:r>
        <w:rPr>
          <w:rFonts w:ascii="Times New Roman" w:hAnsi="Times New Roman"/>
          <w:sz w:val="22"/>
        </w:rPr>
        <w:t>Near interactions are evaluated with TITAN's analytic-singular kernel so that self- and adjacent-panel terms are not approximated by centroid-only far-field formulas. This separation is important because near terms dominate the local truncation error when singular kernels are treated incorrectly. Duffy-adaptive quadrature remains available as a diagnostic option [5], but the manuscript-facing near-term policy uses the analytic-singular path; far terms are controlled by high-order expansion, geometric acceptance, and direct fallback.</w:t>
      </w:r>
    </w:p>
    <w:p w14:paraId="241A48E8" w14:textId="77777777" w:rsidR="006328A9" w:rsidRPr="006328A9" w:rsidRDefault="006328A9" w:rsidP="006328A9">
      <w:pPr>
        <w:pStyle w:val="Heading2"/>
        <w:jc w:val="both"/>
        <w:rPr>
          <w:b/>
          <w:bCs/>
        </w:rPr>
      </w:pPr>
      <w:r>
        <w:rPr>
          <w:rFonts w:ascii="Times New Roman" w:hAnsi="Times New Roman"/>
          <w:b/>
          <w:sz w:val="22"/>
        </w:rPr>
        <w:t>2.2. Analytical Cartesian FMM/M2L Expansion</w:t>
      </w:r>
    </w:p>
    <w:p w14:paraId="1F6BA8E7" w14:textId="77777777" w:rsidR="006328A9" w:rsidRPr="006328A9" w:rsidRDefault="006328A9" w:rsidP="006328A9">
      <w:pPr>
        <w:jc w:val="both"/>
      </w:pPr>
      <w:r>
        <w:rPr>
          <w:rFonts w:ascii="Times New Roman" w:hAnsi="Times New Roman"/>
          <w:sz w:val="22"/>
        </w:rPr>
        <w:t>The guarded far-field operator uses fourth-order (p = 4) Cartesian source moments and target-local M2L/L2P evaluation. Accepted far-cell contributions are assembled channel by channel from Green-function jets and the required source and target derivatives. The derivative channels receive particular attention because normal derivatives and dielectric contrast can amplify far-field truncation errors.</w:t>
      </w:r>
    </w:p>
    <w:p w14:paraId="003B5760" w14:textId="77777777" w:rsidR="006328A9" w:rsidRPr="006328A9" w:rsidRDefault="006328A9" w:rsidP="006328A9">
      <w:pPr>
        <w:jc w:val="both"/>
      </w:pPr>
      <w:r>
        <w:rPr>
          <w:rFonts w:ascii="Times New Roman" w:hAnsi="Times New Roman"/>
          <w:sz w:val="22"/>
        </w:rPr>
        <w:t>TITAN uses Cartesian Taylor expansions rather than spherical harmonics. This is an implementation choice aimed at explicit derivative bookkeeping, cache-local contractions, and direct reuse of Green-function jet coefficients in the K1-K4 channels. For a source cell C with center c, Cartesian moments up to |alpha| &lt;= 4 are formed as:</w:t>
      </w:r>
    </w:p>
    <w:p>
      <w:pPr>
        <w:pStyle w:val="FirstParagraph"/>
      </w:pPr>
      <m:oMathPara>
        <m:oMathParaPr>
          <m:jc m:val="center"/>
        </m:oMathParaPr>
        <m:oMath>
          <m:sSubSup>
            <m:e>
              <m:r>
                <m:t>M</m:t>
              </m:r>
            </m:e>
            <m:sub>
              <m:r>
                <m:t>α</m:t>
              </m:r>
            </m:sub>
            <m:sup>
              <m:r>
                <m:t>ϕ</m:t>
              </m:r>
              <m:r>
                <m:t>n</m:t>
              </m:r>
            </m:sup>
          </m:sSubSup>
          <m:r>
            <m:rPr>
              <m:sty m:val="p"/>
            </m:rPr>
            <m:t>=</m:t>
          </m:r>
          <m:nary>
            <m:naryPr>
              <m:chr m:val="∑"/>
              <m:limLoc m:val="undOvr"/>
              <m:subHide m:val="off"/>
              <m:supHide m:val="on"/>
            </m:naryPr>
            <m:sub>
              <m:r>
                <m:t>j</m:t>
              </m:r>
              <m:r>
                <m:rPr>
                  <m:sty m:val="p"/>
                </m:rPr>
                <m:t>∈</m:t>
              </m:r>
              <m:r>
                <m:t>C</m:t>
              </m:r>
            </m:sub>
            <m:sup>
              <m:r>
                <m:t>​</m:t>
              </m:r>
            </m:sup>
            <m:e>
              <m:sSub>
                <m:e>
                  <m:r>
                    <m:t>A</m:t>
                  </m:r>
                </m:e>
                <m:sub>
                  <m:r>
                    <m:t>j</m:t>
                  </m:r>
                </m:sub>
              </m:sSub>
            </m:e>
          </m:nary>
          <m:r>
            <m:t>ϕ</m:t>
          </m:r>
          <m:sSub>
            <m:e>
              <m:r>
                <m:t>n</m:t>
              </m:r>
            </m:e>
            <m:sub>
              <m:r>
                <m:t>j</m:t>
              </m:r>
            </m:sub>
          </m:sSub>
          <m:sSup>
            <m:e>
              <m:d>
                <m:dPr>
                  <m:begChr m:val="("/>
                  <m:endChr m:val=")"/>
                  <m:sepChr m:val=""/>
                  <m:grow/>
                </m:dPr>
                <m:e>
                  <m:sSub>
                    <m:e>
                      <m:r>
                        <m:rPr>
                          <m:sty m:val="b"/>
                        </m:rPr>
                        <m:t>y</m:t>
                      </m:r>
                    </m:e>
                    <m:sub>
                      <m:r>
                        <m:t>j</m:t>
                      </m:r>
                    </m:sub>
                  </m:sSub>
                  <m:r>
                    <m:rPr>
                      <m:sty m:val="p"/>
                    </m:rPr>
                    <m:t>−</m:t>
                  </m:r>
                  <m:r>
                    <m:rPr>
                      <m:sty m:val="b"/>
                    </m:rPr>
                    <m:t>c</m:t>
                  </m:r>
                </m:e>
              </m:d>
            </m:e>
            <m:sup>
              <m:r>
                <m:t>α</m:t>
              </m:r>
            </m:sup>
          </m:sSup>
        </m:oMath>
      </m:oMathPara>
    </w:p>
    <w:p>
      <w:pPr>
        <w:pStyle w:val="FirstParagraph"/>
      </w:pPr>
      <m:oMathPara>
        <m:oMathParaPr>
          <m:jc m:val="center"/>
        </m:oMathParaPr>
        <m:oMath>
          <m:sSubSup>
            <m:e>
              <m:r>
                <m:t>M</m:t>
              </m:r>
            </m:e>
            <m:sub>
              <m:r>
                <m:t>α</m:t>
              </m:r>
              <m:r>
                <m:rPr>
                  <m:sty m:val="p"/>
                </m:rPr>
                <m:t>,</m:t>
              </m:r>
              <m:r>
                <m:t>d</m:t>
              </m:r>
            </m:sub>
            <m:sup>
              <m:r>
                <m:t>ϕ</m:t>
              </m:r>
            </m:sup>
          </m:sSubSup>
          <m:r>
            <m:rPr>
              <m:sty m:val="p"/>
            </m:rPr>
            <m:t>=</m:t>
          </m:r>
          <m:nary>
            <m:naryPr>
              <m:chr m:val="∑"/>
              <m:limLoc m:val="undOvr"/>
              <m:subHide m:val="off"/>
              <m:supHide m:val="on"/>
            </m:naryPr>
            <m:sub>
              <m:r>
                <m:t>j</m:t>
              </m:r>
              <m:r>
                <m:rPr>
                  <m:sty m:val="p"/>
                </m:rPr>
                <m:t>∈</m:t>
              </m:r>
              <m:r>
                <m:t>C</m:t>
              </m:r>
            </m:sub>
            <m:sup>
              <m:r>
                <m:t>​</m:t>
              </m:r>
            </m:sup>
            <m:e>
              <m:sSub>
                <m:e>
                  <m:r>
                    <m:t>A</m:t>
                  </m:r>
                </m:e>
                <m:sub>
                  <m:r>
                    <m:t>j</m:t>
                  </m:r>
                </m:sub>
              </m:sSub>
            </m:e>
          </m:nary>
          <m:sSub>
            <m:e>
              <m:r>
                <m:t>ϕ</m:t>
              </m:r>
            </m:e>
            <m:sub>
              <m:r>
                <m:t>j</m:t>
              </m:r>
            </m:sub>
          </m:sSub>
          <m:sSub>
            <m:e>
              <m:r>
                <m:t>n</m:t>
              </m:r>
            </m:e>
            <m:sub>
              <m:r>
                <m:t>j</m:t>
              </m:r>
              <m:r>
                <m:rPr>
                  <m:sty m:val="p"/>
                </m:rPr>
                <m:t>,</m:t>
              </m:r>
              <m:r>
                <m:t>d</m:t>
              </m:r>
            </m:sub>
          </m:sSub>
          <m:sSup>
            <m:e>
              <m:d>
                <m:dPr>
                  <m:begChr m:val="("/>
                  <m:endChr m:val=")"/>
                  <m:sepChr m:val=""/>
                  <m:grow/>
                </m:dPr>
                <m:e>
                  <m:sSub>
                    <m:e>
                      <m:r>
                        <m:rPr>
                          <m:sty m:val="b"/>
                        </m:rPr>
                        <m:t>y</m:t>
                      </m:r>
                    </m:e>
                    <m:sub>
                      <m:r>
                        <m:t>j</m:t>
                      </m:r>
                    </m:sub>
                  </m:sSub>
                  <m:r>
                    <m:rPr>
                      <m:sty m:val="p"/>
                    </m:rPr>
                    <m:t>−</m:t>
                  </m:r>
                  <m:r>
                    <m:rPr>
                      <m:sty m:val="b"/>
                    </m:rPr>
                    <m:t>c</m:t>
                  </m:r>
                </m:e>
              </m:d>
            </m:e>
            <m:sup>
              <m:r>
                <m:t>α</m:t>
              </m:r>
            </m:sup>
          </m:sSup>
        </m:oMath>
      </m:oMathPara>
    </w:p>
    <w:p w14:paraId="465F7B7C" w14:textId="77777777" w:rsidR="006328A9" w:rsidRPr="006328A9" w:rsidRDefault="006328A9" w:rsidP="006328A9">
      <w:pPr>
        <w:jc w:val="both"/>
      </w:pPr>
      <w:r>
        <w:rPr>
          <w:rFonts w:ascii="Times New Roman" w:hAnsi="Times New Roman"/>
          <w:sz w:val="22"/>
        </w:rPr>
        <w:t>For a target leaf centered at t, the local coefficient for multi-index beta is accumulated via the M2L translation:</w:t>
      </w:r>
    </w:p>
    <w:p>
      <w:pPr>
        <w:pStyle w:val="FirstParagraph"/>
      </w:pPr>
      <m:oMathPara>
        <m:oMathParaPr>
          <m:jc m:val="center"/>
        </m:oMathParaPr>
        <m:oMath>
          <m:sSub>
            <m:e>
              <m:r>
                <m:t>L</m:t>
              </m:r>
            </m:e>
            <m:sub>
              <m:r>
                <m:t>β</m:t>
              </m:r>
            </m:sub>
          </m:sSub>
          <m:r>
            <m:rPr>
              <m:sty m:val="p"/>
            </m:rPr>
            <m:t>=</m:t>
          </m:r>
          <m:sSup>
            <m:e>
              <m:d>
                <m:dPr>
                  <m:begChr m:val="("/>
                  <m:endChr m:val=")"/>
                  <m:sepChr m:val=""/>
                  <m:grow/>
                </m:dPr>
                <m:e>
                  <m:r>
                    <m:rPr>
                      <m:sty m:val="p"/>
                    </m:rPr>
                    <m:t>−</m:t>
                  </m:r>
                  <m:r>
                    <m:t>1</m:t>
                  </m:r>
                </m:e>
              </m:d>
            </m:e>
            <m:sup>
              <m:d>
                <m:dPr>
                  <m:begChr m:val="|"/>
                  <m:endChr m:val="|"/>
                  <m:sepChr m:val=""/>
                  <m:grow/>
                </m:dPr>
                <m:e>
                  <m:r>
                    <m:t>β</m:t>
                  </m:r>
                </m:e>
              </m:d>
            </m:sup>
          </m:sSup>
          <m:nary>
            <m:naryPr>
              <m:chr m:val="∑"/>
              <m:limLoc m:val="undOvr"/>
              <m:subHide m:val="off"/>
              <m:supHide m:val="on"/>
            </m:naryPr>
            <m:sub>
              <m:d>
                <m:dPr>
                  <m:begChr m:val="|"/>
                  <m:endChr m:val="|"/>
                  <m:sepChr m:val=""/>
                  <m:grow/>
                </m:dPr>
                <m:e>
                  <m:r>
                    <m:t>α</m:t>
                  </m:r>
                </m:e>
              </m:d>
              <m:r>
                <m:rPr>
                  <m:sty m:val="p"/>
                </m:rPr>
                <m:t>≤</m:t>
              </m:r>
              <m:r>
                <m:t>4</m:t>
              </m:r>
            </m:sub>
            <m:sup>
              <m:r>
                <m:t>​</m:t>
              </m:r>
            </m:sup>
            <m:e>
              <m:sSub>
                <m:e>
                  <m:r>
                    <m:t>M</m:t>
                  </m:r>
                </m:e>
                <m:sub>
                  <m:r>
                    <m:t>α</m:t>
                  </m:r>
                </m:sub>
              </m:sSub>
            </m:e>
          </m:nary>
          <m:d>
            <m:dPr>
              <m:begChr m:val="("/>
              <m:endChr m:val=")"/>
              <m:sepChr m:val=""/>
              <m:grow/>
            </m:dPr>
            <m:e>
              <m:f>
                <m:fPr>
                  <m:type m:val="noBar"/>
                </m:fPr>
                <m:num>
                  <m:r>
                    <m:t>α</m:t>
                  </m:r>
                  <m:r>
                    <m:rPr>
                      <m:sty m:val="p"/>
                    </m:rPr>
                    <m:t>+</m:t>
                  </m:r>
                  <m:r>
                    <m:t>β</m:t>
                  </m:r>
                </m:num>
                <m:den>
                  <m:r>
                    <m:t>α</m:t>
                  </m:r>
                </m:den>
              </m:f>
            </m:e>
          </m:d>
          <m:sSub>
            <m:e>
              <m:r>
                <m:t>C</m:t>
              </m:r>
            </m:e>
            <m:sub>
              <m:r>
                <m:t>α</m:t>
              </m:r>
              <m:r>
                <m:rPr>
                  <m:sty m:val="p"/>
                </m:rPr>
                <m:t>+</m:t>
              </m:r>
              <m:r>
                <m:t>β</m:t>
              </m:r>
            </m:sub>
          </m:sSub>
        </m:oMath>
      </m:oMathPara>
    </w:p>
    <w:p w14:paraId="23A0400B" w14:textId="77777777" w:rsidR="006328A9" w:rsidRPr="006328A9" w:rsidRDefault="006328A9" w:rsidP="006328A9">
      <w:pPr>
        <w:jc w:val="both"/>
      </w:pPr>
      <w:r>
        <w:rPr>
          <w:rFonts w:ascii="Times New Roman" w:hAnsi="Times New Roman"/>
          <w:sz w:val="22"/>
        </w:rPr>
      </w:r>
      <w:r>
        <w:t>Here the multi-index gamma labels the Coulomb or screened Green-function jet coefficient through degree 9. K1 and K3 use base Green jets, while K2 and K4 reconstruct source-normal derivative terms from adjacent jet coefficients during contraction. This organization avoids materializing all derivative jets separately and keeps the channel contractions localized in memory.</w:t>
      </w:r>
    </w:p>
    <w:p w14:paraId="55C5B5DE" w14:textId="77777777" w:rsidR="006328A9" w:rsidRPr="006328A9" w:rsidRDefault="006328A9" w:rsidP="006328A9">
      <w:pPr>
        <w:pStyle w:val="Heading2"/>
        <w:jc w:val="both"/>
        <w:rPr>
          <w:b/>
          <w:bCs/>
        </w:rPr>
      </w:pPr>
      <w:r>
        <w:rPr>
          <w:rFonts w:ascii="Times New Roman" w:hAnsi="Times New Roman"/>
          <w:b/>
          <w:sz w:val="22"/>
        </w:rPr>
        <w:t>2.3. Guarded Acceptance and Hardware-Aware Direct Fallback</w:t>
      </w:r>
    </w:p>
    <w:p w14:paraId="1CDEF79E" w14:textId="77777777" w:rsidR="006328A9" w:rsidRPr="006328A9" w:rsidRDefault="006328A9" w:rsidP="006328A9">
      <w:pPr>
        <w:jc w:val="both"/>
      </w:pPr>
      <w:r>
        <w:rPr>
          <w:rFonts w:ascii="Times New Roman" w:hAnsi="Times New Roman"/>
          <w:sz w:val="22"/>
        </w:rPr>
        <w:t>The guarded path does not accept far cells solely from a nominal expansion order. A static p3/p4 tail indicator first identifies algebraically risky far cells. A geometric separation guard with MAC_theta = 0.5 then rejects cell pairs that remain too close to the target region. If a cell pair violates either criterion, the source cell is split. If the violation occurs at the leaf level, the interaction is evaluated directly rather than through M2L.</w:t>
      </w:r>
    </w:p>
    <w:p w14:paraId="30CE2671" w14:textId="77777777" w:rsidR="006328A9" w:rsidRPr="006328A9" w:rsidRDefault="006328A9" w:rsidP="006328A9">
      <w:pPr>
        <w:jc w:val="both"/>
      </w:pPr>
      <w:r>
        <w:rPr>
          <w:rFonts w:ascii="Times New Roman" w:hAnsi="Times New Roman"/>
          <w:sz w:val="22"/>
        </w:rPr>
        <w:t>The direct fallback path is implemented as a regular high-volume kernel, not as an exceptional slow path. Demoted non-self target panels are packed into four-lane AVX2 batches, and source tiles are streamed through a deterministic Structure-of-Arrays layout. Self-interactions remain assigned to the analytic near kernel and are masked out of the vector lanes to avoid double counting. This layout reduces branch divergence and keeps fallback work compatible with CPU cache behavior.</w:t>
      </w:r>
    </w:p>
    <w:p w14:paraId="6FA57FCF" w14:textId="77777777" w:rsidR="006328A9" w:rsidRPr="006328A9" w:rsidRDefault="006328A9" w:rsidP="006328A9">
      <w:pPr>
        <w:pStyle w:val="Heading2"/>
        <w:jc w:val="both"/>
        <w:rPr>
          <w:b/>
          <w:bCs/>
        </w:rPr>
      </w:pPr>
      <w:r>
        <w:rPr>
          <w:rFonts w:ascii="Times New Roman" w:hAnsi="Times New Roman"/>
          <w:b/>
          <w:sz w:val="22"/>
        </w:rPr>
        <w:t>2.4. Sparse Near-Field ILU(0) Preconditioning</w:t>
      </w:r>
    </w:p>
    <w:p w14:paraId="3B252255" w14:textId="77777777" w:rsidR="006328A9" w:rsidRPr="006328A9" w:rsidRDefault="006328A9" w:rsidP="006328A9">
      <w:pPr>
        <w:jc w:val="both"/>
      </w:pPr>
      <w:r>
        <w:rPr>
          <w:rFonts w:ascii="Times New Roman" w:hAnsi="Times New Roman"/>
          <w:sz w:val="22"/>
        </w:rPr>
        <w:t>The benchmark ladder in Section 3 shows that fast matrix-vector products alone did not remove the observed GMRES stalls. TITAN therefore constructs a sparse preconditioner from the FMM near-source graph rather than from isolated tree leaves or a dense matrix approximation.</w:t>
      </w:r>
    </w:p>
    <w:p w14:paraId="1AA2F3B8" w14:textId="77777777" w:rsidR="006328A9" w:rsidRPr="006328A9" w:rsidRDefault="006328A9" w:rsidP="006328A9">
      <w:pPr>
        <w:jc w:val="both"/>
      </w:pPr>
      <w:r>
        <w:rPr>
          <w:rFonts w:ascii="Times New Roman" w:hAnsi="Times New Roman"/>
          <w:sz w:val="22"/>
        </w:rPr>
        <w:t>For each target panel i, the graph contains the self-edge and a deterministic set of spatially adjacent source panels j, capped at 64 neighbors in the reported guarded configuration. On each graph edge, TITAN stores a directly evaluated 2 x 2 coupled local operator block A_ij. ILU(0) factorization [4] is then performed strictly on this sparsity pattern. The resulting preconditioner retains selected cross-leaf near-field couplings while avoiding fill-in beyond the graph. Section 3.5 and the Supplement compare caps 32, 64, and 128 on the primary cap-sweep subset; cap 64 is used as the reported protocol value rather than as a claimed optimum.</w:t>
      </w:r>
    </w:p>
    <w:p w14:paraId="786C8F57" w14:textId="77777777" w:rsidR="006328A9" w:rsidRPr="006328A9" w:rsidRDefault="006328A9" w:rsidP="006328A9">
      <w:pPr>
        <w:pStyle w:val="Heading2"/>
        <w:jc w:val="both"/>
        <w:rPr>
          <w:b/>
          <w:bCs/>
        </w:rPr>
      </w:pPr>
      <w:r>
        <w:rPr>
          <w:rFonts w:ascii="Times New Roman" w:hAnsi="Times New Roman"/>
          <w:b/>
          <w:sz w:val="22"/>
        </w:rPr>
        <w:t>2.5. Algorithm Lifecycle, Validation Protocol, and Reproducibility Controls</w:t>
      </w:r>
    </w:p>
    <w:p w14:paraId="77C3F0F7" w14:textId="77777777" w:rsidR="006328A9" w:rsidRPr="006328A9" w:rsidRDefault="006328A9" w:rsidP="006328A9">
      <w:pPr>
        <w:jc w:val="both"/>
      </w:pPr>
      <w:r>
        <w:rPr>
          <w:rFonts w:ascii="Times New Roman" w:hAnsi="Times New Roman"/>
          <w:sz w:val="22"/>
        </w:rPr>
        <w:t>TITAN separates setup from Krylov iteration. The FMM geometry, static refinement plan, compressed Green-jet cache, packed fallback worklists, and sparse ILU(0) preconditioner are constructed once before GMRES begins. During GMRES, only source moments and density-dependent contractions are updated. This separation keeps setup cost out of repeated matrix-vector timings and avoids plan changes during the iterative solve.</w:t>
      </w:r>
    </w:p>
    <w:p w14:paraId="33003761" w14:textId="77777777" w:rsidR="006328A9" w:rsidRPr="006328A9" w:rsidRDefault="006328A9" w:rsidP="006328A9">
      <w:pPr>
        <w:jc w:val="both"/>
      </w:pPr>
      <w:r>
        <w:rPr>
          <w:rFonts w:ascii="Times New Roman" w:hAnsi="Times New Roman"/>
          <w:sz w:val="22"/>
        </w:rPr>
        <w:t>Development-time analytical checks used centered Born and off-center Kirkwood-style spheres to separate surface-discretization error from FMM acceleration error. These checks were used to verify the analytic-singular near integration, panel basis, and normal conventions before full-protein tests were considered.</w:t>
      </w:r>
    </w:p>
    <w:p w14:paraId="2A5963A0" w14:textId="77777777" w:rsidR="006328A9" w:rsidRPr="006328A9" w:rsidRDefault="006328A9" w:rsidP="006328A9">
      <w:pPr>
        <w:jc w:val="both"/>
      </w:pPr>
      <w:r>
        <w:t>For the full-protein panel, full O(N^2) dense direct reaction-energy oracles were not computed. Instead, the reported verification uses two sampled dense-reference quantities. The sampled audit RMS is the root-mean-square discrepancy between accelerated and dense direct operator rows on sampled target panels. The sampled direct true residual is the residual of the final solution evaluated on the same sampled dense direct rows with the same normalization; the two values can therefore be numerically close when the accelerated-row discrepancy dominates the sampled residual. The manuscript-facing guarded p4 ladder used 512 sampled target panels per protein. The p-order coverage sweep used a separate 1024-row sampled audit to stress-test fallback accounting; these two audit sizes are reported separately and were not pooled. These metrics test agreement with dense direct evaluations on audited panels and are reported separately from internal GMRES residuals. The sampled direct-operator gate separates known failed far-field configurations from guarded accepted rows and is applied in addition to the 10^-6 Krylov stopping tolerance because internal GMRES convergence alone does not verify agreement with the dense direct operator.</w:t>
      </w:r>
    </w:p>
    <w:p w14:paraId="424FAD5E" w14:textId="77777777" w:rsidR="006328A9" w:rsidRPr="006328A9" w:rsidRDefault="006328A9" w:rsidP="006328A9">
      <w:pPr>
        <w:pStyle w:val="Heading2"/>
        <w:jc w:val="both"/>
        <w:rPr>
          <w:b/>
          <w:bCs/>
        </w:rPr>
      </w:pPr>
      <w:r>
        <w:rPr>
          <w:rFonts w:ascii="Times New Roman" w:hAnsi="Times New Roman"/>
          <w:b/>
          <w:sz w:val="22"/>
        </w:rPr>
        <w:t>2.6. System Preparation and Benchmark Environment</w:t>
      </w:r>
    </w:p>
    <w:p w14:paraId="05BACA7D" w14:textId="77777777" w:rsidR="006328A9" w:rsidRPr="006328A9" w:rsidRDefault="006328A9" w:rsidP="006328A9">
      <w:pPr>
        <w:jc w:val="both"/>
      </w:pPr>
      <w:r>
        <w:rPr>
          <w:rFonts w:ascii="Times New Roman" w:hAnsi="Times New Roman"/>
          <w:sz w:val="22"/>
        </w:rPr>
        <w:t>Protein structures were prepared with PDB2PQR/APBS-family tooling [6], [7] and public structure identifiers from the RCSB Protein Data Bank [8]. The primary full-protein panel includes Barnase, the RNA-binding domain of E. coli Rho factor (1A63), and Stichodactyla helianthus neurotoxin I (1SH1). The supplementary public-protein expansion includes Ubiquitin (1UBQ), Chymotrypsin inhibitor 2 (2CI2), and Villin headpiece subdomain (1VII).</w:t>
      </w:r>
    </w:p>
    <w:p w14:paraId="467558C8" w14:textId="76428419" w:rsidR="000B62E7" w:rsidRDefault="006328A9">
      <w:pPr>
        <w:jc w:val="both"/>
      </w:pPr>
      <w:r>
        <w:rPr>
          <w:rFonts w:ascii="Times New Roman" w:hAnsi="Times New Roman"/>
          <w:sz w:val="22"/>
        </w:rPr>
        <w:t>All reported TITAN benchmarks were executed on a single Windows workstation with an Intel(R) Core(TM) Ultra 7 255H processor and 30.9 GB of physical memory. Full-protein rows used single-node AVX2 CPU execution with nt = 4 worker threads. The remaining logical processors were not treated as a distributed-memory resource.</w:t>
      </w:r>
    </w:p>
    <w:p>
      <w:pPr>
        <w:pStyle w:val="Caption"/>
        <w:spacing w:before="160" w:after="80"/>
      </w:pPr>
      <w:r>
        <w:rPr>
          <w:rFonts w:ascii="Times New Roman" w:hAnsi="Times New Roman"/>
          <w:sz w:val="20"/>
        </w:rPr>
        <w:t>Table M1. Reproducibility parameters for the manuscript-facing TITAN benchmarks.</w:t>
      </w:r>
    </w:p>
    <w:tbl>
      <w:tblPr>
        <w:tblStyle w:val="TableGrid"/>
        <w:tblW w:type="auto" w:w="0"/>
        <w:tblLayout w:type="autofit"/>
        <w:tblLook w:firstColumn="1" w:firstRow="1" w:lastColumn="0" w:lastRow="0" w:noHBand="0" w:noVBand="1" w:val="04A0"/>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28"/>
        <w:gridCol w:w="2628"/>
        <w:gridCol w:w="2628"/>
        <w:gridCol w:w="2628"/>
      </w:tblGrid>
      <w:tr>
        <w:tc>
          <w:tcPr>
            <w:tcW w:type="dxa" w:w="1656"/>
            <w:vAlign w:val="center"/>
            <w:shd w:fill="E5E7EB"/>
          </w:tcPr>
          <w:p>
            <w:pPr>
              <w:spacing w:after="0" w:before="0"/>
              <w:jc w:val="left"/>
            </w:pPr>
            <w:r>
              <w:rPr>
                <w:rFonts w:ascii="Times New Roman" w:hAnsi="Times New Roman"/>
                <w:b/>
                <w:sz w:val="16"/>
              </w:rPr>
            </w:r>
            <w:r>
              <w:rPr>
                <w:rFonts w:ascii="Times New Roman" w:hAnsi="Times New Roman"/>
                <w:b/>
                <w:sz w:val="16"/>
              </w:rPr>
              <w:t>Category</w:t>
            </w:r>
          </w:p>
        </w:tc>
        <w:tc>
          <w:tcPr>
            <w:tcW w:type="dxa" w:w="2232"/>
            <w:vAlign w:val="center"/>
            <w:shd w:fill="E5E7EB"/>
          </w:tcPr>
          <w:p>
            <w:pPr>
              <w:spacing w:after="0" w:before="0"/>
              <w:jc w:val="left"/>
            </w:pPr>
            <w:r>
              <w:rPr>
                <w:rFonts w:ascii="Times New Roman" w:hAnsi="Times New Roman"/>
                <w:b/>
                <w:sz w:val="16"/>
              </w:rPr>
            </w:r>
            <w:r>
              <w:rPr>
                <w:rFonts w:ascii="Times New Roman" w:hAnsi="Times New Roman"/>
                <w:b/>
                <w:sz w:val="16"/>
              </w:rPr>
              <w:t>Parameter</w:t>
            </w:r>
          </w:p>
        </w:tc>
        <w:tc>
          <w:tcPr>
            <w:tcW w:type="dxa" w:w="3096"/>
            <w:vAlign w:val="center"/>
            <w:shd w:fill="E5E7EB"/>
          </w:tcPr>
          <w:p>
            <w:pPr>
              <w:spacing w:after="0" w:before="0"/>
              <w:jc w:val="left"/>
            </w:pPr>
            <w:r>
              <w:rPr>
                <w:rFonts w:ascii="Times New Roman" w:hAnsi="Times New Roman"/>
                <w:b/>
                <w:sz w:val="16"/>
              </w:rPr>
            </w:r>
            <w:r>
              <w:rPr>
                <w:rFonts w:ascii="Times New Roman" w:hAnsi="Times New Roman"/>
                <w:b/>
                <w:sz w:val="16"/>
              </w:rPr>
              <w:t>Value used in the reported rows</w:t>
            </w:r>
          </w:p>
        </w:tc>
        <w:tc>
          <w:tcPr>
            <w:tcW w:type="dxa" w:w="3384"/>
            <w:vAlign w:val="center"/>
            <w:shd w:fill="E5E7EB"/>
          </w:tcPr>
          <w:p>
            <w:pPr>
              <w:spacing w:after="0" w:before="0"/>
              <w:jc w:val="left"/>
            </w:pPr>
            <w:r>
              <w:rPr>
                <w:rFonts w:ascii="Times New Roman" w:hAnsi="Times New Roman"/>
                <w:b/>
                <w:sz w:val="16"/>
              </w:rPr>
            </w:r>
            <w:r>
              <w:rPr>
                <w:rFonts w:ascii="Times New Roman" w:hAnsi="Times New Roman"/>
                <w:b/>
                <w:sz w:val="16"/>
              </w:rPr>
              <w:t>Evidence and notes</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Electrostatics</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Dielectric constants</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solute epsilon = 1; solvent epsilon = 80</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-pbe-int-diel=1, -pbe-ext-diel=80</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Electrostatics</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Ionic strength and temperature</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0.15 M salt, 298.15 K</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-pbe-salt=0.15, -pbe-temp=298.15</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Electrostatics</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Screening parameter</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kappa = 0.12746 A^-1 in TABI profile at 0.15 M</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Reported as kappa_inv_A in pbe_tabi_profile.csv</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Molecular preparation</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Charge/radius model</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AMBER/PDB2PQR charges and radii; TITAN force-field tag AMBER99SB</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PQR provenance plus -ff=AMBER99SB runtime option</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Molecular preparation</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PDB2PQR preparation</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PDB2PQR 3.7.1, AMBER, pH 7.0, chain retained, PROPKA titration-state method</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Fixture manifests record command and SHA256 checksums</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Molecular preparation</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Radius floor</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0.6000 A post-processing floor for zero-radius PDB2PQR atoms</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Recorded as postprocess-radius-floor=0.6000A</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Surface</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Boundary surface</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van der Waals molecular surface</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-pbe-surface=vdw</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Surface</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Panel generation</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TABI sphere-patch triangular surface, surface-points request = 8</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Actual panel counts reported per protein in the system table</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Surface</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Collocation/discretization</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centroid panel collocation with analytic-singular near integration</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profile: discretization=centroid, near_integration=analytic_singular</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Linear solver</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Operator</w:t>
            </w:r>
          </w:p>
        </w:tc>
        <w:tc>
          <w:tcPr>
            <w:tcW w:type="dxa" w:w="3096"/>
            <w:vAlign w:val="center"/>
          </w:tcPr>
          <w:p>
            <w:pPr>
              <w:spacing w:after="0" w:before="0"/>
              <w:jc w:val="left"/>
            </w:pPr>
            <w:r>
              <w:rPr>
                <w:sz w:val="16"/>
              </w:rPr>
              <w:t>TABI 2013 coupled two-row boundary-integral formulation</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profile: bie_system=linear_pb_2x2</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Linear solver</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Direct TABI reference meaning</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direct summation of the dense panel-panel boundary-integral operator</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No grid or FMM acceleration in direct TABI rows</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Linear solver</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GMRES controls</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relative tolerance 1e-6, dphi 1e-6, restart 128, max iterations 720</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-pbe-rms, -pbe-dphi, -pbe-tabi-gmres-restart, -pbe-max-iter</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Preconditioning</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Guarded p4 preconditioner</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sparse near-field ILU(0), neighbor cap 64, drop tolerance 0</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-pbe-tabi-precond=fmm-nearfield-ilu0</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Verification</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Direct-operator audit</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512 sampled targets; audit RMS and sampled direct true residual gate &lt;= 8e-3</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-pbe-tabi-matvec-audit=sampled-detail</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Guarded p4</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Far-field policy</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Taylor order 4, theta 0.6, static tail tolerance 0.002, strict geometry guard theta 0.5</w:t>
            </w:r>
          </w:p>
        </w:tc>
        <w:tc>
          <w:tcPr>
            <w:tcW w:type="dxa" w:w="3384"/>
            <w:vAlign w:val="center"/>
          </w:tcPr>
          <w:p>
            <w:pPr>
              <w:jc w:val="left"/>
            </w:pPr>
            <w:r>
              <w:rPr>
                <w:rFonts w:ascii="Times New Roman" w:hAnsi="Times New Roman"/>
                <w:sz w:val="16"/>
              </w:rPr>
              <w:t>Guarded p4 run manifest</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Implementation</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Build and precision</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native MinGW build, AVX2 CPU path, double precision</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Build command used in gates: mingw32-make PROFILE=native TARGET=titan.exe</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Implementation</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Threads</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4 TITAN worker threads</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-nt=4</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Benchmark environment</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Hardware</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Intel Core Ultra 7 255H workstation, 30.9 GB RAM, Windows</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Reported benchmark environment</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Benchmark environment</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Thread pinning and power mode</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OS scheduler default; no explicit thread pinning or power-mode lock recorded</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Limitation for external timing reproduction</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Benchmark environment</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Timer and RSS</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wall-clock process time; peak RSS from process working-set telemetry</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PowerShell runner records wall_seconds and peak_working_set_mb</w:t>
            </w:r>
          </w:p>
        </w:tc>
      </w:tr>
    </w:tbl>
    <w:p w14:paraId="1EDBDD4E" w14:textId="77777777" w:rsidR="000B62E7" w:rsidRDefault="00A65B0F">
      <w:pPr>
        <w:pStyle w:val="Caption"/>
        <w:keepNext/>
      </w:pPr>
      <w:r>
        <w:rPr>
          <w:rFonts w:ascii="Times New Roman" w:hAnsi="Times New Roman"/>
          <w:sz w:val="20"/>
        </w:rPr>
        <w:t>T</w:t>
      </w:r>
      <w:r>
        <w:rPr>
          <w:rFonts w:ascii="Times New Roman" w:hAnsi="Times New Roman"/>
          <w:sz w:val="20"/>
        </w:rPr>
        <w:t>able 1. Algorithmic positioning of TABI-PB 2.0, FAGBI, and TITAN.</w:t>
      </w:r>
    </w:p>
    <w:tbl>
      <w:tblPr>
        <w:tblStyle w:val="TableGrid"/>
        <w:tblW w:w="9360" w:type="dxa"/>
        <w:jc w:val="center"/>
        <w:tblLayout w:type="autofit"/>
        <w:tblLook w:val="04A0" w:firstRow="1" w:lastRow="0" w:firstColumn="1" w:lastColumn="0" w:noHBand="0" w:noVBand="1"/>
      </w:tblPr>
      <w:tblGrid>
        <w:gridCol w:w="1200"/>
        <w:gridCol w:w="2720"/>
        <w:gridCol w:w="2720"/>
        <w:gridCol w:w="2720"/>
      </w:tblGrid>
      <w:tr w:rsidR="000B62E7" w14:paraId="35214A19" w14:textId="77777777">
        <w:trPr>
          <w:cantSplit/>
          <w:tblHeader/>
          <w:jc w:val="center"/>
        </w:trPr>
        <w:tc>
          <w:tcPr>
            <w:tcW w:w="1200" w:type="dxa"/>
            <w:shd w:val="clear" w:color="auto" w:fill="E7E6E6"/>
            <w:vAlign w:val="center"/>
          </w:tcPr>
          <w:p>
            <w:pPr>
              <w:spacing w:after="0" w:before="0"/>
              <w:jc w:val="left"/>
            </w:pPr>
            <w:r>
              <w:rPr>
                <w:rFonts w:ascii="Times New Roman" w:hAnsi="Times New Roman"/>
                <w:b/>
                <w:sz w:val="16"/>
              </w:rPr>
              <w:t>Aspect</w:t>
            </w:r>
          </w:p>
        </w:tc>
        <w:tc>
          <w:tcPr>
            <w:tcW w:w="2720" w:type="dxa"/>
            <w:shd w:val="clear" w:color="auto" w:fill="E7E6E6"/>
            <w:vAlign w:val="center"/>
          </w:tcPr>
          <w:p>
            <w:pPr>
              <w:spacing w:after="0" w:before="0"/>
              <w:jc w:val="left"/>
            </w:pPr>
            <w:r>
              <w:rPr>
                <w:rFonts w:ascii="Times New Roman" w:hAnsi="Times New Roman"/>
                <w:b/>
                <w:sz w:val="16"/>
              </w:rPr>
              <w:t>TABI-PB 2.0</w:t>
            </w:r>
          </w:p>
        </w:tc>
        <w:tc>
          <w:tcPr>
            <w:tcW w:w="2720" w:type="dxa"/>
            <w:shd w:val="clear" w:color="auto" w:fill="E7E6E6"/>
            <w:vAlign w:val="center"/>
          </w:tcPr>
          <w:p>
            <w:pPr>
              <w:spacing w:after="0" w:before="0"/>
              <w:jc w:val="left"/>
            </w:pPr>
            <w:r>
              <w:rPr>
                <w:rFonts w:ascii="Times New Roman" w:hAnsi="Times New Roman"/>
                <w:b/>
                <w:sz w:val="16"/>
              </w:rPr>
              <w:t>FAGBI / Cartesian Galerkin FMM</w:t>
            </w:r>
          </w:p>
        </w:tc>
        <w:tc>
          <w:tcPr>
            <w:tcW w:w="2720" w:type="dxa"/>
            <w:shd w:val="clear" w:color="auto" w:fill="E7E6E6"/>
            <w:vAlign w:val="center"/>
          </w:tcPr>
          <w:p>
            <w:pPr>
              <w:spacing w:after="0" w:before="0"/>
              <w:jc w:val="left"/>
            </w:pPr>
            <w:r>
              <w:rPr>
                <w:rFonts w:ascii="Times New Roman" w:hAnsi="Times New Roman"/>
                <w:b/>
                <w:sz w:val="16"/>
              </w:rPr>
              <w:t>TITAN guarded p4 path</w:t>
            </w:r>
          </w:p>
        </w:tc>
      </w:tr>
      <w:tr w:rsidR="000B62E7" w14:paraId="19C02A8C" w14:textId="77777777">
        <w:trPr>
          <w:cantSplit/>
          <w:jc w:val="center"/>
        </w:trPr>
        <w:tc>
          <w:tcPr>
            <w:tcW w:w="1200" w:type="dxa"/>
            <w:vAlign w:val="center"/>
          </w:tcPr>
          <w:p>
            <w:pPr>
              <w:spacing w:after="0" w:before="0"/>
              <w:jc w:val="left"/>
            </w:pPr>
            <w:r>
              <w:rPr>
                <w:rFonts w:ascii="Times New Roman" w:hAnsi="Times New Roman"/>
                <w:b w:val="0"/>
                <w:sz w:val="16"/>
              </w:rPr>
              <w:t>Discretization</w:t>
            </w:r>
          </w:p>
        </w:tc>
        <w:tc>
          <w:tcPr>
            <w:tcW w:w="2720" w:type="dxa"/>
            <w:vAlign w:val="center"/>
          </w:tcPr>
          <w:p>
            <w:pPr>
              <w:spacing w:after="0" w:before="0"/>
              <w:jc w:val="left"/>
            </w:pPr>
            <w:r>
              <w:rPr>
                <w:rFonts w:ascii="Times New Roman" w:hAnsi="Times New Roman"/>
                <w:b w:val="0"/>
                <w:sz w:val="16"/>
              </w:rPr>
              <w:t>Node-patch BIE on NanoShaper surfaces; surface-vertex/patch unknowns.</w:t>
            </w:r>
          </w:p>
        </w:tc>
        <w:tc>
          <w:tcPr>
            <w:tcW w:w="2720" w:type="dxa"/>
            <w:vAlign w:val="center"/>
          </w:tcPr>
          <w:p>
            <w:pPr>
              <w:spacing w:after="0" w:before="0"/>
              <w:jc w:val="left"/>
            </w:pPr>
            <w:r>
              <w:rPr>
                <w:rFonts w:ascii="Times New Roman" w:hAnsi="Times New Roman"/>
                <w:b w:val="0"/>
                <w:sz w:val="16"/>
              </w:rPr>
              <w:t>Galerkin BIE PB with analytical integration and Cartesian FMM acceleration.</w:t>
            </w:r>
          </w:p>
        </w:tc>
        <w:tc>
          <w:tcPr>
            <w:tcW w:w="2720" w:type="dxa"/>
            <w:vAlign w:val="center"/>
          </w:tcPr>
          <w:p>
            <w:pPr>
              <w:spacing w:after="0" w:before="0"/>
              <w:jc w:val="left"/>
            </w:pPr>
            <w:r>
              <w:rPr>
                <w:rFonts w:ascii="Times New Roman" w:hAnsi="Times New Roman"/>
                <w:b w:val="0"/>
                <w:sz w:val="16"/>
              </w:rPr>
              <w:t>Coupled panel/collocation BIE with u_i=(phi_i, partial_n phi_i)^T; analytic-singular near terms.</w:t>
            </w:r>
          </w:p>
        </w:tc>
      </w:tr>
      <w:tr w:rsidR="000B62E7" w14:paraId="6650EA43" w14:textId="77777777">
        <w:trPr>
          <w:cantSplit/>
          <w:jc w:val="center"/>
        </w:trPr>
        <w:tc>
          <w:tcPr>
            <w:tcW w:w="1200" w:type="dxa"/>
            <w:vAlign w:val="center"/>
          </w:tcPr>
          <w:p>
            <w:pPr>
              <w:spacing w:after="0" w:before="0"/>
              <w:jc w:val="left"/>
            </w:pPr>
            <w:r>
              <w:rPr>
                <w:rFonts w:ascii="Times New Roman" w:hAnsi="Times New Roman"/>
                <w:b w:val="0"/>
                <w:sz w:val="16"/>
              </w:rPr>
              <w:t>Fast operator</w:t>
            </w:r>
          </w:p>
        </w:tc>
        <w:tc>
          <w:tcPr>
            <w:tcW w:w="2720" w:type="dxa"/>
            <w:vAlign w:val="center"/>
          </w:tcPr>
          <w:p>
            <w:pPr>
              <w:spacing w:after="0" w:before="0"/>
              <w:jc w:val="left"/>
            </w:pPr>
            <w:r>
              <w:rPr>
                <w:rFonts w:ascii="Times New Roman" w:hAnsi="Times New Roman"/>
                <w:b w:val="0"/>
                <w:sz w:val="16"/>
              </w:rPr>
              <w:t>Barycentric Lagrange dual-tree traversal; GPU-oriented PP/PC/CP/CC kernels.</w:t>
            </w:r>
          </w:p>
        </w:tc>
        <w:tc>
          <w:tcPr>
            <w:tcW w:w="2720" w:type="dxa"/>
            <w:vAlign w:val="center"/>
          </w:tcPr>
          <w:p>
            <w:pPr>
              <w:spacing w:after="0" w:before="0"/>
              <w:jc w:val="left"/>
            </w:pPr>
            <w:r>
              <w:rPr>
                <w:rFonts w:ascii="Times New Roman" w:hAnsi="Times New Roman"/>
                <w:b w:val="0"/>
                <w:sz w:val="16"/>
              </w:rPr>
              <w:t>Cartesian FMM-accelerated Galerkin operator with adaptive order and Duffy treatment.</w:t>
            </w:r>
          </w:p>
        </w:tc>
        <w:tc>
          <w:tcPr>
            <w:tcW w:w="2720" w:type="dxa"/>
            <w:vAlign w:val="center"/>
          </w:tcPr>
          <w:p>
            <w:pPr>
              <w:spacing w:after="0" w:before="0"/>
              <w:jc w:val="left"/>
            </w:pPr>
            <w:r>
              <w:rPr>
                <w:rFonts w:ascii="Times New Roman" w:hAnsi="Times New Roman"/>
                <w:b w:val="0"/>
                <w:sz w:val="16"/>
              </w:rPr>
              <w:t>Guarded Cartesian FMM/M2L: p4 moments, degree-9 jets, local evaluation, direct fallback.</w:t>
            </w:r>
          </w:p>
        </w:tc>
      </w:tr>
      <w:tr w:rsidR="000B62E7" w14:paraId="6A237075" w14:textId="77777777">
        <w:trPr>
          <w:cantSplit/>
          <w:jc w:val="center"/>
        </w:trPr>
        <w:tc>
          <w:tcPr>
            <w:tcW w:w="1200" w:type="dxa"/>
            <w:vAlign w:val="center"/>
          </w:tcPr>
          <w:p>
            <w:pPr>
              <w:spacing w:after="0" w:before="0"/>
              <w:jc w:val="left"/>
            </w:pPr>
            <w:r>
              <w:rPr>
                <w:rFonts w:ascii="Times New Roman" w:hAnsi="Times New Roman"/>
                <w:b w:val="0"/>
                <w:sz w:val="16"/>
              </w:rPr>
              <w:t>Acceptance policy</w:t>
            </w:r>
          </w:p>
        </w:tc>
        <w:tc>
          <w:tcPr>
            <w:tcW w:w="2720" w:type="dxa"/>
            <w:vAlign w:val="center"/>
          </w:tcPr>
          <w:p>
            <w:pPr>
              <w:spacing w:after="0" w:before="0"/>
              <w:jc w:val="left"/>
            </w:pPr>
            <w:r>
              <w:rPr>
                <w:rFonts w:ascii="Times New Roman" w:hAnsi="Times New Roman"/>
                <w:b w:val="0"/>
                <w:sz w:val="16"/>
              </w:rPr>
              <w:t>MAC-controlled dual-tree traversal with interpolation degree and cluster lists tuned for accuracy.</w:t>
            </w:r>
          </w:p>
        </w:tc>
        <w:tc>
          <w:tcPr>
            <w:tcW w:w="2720" w:type="dxa"/>
            <w:vAlign w:val="center"/>
          </w:tcPr>
          <w:p>
            <w:pPr>
              <w:spacing w:after="0" w:before="0"/>
              <w:jc w:val="left"/>
            </w:pPr>
            <w:r>
              <w:rPr>
                <w:rFonts w:ascii="Times New Roman" w:hAnsi="Times New Roman"/>
                <w:b w:val="0"/>
                <w:sz w:val="16"/>
              </w:rPr>
              <w:t>FMM acceptance and analytical integration policy designed for Galerkin accuracy targets.</w:t>
            </w:r>
          </w:p>
        </w:tc>
        <w:tc>
          <w:tcPr>
            <w:tcW w:w="2720" w:type="dxa"/>
            <w:vAlign w:val="center"/>
          </w:tcPr>
          <w:p>
            <w:pPr>
              <w:spacing w:after="0" w:before="0"/>
              <w:jc w:val="left"/>
            </w:pPr>
            <w:r>
              <w:rPr>
                <w:rFonts w:ascii="Times New Roman" w:hAnsi="Times New Roman"/>
                <w:b w:val="0"/>
                <w:sz w:val="16"/>
              </w:rPr>
              <w:t>Opening theta plus p3/p4 tail refinement, geometric guard, and direct fallback.</w:t>
            </w:r>
          </w:p>
        </w:tc>
      </w:tr>
      <w:tr w:rsidR="000B62E7" w14:paraId="510F348A" w14:textId="77777777">
        <w:trPr>
          <w:cantSplit/>
          <w:jc w:val="center"/>
        </w:trPr>
        <w:tc>
          <w:tcPr>
            <w:tcW w:w="1200" w:type="dxa"/>
            <w:vAlign w:val="center"/>
          </w:tcPr>
          <w:p>
            <w:pPr>
              <w:spacing w:after="0" w:before="0"/>
              <w:jc w:val="left"/>
            </w:pPr>
            <w:r>
              <w:rPr>
                <w:rFonts w:ascii="Times New Roman" w:hAnsi="Times New Roman"/>
                <w:b w:val="0"/>
                <w:sz w:val="16"/>
              </w:rPr>
              <w:t>Preconditioning</w:t>
            </w:r>
          </w:p>
        </w:tc>
        <w:tc>
          <w:tcPr>
            <w:tcW w:w="2720" w:type="dxa"/>
            <w:vAlign w:val="center"/>
          </w:tcPr>
          <w:p>
            <w:pPr>
              <w:spacing w:after="0" w:before="0"/>
              <w:jc w:val="left"/>
            </w:pPr>
            <w:r>
              <w:rPr>
                <w:rFonts w:ascii="Times New Roman" w:hAnsi="Times New Roman"/>
                <w:b w:val="0"/>
                <w:sz w:val="16"/>
              </w:rPr>
              <w:t>Block preconditioning in a GPU-oriented TABI-PB 2.0 pipeline.</w:t>
            </w:r>
          </w:p>
        </w:tc>
        <w:tc>
          <w:tcPr>
            <w:tcW w:w="2720" w:type="dxa"/>
            <w:vAlign w:val="center"/>
          </w:tcPr>
          <w:p>
            <w:pPr>
              <w:spacing w:after="0" w:before="0"/>
              <w:jc w:val="left"/>
            </w:pPr>
            <w:r>
              <w:rPr>
                <w:rFonts w:ascii="Times New Roman" w:hAnsi="Times New Roman"/>
                <w:b w:val="0"/>
                <w:sz w:val="16"/>
              </w:rPr>
              <w:t>Block-diagonal preconditioning in the Galerkin/FMM solver.</w:t>
            </w:r>
          </w:p>
        </w:tc>
        <w:tc>
          <w:tcPr>
            <w:tcW w:w="2720" w:type="dxa"/>
            <w:vAlign w:val="center"/>
          </w:tcPr>
          <w:p>
            <w:pPr>
              <w:spacing w:after="0" w:before="0"/>
              <w:jc w:val="left"/>
            </w:pPr>
            <w:r>
              <w:rPr>
                <w:rFonts w:ascii="Times New Roman" w:hAnsi="Times New Roman"/>
                <w:b w:val="0"/>
                <w:sz w:val="16"/>
              </w:rPr>
              <w:t>Near-field graph ILU(0) with directly evaluated 2 x 2 near-field blocks; no fill beyond graph.</w:t>
            </w:r>
          </w:p>
        </w:tc>
      </w:tr>
      <w:tr w:rsidR="000B62E7" w14:paraId="065C6827" w14:textId="77777777">
        <w:trPr>
          <w:cantSplit/>
          <w:jc w:val="center"/>
        </w:trPr>
        <w:tc>
          <w:tcPr>
            <w:tcW w:w="1200" w:type="dxa"/>
            <w:vAlign w:val="center"/>
          </w:tcPr>
          <w:p>
            <w:pPr>
              <w:spacing w:after="0" w:before="0"/>
              <w:jc w:val="left"/>
            </w:pPr>
            <w:r>
              <w:rPr>
                <w:rFonts w:ascii="Times New Roman" w:hAnsi="Times New Roman"/>
                <w:b w:val="0"/>
                <w:sz w:val="16"/>
              </w:rPr>
              <w:t>Verification emphasis</w:t>
            </w:r>
          </w:p>
        </w:tc>
        <w:tc>
          <w:tcPr>
            <w:tcW w:w="2720" w:type="dxa"/>
            <w:vAlign w:val="center"/>
          </w:tcPr>
          <w:p>
            <w:pPr>
              <w:spacing w:after="0" w:before="0"/>
              <w:jc w:val="left"/>
            </w:pPr>
            <w:r>
              <w:rPr>
                <w:rFonts w:ascii="Times New Roman" w:hAnsi="Times New Roman"/>
                <w:b w:val="0"/>
                <w:sz w:val="16"/>
              </w:rPr>
              <w:t>Energy error and runtime against extrapolated surface-resolution references.</w:t>
            </w:r>
          </w:p>
        </w:tc>
        <w:tc>
          <w:tcPr>
            <w:tcW w:w="2720" w:type="dxa"/>
            <w:vAlign w:val="center"/>
          </w:tcPr>
          <w:p>
            <w:pPr>
              <w:spacing w:after="0" w:before="0"/>
              <w:jc w:val="left"/>
            </w:pPr>
            <w:r>
              <w:rPr>
                <w:rFonts w:ascii="Times New Roman" w:hAnsi="Times New Roman"/>
                <w:b w:val="0"/>
                <w:sz w:val="16"/>
              </w:rPr>
              <w:t>Accuracy established under the reference tests of the published method.</w:t>
            </w:r>
          </w:p>
        </w:tc>
        <w:tc>
          <w:tcPr>
            <w:tcW w:w="2720" w:type="dxa"/>
            <w:vAlign w:val="center"/>
          </w:tcPr>
          <w:p>
            <w:pPr>
              <w:spacing w:after="0" w:before="0"/>
              <w:jc w:val="left"/>
            </w:pPr>
            <w:r>
              <w:rPr>
                <w:rFonts w:ascii="Times New Roman" w:hAnsi="Times New Roman"/>
                <w:b w:val="0"/>
                <w:sz w:val="16"/>
              </w:rPr>
              <w:t>Sampled direct-operator RMS, sampled true residual, lifecycle, memory, and repeatability diagnostics.</w:t>
            </w:r>
          </w:p>
        </w:tc>
      </w:tr>
      <w:tr w:rsidR="000B62E7" w14:paraId="12FA68A0" w14:textId="77777777">
        <w:trPr>
          <w:cantSplit/>
          <w:jc w:val="center"/>
        </w:trPr>
        <w:tc>
          <w:tcPr>
            <w:tcW w:w="1200" w:type="dxa"/>
            <w:vAlign w:val="center"/>
          </w:tcPr>
          <w:p>
            <w:pPr>
              <w:spacing w:after="0" w:before="0"/>
              <w:jc w:val="left"/>
            </w:pPr>
            <w:r>
              <w:rPr>
                <w:rFonts w:ascii="Times New Roman" w:hAnsi="Times New Roman"/>
                <w:b w:val="0"/>
                <w:sz w:val="16"/>
              </w:rPr>
              <w:t>Hardware status</w:t>
            </w:r>
          </w:p>
        </w:tc>
        <w:tc>
          <w:tcPr>
            <w:tcW w:w="2720" w:type="dxa"/>
            <w:vAlign w:val="center"/>
          </w:tcPr>
          <w:p>
            <w:pPr>
              <w:spacing w:after="0" w:before="0"/>
              <w:jc w:val="left"/>
            </w:pPr>
            <w:r>
              <w:rPr>
                <w:rFonts w:ascii="Times New Roman" w:hAnsi="Times New Roman"/>
                <w:b w:val="0"/>
                <w:sz w:val="16"/>
              </w:rPr>
              <w:t>Performance-critical BLDTT kernels implemented on GPU; V100 results reported for 1A63.</w:t>
            </w:r>
          </w:p>
        </w:tc>
        <w:tc>
          <w:tcPr>
            <w:tcW w:w="2720" w:type="dxa"/>
            <w:vAlign w:val="center"/>
          </w:tcPr>
          <w:p>
            <w:pPr>
              <w:spacing w:after="0" w:before="0"/>
              <w:jc w:val="left"/>
            </w:pPr>
            <w:r>
              <w:rPr>
                <w:rFonts w:ascii="Times New Roman" w:hAnsi="Times New Roman"/>
                <w:b w:val="0"/>
                <w:sz w:val="16"/>
              </w:rPr>
              <w:t>Used here as the closest analytical FMM-BIE reference, not as a wall-time target.</w:t>
            </w:r>
          </w:p>
        </w:tc>
        <w:tc>
          <w:tcPr>
            <w:tcW w:w="2720" w:type="dxa"/>
            <w:vAlign w:val="center"/>
          </w:tcPr>
          <w:p>
            <w:pPr>
              <w:spacing w:after="0" w:before="0"/>
              <w:jc w:val="left"/>
            </w:pPr>
            <w:r>
              <w:rPr>
                <w:rFonts w:ascii="Times New Roman" w:hAnsi="Times New Roman"/>
                <w:b w:val="0"/>
                <w:sz w:val="16"/>
              </w:rPr>
              <w:t>CPU/AVX2 evidence; contribution is guarded operator/preconditioner design, not GPU throughput.</w:t>
            </w:r>
          </w:p>
        </w:tc>
      </w:tr>
    </w:tbl>
    <w:p w14:paraId="2B8C6F9C" w14:textId="77777777" w:rsidR="000B62E7" w:rsidRDefault="00A65B0F">
      <w:pPr>
        <w:keepNext/>
        <w:jc w:val="center"/>
      </w:pPr>
      <w:r>
        <w:rPr>
          <w:rFonts w:ascii="Times New Roman" w:hAnsi="Times New Roman"/>
          <w:noProof/>
          <w:sz w:val="20"/>
        </w:rPr>
        <w:drawing>
          <wp:inline distT="0" distB="0" distL="0" distR="0" wp14:anchorId="1EF2A98B" wp14:editId="5E5EFEA7">
            <wp:extent cx="5715000" cy="1861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bie_workflow_map.png"/>
                    <pic:cNvPicPr/>
                  </pic:nvPicPr>
                  <pic:blipFill>
                    <a:blip r:embed="rId8"/>
                    <a:stretch>
                      <a:fillRect/>
                    </a:stretch>
                  </pic:blipFill>
                  <pic:spPr>
                    <a:xfrm>
                      <a:off x="0" y="0"/>
                      <a:ext cx="5715000" cy="1861705"/>
                    </a:xfrm>
                    <a:prstGeom prst="rect">
                      <a:avLst/>
                    </a:prstGeom>
                  </pic:spPr>
                </pic:pic>
              </a:graphicData>
            </a:graphic>
          </wp:inline>
        </w:drawing>
      </w:r>
    </w:p>
    <w:p w14:paraId="45A270F7" w14:textId="77777777" w:rsidR="000B62E7" w:rsidRDefault="00A65B0F">
      <w:pPr>
        <w:pStyle w:val="Caption"/>
      </w:pPr>
      <w:r>
        <w:rPr>
          <w:rFonts w:ascii="Times New Roman" w:hAnsi="Times New Roman"/>
          <w:sz w:val="20"/>
        </w:rPr>
        <w:t>Figure 1 | Boundary-integral Poisson-Boltzmann workflow and contribution map. The six-stage pipeline starts from molecular preparation and surface discretization, forms the coupled K1-K4 boundary-integral operator, evaluates matrix-vector products, solves the Krylov system, and verifies the accelerated operator. The highlighted region marks the contribution of this work: guarded Cartesian p4 FMM/M2L, packed direct fallback, graph-derived sparse ILU(0), and sampled direct-operator verification.</w:t>
      </w:r>
    </w:p>
    <w:p w14:paraId="03D47D8A" w14:textId="77777777" w:rsidR="000B62E7" w:rsidRDefault="00A65B0F">
      <w:pPr>
        <w:keepNext/>
        <w:jc w:val="center"/>
      </w:pPr>
      <w:r>
        <w:rPr>
          <w:rFonts w:ascii="Times New Roman" w:hAnsi="Times New Roman"/>
          <w:noProof/>
          <w:sz w:val="20"/>
        </w:rPr>
        <w:lastRenderedPageBreak/>
        <w:drawing>
          <wp:inline distT="0" distB="0" distL="0" distR="0" wp14:anchorId="7D5C3F9B" wp14:editId="57010F93">
            <wp:extent cx="57150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algorithm_schematic.png"/>
                    <pic:cNvPicPr/>
                  </pic:nvPicPr>
                  <pic:blipFill>
                    <a:blip r:embed="rId9"/>
                    <a:stretch>
                      <a:fillRect/>
                    </a:stretch>
                  </pic:blipFill>
                  <pic:spPr>
                    <a:xfrm>
                      <a:off x="0" y="0"/>
                      <a:ext cx="5715000" cy="3714750"/>
                    </a:xfrm>
                    <a:prstGeom prst="rect">
                      <a:avLst/>
                    </a:prstGeom>
                  </pic:spPr>
                </pic:pic>
              </a:graphicData>
            </a:graphic>
          </wp:inline>
        </w:drawing>
      </w:r>
    </w:p>
    <w:p w14:paraId="09E0C764" w14:textId="77777777" w:rsidR="000B62E7" w:rsidRDefault="00A65B0F">
      <w:pPr>
        <w:pStyle w:val="Caption"/>
      </w:pPr>
      <w:r>
        <w:rPr>
          <w:rFonts w:ascii="Times New Roman" w:hAnsi="Times New Roman"/>
          <w:sz w:val="20"/>
        </w:rPr>
        <w:t>Figure 2 | Guarded p4 FMM/M2L boundary-integral operator. Source panels are compressed into Cartesian p4 moments, accepted far cells are translated to target-local expansions, and near or geometrically risky interactions are evaluated by packed direct fallback. The same near-source graph defines the sparse block ILU(0) preconditioner used by GMRES.</w:t>
      </w:r>
    </w:p>
    <w:p w14:paraId="58F68A67" w14:textId="77777777" w:rsidR="000B62E7" w:rsidRDefault="00A65B0F">
      <w:pPr>
        <w:pStyle w:val="Heading1"/>
      </w:pPr>
      <w:r>
        <w:rPr>
          <w:rFonts w:ascii="Times New Roman" w:hAnsi="Times New Roman"/>
          <w:b/>
          <w:sz w:val="24"/>
        </w:rPr>
        <w:t>Results and Discussion</w:t>
      </w:r>
    </w:p>
    <w:p w14:paraId="05288590" w14:textId="77777777" w:rsidR="000B62E7" w:rsidRDefault="00A65B0F">
      <w:pPr>
        <w:pStyle w:val="Heading2"/>
      </w:pPr>
      <w:r>
        <w:rPr>
          <w:rFonts w:ascii="Times New Roman" w:hAnsi="Times New Roman"/>
          <w:b/>
          <w:sz w:val="22"/>
        </w:rPr>
        <w:t>3.1. Performance Ladder and the Krylov Stalling Problem</w:t>
      </w:r>
    </w:p>
    <w:p w14:paraId="7E988740" w14:textId="77777777" w:rsidR="000B62E7" w:rsidRDefault="00A65B0F">
      <w:pPr>
        <w:jc w:val="both"/>
      </w:pPr>
      <w:r>
        <w:rPr>
          <w:rFonts w:ascii="Times New Roman" w:hAnsi="Times New Roman"/>
          <w:sz w:val="22"/>
        </w:rPr>
        <w:t>We first evaluated the algorithmic ladder across the six-protein panel (Table 3 and Figure 3). Direct dense TABI is useful as a conceptual baseline, but its O(N^2) matrix-vector cost limited its practical use at the tested full-protein panel counts. In this benchmark, the direct configuration did not complete a passing solve for any of the six cases: two systems reached the timeout limit and four halted with residual gaps. The median wall time for this row was 31.1 min.</w:t>
      </w:r>
      <w:r>
        <w:rPr>
          <w:rFonts w:ascii="Times New Roman" w:hAnsi="Times New Roman"/>
          <w:sz w:val="22"/>
        </w:rPr>
        <w:t xml:space="preserve"> Here, Direct TABI denotes direct summation of the dense JCP panel-panel boundary-integral operator, not a grid PB solve and not a treecode/FMM approximation.</w:t>
      </w:r>
    </w:p>
    <w:p w14:paraId="3C89AD51" w14:textId="77777777" w:rsidR="000B62E7" w:rsidRDefault="00A65B0F">
      <w:pPr>
        <w:jc w:val="both"/>
      </w:pPr>
      <w:r>
        <w:rPr>
          <w:rFonts w:ascii="Times New Roman" w:hAnsi="Times New Roman"/>
          <w:sz w:val="22"/>
        </w:rPr>
        <w:t>Degree-one FMM reduced the cost of individual matrix-vector evaluations but did not by itself produce accepted solves under the benchmark criteria. With a diagonal preconditioner, 0/6 systems passed the convergence criterion; the median iteration count was 680. With leaf-local block preconditioning, 0/6 systems passed and the median iteration count reached the 720-iteration budget. These results indicate that the bottleneck is not only the cost of applying the dense operator, but also the conditioning of the coupled surface system.</w:t>
      </w:r>
    </w:p>
    <w:p w14:paraId="08CADB10" w14:textId="77777777" w:rsidR="000B62E7" w:rsidRDefault="00A65B0F">
      <w:pPr>
        <w:jc w:val="both"/>
      </w:pPr>
      <w:r>
        <w:rPr>
          <w:rFonts w:ascii="Times New Roman" w:hAnsi="Times New Roman"/>
          <w:sz w:val="22"/>
        </w:rPr>
        <w:t>This ladder separates two numerical issues. Fast summation addresses the cost of applying the dense operator, but weak preconditioning leaves the coupled surface system stiff. The protein surfaces contain grooves, pockets, and closely opposed patches that create strong near-field interactions across artificial tree-leaf boundaries. When those couplings are absent from the preconditioner, GMRES can stagnate even though each matrix-vector product is accelerated.</w:t>
      </w:r>
    </w:p>
    <w:p w14:paraId="6942B819" w14:textId="77777777" w:rsidR="000B62E7" w:rsidRDefault="00A65B0F">
      <w:pPr>
        <w:pStyle w:val="Caption"/>
        <w:jc w:val="both"/>
      </w:pPr>
      <w:r>
        <w:t>Figure 4 shows the same separation for 1A63. In this figure, convergence denotes an internal GMRES true residual below 10^-6; manuscript-facing rows additionally require sampled direct-operator residuals below 8 x 10^-3. The direct TABI row reached the timeout budget and is shown only as a wall-time context row. The degree-one FMM rows spent most measured time in repeated matrix-vector products over stalled Krylov solves. Replacing the weak preconditioner with sparse near-field ILU(0) reduced the iteration count to 128 and reduced wall time from approximately 1130 s to 208 s. The guarded p4 row adds static preparation, fallback, and audit cost, but it is the row that passed the sampled direct-operator audit.</w:t>
      </w:r>
    </w:p>
    <w:p w14:paraId="3F9D7544" w14:textId="77777777" w:rsidR="000B62E7" w:rsidRDefault="00A65B0F">
      <w:pPr>
        <w:pStyle w:val="Heading2"/>
      </w:pPr>
      <w:r>
        <w:rPr>
          <w:rFonts w:ascii="Times New Roman" w:hAnsi="Times New Roman"/>
          <w:b/>
          <w:sz w:val="22"/>
        </w:rPr>
        <w:t>3.2. Resolving High-Coupling Singularities with Sparse Near-Field ILU(0)</w:t>
      </w:r>
    </w:p>
    <w:p w14:paraId="1557F78A" w14:textId="77777777" w:rsidR="002A1B38" w:rsidRPr="002A1B38" w:rsidRDefault="002A1B38" w:rsidP="002A1B38">
      <w:pPr>
        <w:pStyle w:val="Caption"/>
        <w:jc w:val="both"/>
      </w:pPr>
      <w:r>
        <w:rPr>
          <w:rFonts w:ascii="Times New Roman" w:hAnsi="Times New Roman"/>
          <w:sz w:val="20"/>
        </w:rPr>
        <w:t>Figure 5 isolates the preconditioning effect on Barnase. With the same degree-one FMM operator, the diagonal and local block-diagonal preconditioners reached the 720-iteration budget and produced sampled true residuals of 4.42e-02 and 4.79e-02, respectively. The sparse near-field ILU(0) preconditioner reached the 1e-12 preconditioned-residual range in 128 iterations. This comparison indicates that the observed bottleneck is not only far-field matrix-vector cost but also algebraic conditioning of the coupled surface system.</w:t>
      </w:r>
    </w:p>
    <w:p w14:paraId="6AC01809" w14:textId="03F581D5" w:rsidR="002A1B38" w:rsidRPr="002A1B38" w:rsidRDefault="002A1B38" w:rsidP="002A1B38">
      <w:pPr>
        <w:jc w:val="both"/>
      </w:pPr>
      <w:r>
        <w:rPr>
          <w:rFonts w:ascii="Times New Roman" w:hAnsi="Times New Roman"/>
          <w:sz w:val="22"/>
        </w:rPr>
        <w:t>The likely source of this stiffness is the topology of macromolecular surfaces. Surface patches that are physically close can be separated into different octree leaves. The derivative-sensitive K1-K4 channels then transmit strong off-diagonal couplings across those leaf boundaries. A strictly leaf-local preconditioner omits these couplings and therefore leaves the Krylov solve exposed to high-frequency interfacial error modes.</w:t>
      </w:r>
    </w:p>
    <w:p w14:paraId="1C3D3EC6" w14:textId="2645AA3B" w:rsidR="000B62E7" w:rsidRDefault="002A1B38">
      <w:pPr>
        <w:jc w:val="both"/>
        <w:rPr>
          <w:lang w:val="vi-VN"/>
        </w:rPr>
      </w:pPr>
      <w:r>
        <w:rPr>
          <w:rFonts w:ascii="Times New Roman" w:hAnsi="Times New Roman"/>
          <w:sz w:val="22"/>
        </w:rPr>
        <w:t>TITAN reconstructs a sparse approximation to this local connectivity from the FMM near-field worklist. For each target panel i, the graph records the self-edge and a capped deterministic set of nearby source panels j. The stored edge values are the directly evaluated 2 x 2 coupled analytic blocks defined in Section 2.1, restricted to this sparse graph.</w:t>
      </w:r>
    </w:p>
    <w:p w14:paraId="433BCB31" w14:textId="7C4E7B0B" w:rsidR="00750F1E" w:rsidRDefault="00543F2A" w:rsidP="00384F8C">
      <w:pPr>
        <w:jc w:val="both"/>
        <w:rPr>
          <w:lang w:val="vi-VN"/>
        </w:rPr>
      </w:pPr>
      <m:oMathPara>
        <m:oMath>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δ</m:t>
                        </m:r>
                      </m:e>
                      <m:sub>
                        <m:r>
                          <w:rPr>
                            <w:rFonts w:ascii="Cambria Math" w:hAnsi="Cambria Math"/>
                          </w:rPr>
                          <m:t>ij</m:t>
                        </m:r>
                      </m:sub>
                    </m:sSub>
                    <m:sSub>
                      <m:sSubPr>
                        <m:ctrlPr>
                          <w:rPr>
                            <w:rFonts w:ascii="Cambria Math" w:hAnsi="Cambria Math"/>
                          </w:rPr>
                        </m:ctrlPr>
                      </m:sSubPr>
                      <m:e>
                        <m:r>
                          <w:rPr>
                            <w:rFonts w:ascii="Cambria Math" w:hAnsi="Cambria Math"/>
                          </w:rPr>
                          <m:t>c</m:t>
                        </m:r>
                      </m:e>
                      <m:sub>
                        <m:r>
                          <w:rPr>
                            <w:rFonts w:ascii="Cambria Math" w:hAnsi="Cambria Math"/>
                          </w:rPr>
                          <m:t>ϕ</m:t>
                        </m:r>
                      </m:sub>
                    </m:sSub>
                    <m:r>
                      <w:rPr>
                        <w:rFonts w:ascii="Cambria Math" w:hAnsi="Cambria Math"/>
                      </w:rPr>
                      <m:t>-K</m:t>
                    </m:r>
                    <m:sSub>
                      <m:sSubPr>
                        <m:ctrlPr>
                          <w:rPr>
                            <w:rFonts w:ascii="Cambria Math" w:hAnsi="Cambria Math"/>
                          </w:rPr>
                        </m:ctrlPr>
                      </m:sSubPr>
                      <m:e>
                        <m:r>
                          <w:rPr>
                            <w:rFonts w:ascii="Cambria Math" w:hAnsi="Cambria Math"/>
                          </w:rPr>
                          <m:t>2</m:t>
                        </m:r>
                      </m:e>
                      <m:sub>
                        <m:r>
                          <w:rPr>
                            <w:rFonts w:ascii="Cambria Math" w:hAnsi="Cambria Math"/>
                          </w:rPr>
                          <m:t>ij</m:t>
                        </m:r>
                      </m:sub>
                    </m:sSub>
                  </m:e>
                  <m:e>
                    <m:r>
                      <w:rPr>
                        <w:rFonts w:ascii="Cambria Math" w:hAnsi="Cambria Math"/>
                      </w:rPr>
                      <m:t>-K</m:t>
                    </m:r>
                    <m:sSub>
                      <m:sSubPr>
                        <m:ctrlPr>
                          <w:rPr>
                            <w:rFonts w:ascii="Cambria Math" w:hAnsi="Cambria Math"/>
                          </w:rPr>
                        </m:ctrlPr>
                      </m:sSubPr>
                      <m:e>
                        <m:r>
                          <w:rPr>
                            <w:rFonts w:ascii="Cambria Math" w:hAnsi="Cambria Math"/>
                          </w:rPr>
                          <m:t>1</m:t>
                        </m:r>
                      </m:e>
                      <m:sub>
                        <m:r>
                          <w:rPr>
                            <w:rFonts w:ascii="Cambria Math" w:hAnsi="Cambria Math"/>
                          </w:rPr>
                          <m:t>ij</m:t>
                        </m:r>
                      </m:sub>
                    </m:sSub>
                  </m:e>
                </m:mr>
                <m:mr>
                  <m:e>
                    <m:r>
                      <w:rPr>
                        <w:rFonts w:ascii="Cambria Math" w:hAnsi="Cambria Math"/>
                      </w:rPr>
                      <m:t>-K</m:t>
                    </m:r>
                    <m:sSub>
                      <m:sSubPr>
                        <m:ctrlPr>
                          <w:rPr>
                            <w:rFonts w:ascii="Cambria Math" w:hAnsi="Cambria Math"/>
                          </w:rPr>
                        </m:ctrlPr>
                      </m:sSubPr>
                      <m:e>
                        <m:r>
                          <w:rPr>
                            <w:rFonts w:ascii="Cambria Math" w:hAnsi="Cambria Math"/>
                          </w:rPr>
                          <m:t>4</m:t>
                        </m:r>
                      </m:e>
                      <m:sub>
                        <m:r>
                          <w:rPr>
                            <w:rFonts w:ascii="Cambria Math" w:hAnsi="Cambria Math"/>
                          </w:rPr>
                          <m:t>ij</m:t>
                        </m:r>
                      </m:sub>
                    </m:sSub>
                  </m:e>
                  <m:e>
                    <m:sSub>
                      <m:sSubPr>
                        <m:ctrlPr>
                          <w:rPr>
                            <w:rFonts w:ascii="Cambria Math" w:hAnsi="Cambria Math"/>
                          </w:rPr>
                        </m:ctrlPr>
                      </m:sSubPr>
                      <m:e>
                        <m:r>
                          <w:rPr>
                            <w:rFonts w:ascii="Cambria Math" w:hAnsi="Cambria Math"/>
                          </w:rPr>
                          <m:t>δ</m:t>
                        </m:r>
                      </m:e>
                      <m:sub>
                        <m:r>
                          <w:rPr>
                            <w:rFonts w:ascii="Cambria Math" w:hAnsi="Cambria Math"/>
                          </w:rPr>
                          <m:t>ij</m:t>
                        </m:r>
                      </m:sub>
                    </m:sSub>
                    <m:sSub>
                      <m:sSubPr>
                        <m:ctrlPr>
                          <w:rPr>
                            <w:rFonts w:ascii="Cambria Math" w:hAnsi="Cambria Math"/>
                          </w:rPr>
                        </m:ctrlPr>
                      </m:sSubPr>
                      <m:e>
                        <m:r>
                          <w:rPr>
                            <w:rFonts w:ascii="Cambria Math" w:hAnsi="Cambria Math"/>
                          </w:rPr>
                          <m:t>c</m:t>
                        </m:r>
                      </m:e>
                      <m:sub>
                        <m:r>
                          <w:rPr>
                            <w:rFonts w:ascii="Cambria Math" w:hAnsi="Cambria Math"/>
                          </w:rPr>
                          <m:t>ϕn</m:t>
                        </m:r>
                      </m:sub>
                    </m:sSub>
                    <m:r>
                      <w:rPr>
                        <w:rFonts w:ascii="Cambria Math" w:hAnsi="Cambria Math"/>
                      </w:rPr>
                      <m:t>-K</m:t>
                    </m:r>
                    <m:sSub>
                      <m:sSubPr>
                        <m:ctrlPr>
                          <w:rPr>
                            <w:rFonts w:ascii="Cambria Math" w:hAnsi="Cambria Math"/>
                          </w:rPr>
                        </m:ctrlPr>
                      </m:sSubPr>
                      <m:e>
                        <m:r>
                          <w:rPr>
                            <w:rFonts w:ascii="Cambria Math" w:hAnsi="Cambria Math"/>
                          </w:rPr>
                          <m:t>3</m:t>
                        </m:r>
                      </m:e>
                      <m:sub>
                        <m:r>
                          <w:rPr>
                            <w:rFonts w:ascii="Cambria Math" w:hAnsi="Cambria Math"/>
                          </w:rPr>
                          <m:t>ij</m:t>
                        </m:r>
                      </m:sub>
                    </m:sSub>
                  </m:e>
                </m:mr>
              </m:m>
            </m:e>
          </m:d>
        </m:oMath>
      </m:oMathPara>
    </w:p>
    <w:p w14:paraId="67097A94" w14:textId="46ABADEA" w:rsidR="00384F8C" w:rsidRPr="00384F8C" w:rsidRDefault="00384F8C" w:rsidP="00384F8C">
      <w:pPr>
        <w:jc w:val="both"/>
      </w:pPr>
      <w:r>
        <w:rPr>
          <w:rFonts w:ascii="Times New Roman" w:hAnsi="Times New Roman"/>
          <w:sz w:val="22"/>
        </w:rPr>
        <w:t>ILU(0) is then applied on the graph without adding fill beyond the prescribed sparsity pattern. In the reported ladder, this graph-based preconditioner reduced median full-protein wall time from 700.8 s for the local block row to 133.3 s for the degree-one FMM + sparse ILU(0) row. However, Table 3 also shows that Krylov convergence alone is not sufficient: the degree-one FMM + sparse ILU(0) row passed convergence but failed the sampled direct-operator audit. This motivates the guarded p4 operator.</w:t>
      </w:r>
    </w:p>
    <w:p w14:paraId="71B06E0F" w14:textId="77777777" w:rsidR="00384F8C" w:rsidRPr="00384F8C" w:rsidRDefault="00384F8C" w:rsidP="00384F8C">
      <w:pPr>
        <w:jc w:val="both"/>
      </w:pPr>
      <w:r>
        <w:rPr>
          <w:rFonts w:ascii="Times New Roman" w:hAnsi="Times New Roman"/>
          <w:sz w:val="22"/>
        </w:rPr>
        <w:t>The role of ILU(0) in this manuscript is therefore specific: it stabilizes the Krylov solve for the tested systems under the stated stopping criteria. The physical accuracy of the final solution remains controlled by the accuracy of the fast operator and by the direct-operator audit.</w:t>
      </w:r>
    </w:p>
    <w:p w14:paraId="1815FF5F" w14:textId="77777777" w:rsidR="002A1B38" w:rsidRPr="002A1B38" w:rsidRDefault="002A1B38">
      <w:pPr>
        <w:jc w:val="both"/>
        <w:rPr>
          <w:lang w:val="vi-VN"/>
        </w:rPr>
      </w:pPr>
    </w:p>
    <w:p w14:paraId="749DF822" w14:textId="77777777" w:rsidR="000B62E7" w:rsidRDefault="00A65B0F">
      <w:pPr>
        <w:pStyle w:val="Heading2"/>
      </w:pPr>
      <w:r>
        <w:rPr>
          <w:rFonts w:ascii="Times New Roman" w:hAnsi="Times New Roman"/>
          <w:b/>
          <w:sz w:val="22"/>
        </w:rPr>
        <w:t>3.3. Guarded Analytical FMM and Direct-Operator Verification</w:t>
      </w:r>
    </w:p>
    <w:p w14:paraId="6BF3CD6E" w14:textId="77777777" w:rsidR="00651B0A" w:rsidRPr="00651B0A" w:rsidRDefault="00651B0A" w:rsidP="00651B0A">
      <w:pPr>
        <w:jc w:val="both"/>
      </w:pPr>
      <w:r>
        <w:rPr>
          <w:rFonts w:ascii="Times New Roman" w:hAnsi="Times New Roman"/>
          <w:sz w:val="22"/>
        </w:rPr>
        <w:t>The guarded p4 path addresses the operator-accuracy issue exposed by the degree-one FMM + sparse ILU(0) row. Across the six-protein panel, all guarded p4 + sparse ILU(0) rows reached the GMRES stopping criterion at 128 reported iterations. The largest sampled audit RMS in Table 4 was 2.534e-03 for 1A63, and the largest reported resident set size was 369.6 MB. These metrics indicate that the high-order guarded path retained the Krylov benefit of near-field ILU(0) while improving sampled agreement with dense direct evaluations.</w:t>
      </w:r>
    </w:p>
    <w:p w14:paraId="031CD399" w14:textId="77777777" w:rsidR="00651B0A" w:rsidRPr="00651B0A" w:rsidRDefault="00651B0A" w:rsidP="00651B0A">
      <w:pPr>
        <w:jc w:val="both"/>
      </w:pPr>
      <w:r>
        <w:rPr>
          <w:rFonts w:ascii="Times New Roman" w:hAnsi="Times New Roman"/>
          <w:sz w:val="22"/>
        </w:rPr>
        <w:t>The p4 Cartesian representation was selected because the coupled K1-K4 operator requires explicit source-normal, target-normal, and mixed-derivative bookkeeping. In this fixed-order regime, Cartesian Green-function jets keep the derivative channels local and unrolled. This does not imply that Cartesian expansions are generally superior to spherical harmonics; it states the implementation rationale for this CPU-oriented derivative-rich operator.</w:t>
      </w:r>
    </w:p>
    <w:p w14:paraId="03EE57F2" w14:textId="77777777" w:rsidR="00651B0A" w:rsidRPr="00651B0A" w:rsidRDefault="00651B0A" w:rsidP="00651B0A">
      <w:pPr>
        <w:jc w:val="both"/>
      </w:pPr>
      <w:r>
        <w:rPr>
          <w:rFonts w:ascii="Times New Roman" w:hAnsi="Times New Roman"/>
          <w:sz w:val="22"/>
        </w:rPr>
        <w:t>A nominal p4 expansion is not used without additional checks. The p3/p4 tail indicator identifies cell pairs with potentially large truncation error, and the geometric separation guard rejects pairs that are too close for the expansion to be trusted. Rejected leaf-level pairs are demoted to direct evaluation. This policy reduces the risk that far-field truncation error contaminates the normal-derivative channels, at the cost of additional direct fallback work.</w:t>
      </w:r>
    </w:p>
    <w:p w14:paraId="3ED576CA" w14:textId="40EB8BE8" w:rsidR="000B62E7" w:rsidRDefault="00651B0A">
      <w:pPr>
        <w:jc w:val="both"/>
      </w:pPr>
      <w:r>
        <w:rPr>
          <w:rFonts w:ascii="Times New Roman" w:hAnsi="Times New Roman"/>
          <w:sz w:val="22"/>
        </w:rPr>
        <w:t>Wall-time comparisons with GPU-accelerated solvers such as TABI-PB 2.0 [9] must therefore be interpreted cautiously. TABI-PB 2.0 reports a GPU-oriented barycentric Lagrange dual-tree traversal pipeline, while the TITAN results here are single-node CPU/AVX2 measurements with guarded fallback and sampled direct-operator audits. The contribution claimed here is not GPU throughput superiority. It is the combination of guarded Cartesian FMM/M2L, graph-derived near-field ILU(0), and auditable CPU execution.</w:t>
      </w:r>
    </w:p>
    <w:p w14:paraId="1E3AE64C" w14:textId="159F0ECF" w:rsidR="000B62E7" w:rsidRDefault="00A65B0F">
      <w:pPr>
        <w:pStyle w:val="Heading2"/>
      </w:pPr>
      <w:r>
        <w:rPr>
          <w:rFonts w:ascii="Times New Roman" w:hAnsi="Times New Roman"/>
          <w:b/>
          <w:sz w:val="22"/>
        </w:rPr>
        <w:t xml:space="preserve">3.4. </w:t>
      </w:r>
      <w:r w:rsidR="00526BEC" w:rsidRPr="00526BEC">
        <w:rPr>
          <w:rFonts w:ascii="Times New Roman" w:hAnsi="Times New Roman"/>
          <w:b/>
          <w:sz w:val="22"/>
        </w:rPr>
        <w:t>Computational Footprint, Reproducibility, and Methodological Scope</w:t>
      </w:r>
    </w:p>
    <w:p w14:paraId="090A1577" w14:textId="77777777" w:rsidR="00E03D67" w:rsidRPr="00E03D67" w:rsidRDefault="00E03D67" w:rsidP="00E03D67">
      <w:pPr>
        <w:jc w:val="both"/>
      </w:pPr>
      <w:r>
        <w:rPr>
          <w:rFonts w:ascii="Times New Roman" w:hAnsi="Times New Roman"/>
          <w:sz w:val="22"/>
        </w:rPr>
        <w:t>The geometric guard increases the number of interactions evaluated by the direct path. TITAN therefore implements fallback evaluation as a vectorized kernel. Demoted non-self target panels are packed into four-lane AVX2 batches, and source tiles are streamed through a deterministic Structure-of-Arrays layout. Self-interactions remain assigned to the analytic-singular near kernel and are masked out of the vector lanes. This design makes guarded fallback a planned part of the operator rather than an exceptional branch.</w:t>
      </w:r>
    </w:p>
    <w:p w14:paraId="62E62968" w14:textId="77777777" w:rsidR="00E03D67" w:rsidRPr="00E03D67" w:rsidRDefault="00E03D67" w:rsidP="00E03D67">
      <w:pPr>
        <w:jc w:val="both"/>
      </w:pPr>
      <w:r>
        <w:rPr>
          <w:rFonts w:ascii="Times New Roman" w:hAnsi="Times New Roman"/>
          <w:sz w:val="22"/>
        </w:rPr>
        <w:t>The reported memory footprint is also bounded by the surface formulation and by the limited cached state. In Table 4, peak resident memory ranges from 54.7 MB for 1VII to 369.6 MB for 1A63. These values reflect the tested CPU implementation, the panel counts in Table 2, the cached FMM plans, the compressed Green-function jets, fallback worklists, and the sparse ILU(0) factors.</w:t>
      </w:r>
    </w:p>
    <w:p>
      <w:r>
        <w:t>APBS is included only as a grid-solver context in Supplementary Figure S2, not as a numerical correctness oracle for TITAN. The APBS finite-difference grid and the TITAN boundary-integral surface discretization define different discrete operators and interface representations; therefore TITAN-APBS reaction-energy differences are not interpreted as dense-operator error. Panel A reports reaction-energy scale from TITAN and from the finest APBS grid in this sweep. Panel B reports the relative change in APBS reaction energy when the finite-difference grid is refined from d225 to d257, and therefore measures APBS grid sensitivity. Using the same PQR inputs for 1VII, 1UBQ, and 2CI2, APBS reaction energies remained visibly grid-sensitive over the tested range; the final d225-to-d257 change reached 3.61% across the three systems. The comparison is useful for computational footprint: at d257, APBS required 3498.3-3546.8 MB peak RSS, whereas the corresponding TITAN guarded p4 rows used 58.2-150.3 MB; the largest APBS/TITAN RSS ratio was 60.1x. CPU wall times at the finest APBS grid were of the same order as the TITAN guarded rows for these small proteins. These APBS rows support the scope statement, but correctness of the fast BIE operator is assessed against dense direct TABI rows where feasible and sampled dense direct rows on full-protein cases. APBS input files, logs, and grid dimensions used for this context figure are included in the manuscript archive described in Code and Data Availability.</w:t>
      </w:r>
    </w:p>
    <w:p>
      <w:r>
        <w:t>Full dense direct calibration on small systems is reported in Supplementary Table S5. The calibration includes two analytic coarse sphere cases and three mini public-protein subsets with 2534-3030 panels, for which full O(N^2) direct TABI solves remain practical. Across these rows, guarded p4 matched the dense direct reaction energy within 6.3 x 10^-4 kJ/mol, and the largest sampled direct true residual was 1.28 x 10^-6. These rows calibrate the sampled direct-operator audit used for the full-protein cases; they do not replace full dense direct protein solves at the larger manuscript panel counts.</w:t>
      </w:r>
      <w:r/>
    </w:p>
    <w:p w14:paraId="32CF56F2" w14:textId="77777777" w:rsidR="00E03D67" w:rsidRPr="00E03D67" w:rsidRDefault="00E03D67" w:rsidP="00E03D67">
      <w:pPr>
        <w:jc w:val="both"/>
      </w:pPr>
      <w:r>
        <w:rPr>
          <w:rFonts w:ascii="Times New Roman" w:hAnsi="Times New Roman"/>
          <w:sz w:val="22"/>
        </w:rPr>
        <w:t>Reproducibility is handled by deterministic setup and traversal order. The refinement plan, cache layout, fallback worklist, and panel sampling order are fixed before GMRES begins. Table 5 reports zero energy spread at the displayed precision for the primary panel, and Table S1 reports the same displayed precision for the supplementary public-protein rows. These results support repeatability under the reported configuration, not universal reproducibility across compilers, hardware, or altered parameter settings.</w:t>
      </w:r>
    </w:p>
    <w:p w14:paraId="5747456C" w14:textId="77777777" w:rsidR="00E03D67" w:rsidRPr="00E03D67" w:rsidRDefault="00E03D67" w:rsidP="00E03D67">
      <w:pPr>
        <w:jc w:val="both"/>
      </w:pPr>
      <w:r>
        <w:t>The present evidence has explicit limits. The benchmark is CPU/AVX2-only, uses six protein fixtures, and relies on sampled direct-operator audits for full-protein verification rather than full dense O(N^2) reaction-energy oracles at the largest panel counts. The small dense direct calibration rows in Supplementary Table S5 support the audit protocol where dense solves are practical. Section 3.5 and the Supplement add p-order, opening-angle, guard, tail-policy, and ILU neighbor-cap sensitivity checks, but they do not replace broader mesh-density and larger-system validation. The APBS context rows are not used to claim interchangeability with grid-based APBS energies.</w:t>
      </w:r>
      <w:r/>
    </w:p>
    <w:p w14:paraId="32CF127F" w14:textId="55B119BA" w:rsidR="00AA7954" w:rsidRPr="00AA7954" w:rsidRDefault="00E03D67" w:rsidP="00AA7954">
      <w:pPr>
        <w:jc w:val="both"/>
      </w:pPr>
      <w:r>
        <w:rPr>
          <w:rFonts w:ascii="Times New Roman" w:hAnsi="Times New Roman"/>
          <w:sz w:val="22"/>
        </w:rPr>
        <w:t>Within these limits, the results support a focused methodological conclusion: for the tested molecular surfaces, near-field graph ILU(0) removed the observed Krylov stalls, while guarded Cartesian FMM/M2L restored sampled agreement with dense direct evaluations. The architecture provides a reproducible CPU baseline that can be extended to broader validation sets and accelerated backends.</w:t>
      </w:r>
    </w:p>
    <w:p>
      <w:pPr>
        <w:pStyle w:val="Heading2"/>
      </w:pPr>
      <w:r>
        <w:t>3.5. Ablation and Sensitivity</w:t>
      </w:r>
    </w:p>
    <w:p>
      <w:pPr>
        <w:spacing w:after="120"/>
      </w:pPr>
      <w:r>
        <w:t>The ablation evidence is intended to make the reported protocol interpretable rather than to search the full parameter space. It asks five practical questions: whether fast matrix-vector evaluation alone removes the bottleneck, whether near-field ILU(0) is inexpensive enough to justify its setup cost, whether the geometric guard is needed for sampled direct-operator agreement, how the Taylor order changes the balance between compression and fallback, and how the ILU neighbor cap affects cost and memory.</w:t>
      </w:r>
    </w:p>
    <w:p>
      <w:pPr>
        <w:spacing w:after="120"/>
      </w:pPr>
      <w:r>
        <w:rPr>
          <w:rFonts w:ascii="Times New Roman" w:hAnsi="Times New Roman"/>
          <w:sz w:val="22"/>
        </w:rPr>
        <w:t>The performance ladder in Table 3 provides the first separation. Direct dense TABI is runtime-limited at the tested panel counts. Degree-one FMM reduces the cost of each matrix-vector product, but weak diagonal or leaf-local preconditioners still produce Krylov stalls. Sparse near-field ILU(0) removes this stall, while the guarded high-order path restores sampled agreement with the dense direct operator. In the 1A63 guarded p4 profile, ILU(0) setup accounts for 5.15 s and preconditioner application accounts for 6.37 s over the solve, compared with 151.9 s for p4 matrix-vector application and 312.6 s total wall time. This cost split supports the use of the graph factorization in the tested CPU workflow, while leaving larger-panel scaling as a separate question.</w:t>
      </w:r>
    </w:p>
    <w:p>
      <w:pPr>
        <w:spacing w:after="120"/>
      </w:pPr>
      <w:r>
        <w:rPr>
          <w:rFonts w:ascii="Times New Roman" w:hAnsi="Times New Roman"/>
          <w:sz w:val="22"/>
        </w:rPr>
        <w:t>The guard ablation separates internal convergence from operator agreement. In the six-protein guard-on/guard-off runs, removing the strict geometric guard still allowed internal GMRES convergence, but it caused full 1A63 to fail direct-operator verification: the sampled audit RMS was 5.18e-2 and the sampled direct true residual was 5.20e-2. Restoring the strict geometric guard at theta = 0.5 reduced the corresponding 1A63 audit to 2.53e-3. This result supports retaining the geometric guard as part of the accuracy contract for the reported p4 path.</w:t>
      </w:r>
    </w:p>
    <w:p>
      <w:pPr>
        <w:spacing w:after="120"/>
      </w:pPr>
      <w:r>
        <w:rPr>
          <w:rFonts w:ascii="Times New Roman" w:hAnsi="Times New Roman"/>
          <w:sz w:val="22"/>
        </w:rPr>
        <w:t>Opening-angle sensitivity was evaluated over theta = 0.4, 0.5, 0.6, and 0.7. All four settings passed the sampled direct-operator gate on the six-protein panel, and the median wall time decreased modestly from 142.9 s at theta = 0.4 to 126.2 s at theta = 0.7. The manuscript retains theta = 0.6 because it was the predefined validation setting used in the repeatability gates. This result is read narrowly: within the tested range, the strict guard dominated the sampled accuracy behavior; no global theta optimum is inferred.</w:t>
      </w:r>
    </w:p>
    <w:p>
      <w:pPr>
        <w:pStyle w:val="Caption"/>
        <w:spacing w:before="160" w:after="60"/>
      </w:pPr>
      <w:r>
        <w:rPr>
          <w:rFonts w:ascii="Times New Roman" w:hAnsi="Times New Roman"/>
          <w:sz w:val="20"/>
        </w:rPr>
        <w:t>Table 6 summarizes the ablation and sensitivity evidence used to bound the reported p4/cap-64 protocol.</w:t>
      </w:r>
    </w:p>
    <w:p>
      <w:pPr>
        <w:spacing w:after="120"/>
      </w:pPr>
      <w:r>
        <w:t>The p-order sweep was run under the guarded policy on the six-protein panel. Orders p2, p3, p4, and p5 all passed the sampled audit gate, but they did so with different work decompositions. The p2 rows are conservative: they produce very small sampled residuals while accepting no far M2L pairs, so most risky far work is demoted to direct fallback. The reported p4 row is retained because it remains audit-passing while preserving substantial far-field compression and the lowest mean wall time among the far-compressed rows in this panel.</w:t>
      </w:r>
    </w:p>
    <w:p>
      <w:pPr/>
      <w:r>
        <w:t>The p2 coverage logs check that the p2 audit is not simply a skipped-work result. Across the six proteins, p2 accepted zero far M2L pairs, rejected 337,815 far cell pairs, and demoted 295,959,727 panel pairs to direct fallback. Every p2 solve also reports a nonzero total evaluated interaction count and at least 1024 independently sampled dense-audit rows in the separate p-order coverage protocol. The p2 audit therefore reflects conservative direct evaluation of risky interactions rather than omission of far-field work.</w:t>
      </w:r>
    </w:p>
    <w:p>
      <w:r>
        <w:t>The ILU neighbor-cap sweep was run on Barnase, 1A63, and 1SH1 under the guarded p4 protocol. Caps 32, 64, and 128 all passed the sampled direct-operator gate. Cap 32 had the lowest mean RSS, cap 128 used the largest graph and memory, and cap 64 gave the lowest mean matrix-vector time in this three-protein sweep. The manuscript therefore uses cap 64 as a balanced protocol value for the reported runs, not as an accuracy-only optimum.</w:t>
      </w:r>
    </w:p>
    <w:p>
      <w:r>
        <w:t>Taken together, the ablations and small-system dense calibration rows support the selected p4/cap-64 guarded workflow for the current benchmark panel while keeping stronger questions--larger protein sets, broader mesh-density scaling, and broader hardware comparisons--outside the present claim.</w:t>
      </w:r>
    </w:p>
    <w:p w14:paraId="16E749D3" w14:textId="77777777" w:rsidR="000B62E7" w:rsidRDefault="00A65B0F">
      <w:pPr>
        <w:pStyle w:val="Heading1"/>
      </w:pPr>
      <w:r>
        <w:rPr>
          <w:rFonts w:ascii="Times New Roman" w:hAnsi="Times New Roman"/>
          <w:b/>
          <w:sz w:val="24"/>
        </w:rPr>
        <w:t>Conclusion</w:t>
      </w:r>
    </w:p>
    <w:p w14:paraId="4207D927" w14:textId="77777777" w:rsidR="000B62E7" w:rsidRDefault="00A65B0F">
      <w:pPr>
        <w:jc w:val="both"/>
      </w:pPr>
      <w:r>
        <w:t>This work describes a guarded fourth-order Cartesian FMM/M2L boundary-integral PB path with sparse near-field ILU(0) preconditioning. On the reported primary and supplementary protein fixtures, the guarded p4 workflow reached the stated stopping criteria, passed sampled direct-operator verification, and kept resident memory below 370 MB. The p-order and neighbor-cap sweeps support the reported p4/cap-64 setting as a reproducible operating point for the tested panel, while leaving broader optimality and scaling questions open. The supported claim is deliberately bounded: the method combines analytical fast evaluation, deterministic far-field guarding, and graph-based sparse preconditioning to make the tested dense molecular-surface PB solves Krylov-stable and auditable on CPU hardware. These results do not establish interchangeability with grid-based APBS energies or general superiority over production grid solvers.</w:t>
      </w:r>
    </w:p>
    <w:p>
      <w:pPr>
        <w:pStyle w:val="Heading1"/>
      </w:pPr>
      <w:r>
        <w:rPr>
          <w:rFonts w:ascii="Times New Roman" w:hAnsi="Times New Roman"/>
          <w:sz w:val="22"/>
        </w:rPr>
        <w:t>Code and Data Availability</w:t>
      </w:r>
    </w:p>
    <w:p>
      <w:pPr/>
      <w:r>
        <w:t>The TITAN source code corresponding to this manuscript has been prepared for release under the MIT License as the tagged release fagbi-submission-v0.1 at https://github.com/hoanglinh221191/TITAN. The persistent Zenodo DOI will be inserted after deposition of the tagged release and before journal submission. The archived release will include source code, build instructions, benchmark manifests, input metadata, scripts, figures, APBS input files, APBS logs, APBS grid-size settings used for Supplementary Figure S2, and reference outputs for Tables 3-6 and Supplementary Tables S1-S5. Public protein structures are identified by their RCSB PDB accession codes; derived surface metadata, run manifests, and tabulated outputs corresponding to the manuscript tables are included in the release manifest.</w:t>
      </w:r>
    </w:p>
    <w:p w14:paraId="42227B2B" w14:textId="77777777" w:rsidR="000B62E7" w:rsidRDefault="00A65B0F">
      <w:r>
        <w:rPr>
          <w:rFonts w:ascii="Times New Roman" w:hAnsi="Times New Roman"/>
          <w:sz w:val="20"/>
        </w:rPr>
        <w:br w:type="page"/>
      </w:r>
    </w:p>
    <w:p w14:paraId="3FDBFDD5" w14:textId="77777777" w:rsidR="000B62E7" w:rsidRDefault="00A65B0F">
      <w:pPr>
        <w:pStyle w:val="Heading1"/>
      </w:pPr>
      <w:r>
        <w:rPr>
          <w:rFonts w:ascii="Times New Roman" w:hAnsi="Times New Roman"/>
          <w:b/>
          <w:sz w:val="24"/>
        </w:rPr>
        <w:lastRenderedPageBreak/>
        <w:t>Algorithmic Performance Ladder</w:t>
      </w:r>
    </w:p>
    <w:p w14:paraId="75A5ACB7" w14:textId="77777777" w:rsidR="000B62E7" w:rsidRDefault="00A65B0F">
      <w:pPr>
        <w:keepNext/>
        <w:jc w:val="center"/>
      </w:pPr>
      <w:r>
        <w:rPr>
          <w:rFonts w:ascii="Times New Roman" w:hAnsi="Times New Roman"/>
          <w:noProof/>
          <w:sz w:val="20"/>
        </w:rPr>
        <w:drawing>
          <wp:inline distT="0" distB="0" distL="0" distR="0" wp14:anchorId="5EBF5464" wp14:editId="6D155FEF">
            <wp:extent cx="5715000" cy="22513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v_performance_ladder.png"/>
                    <pic:cNvPicPr/>
                  </pic:nvPicPr>
                  <pic:blipFill>
                    <a:blip r:embed="rId10"/>
                    <a:stretch>
                      <a:fillRect/>
                    </a:stretch>
                  </pic:blipFill>
                  <pic:spPr>
                    <a:xfrm>
                      <a:off x="0" y="0"/>
                      <a:ext cx="5715000" cy="2251364"/>
                    </a:xfrm>
                    <a:prstGeom prst="rect">
                      <a:avLst/>
                    </a:prstGeom>
                  </pic:spPr>
                </pic:pic>
              </a:graphicData>
            </a:graphic>
          </wp:inline>
        </w:drawing>
      </w:r>
    </w:p>
    <w:p w14:paraId="6FDFEE99" w14:textId="77777777" w:rsidR="000B62E7" w:rsidRDefault="00A65B0F">
      <w:pPr>
        <w:pStyle w:val="Caption"/>
      </w:pPr>
      <w:r>
        <w:rPr>
          <w:rFonts w:ascii="Times New Roman" w:hAnsi="Times New Roman"/>
          <w:sz w:val="20"/>
        </w:rPr>
        <w:t>Figure 3 | Full-protein performance ladder. Colors identify backend stages from direct TABI through guarded p4 FMM/M2L with sparse ILU(0); each cell reports status and wall time. The ladder separates three effects: direct dense TABI is not practical at the tested full-protein panel counts, degree-one FMM accelerates matrix-vector products but still stalls with weak preconditioning, and guarded p4 plus sparse near-field ILU(0) passes sampled direct-operator verification on all six full proteins.</w:t>
      </w:r>
    </w:p>
    <w:p w14:paraId="7CD1692D" w14:textId="77777777" w:rsidR="000B62E7" w:rsidRDefault="00A65B0F">
      <w:pPr>
        <w:keepNext/>
        <w:jc w:val="center"/>
      </w:pPr>
      <w:r>
        <w:rPr>
          <w:rFonts w:ascii="Times New Roman" w:hAnsi="Times New Roman"/>
          <w:noProof/>
          <w:sz w:val="20"/>
        </w:rPr>
        <w:drawing>
          <wp:inline distT="0" distB="0" distL="0" distR="0" wp14:anchorId="680E4B55" wp14:editId="076CF14C">
            <wp:extent cx="5715000" cy="28142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1a63_runtime_composition.png"/>
                    <pic:cNvPicPr/>
                  </pic:nvPicPr>
                  <pic:blipFill>
                    <a:blip r:embed="rId11"/>
                    <a:stretch>
                      <a:fillRect/>
                    </a:stretch>
                  </pic:blipFill>
                  <pic:spPr>
                    <a:xfrm>
                      <a:off x="0" y="0"/>
                      <a:ext cx="5715000" cy="2814204"/>
                    </a:xfrm>
                    <a:prstGeom prst="rect">
                      <a:avLst/>
                    </a:prstGeom>
                  </pic:spPr>
                </pic:pic>
              </a:graphicData>
            </a:graphic>
          </wp:inline>
        </w:drawing>
      </w:r>
    </w:p>
    <w:p w14:paraId="08BCDE75" w14:textId="77777777" w:rsidR="000B62E7" w:rsidRDefault="00A65B0F">
      <w:pPr>
        <w:pStyle w:val="Caption"/>
      </w:pPr>
      <w:r>
        <w:t>Figure 4 | Runtime composition for the 1A63 performance ladder. Direct TABI reached the timeout budget and is shown as a wall-time context row without component breakdown. The remaining rows show the fraction of measured wall time assigned to matrix-vector evaluation, preconditioning, Krylov overhead, setup, and verification or other overhead. Degree-one FMM reduces the cost of individual matrix-vector products but still spends most runtime in stalled 720-iteration solves; sparse near-field ILU(0) reduces the Krylov budget to 128 iterations, while the guarded p4 row adds preparation and direct-operator verification cost to recover sampled dense-operator agreement. Convergence in this figure denotes internal GMRES true residual below 10^-6; paper-facing acceptance additionally requires sampled direct-operator residual below 8 x 10^-3.</w:t>
      </w:r>
    </w:p>
    <w:p w14:paraId="50AEF2C3" w14:textId="77777777" w:rsidR="000B62E7" w:rsidRDefault="00A65B0F">
      <w:pPr>
        <w:pStyle w:val="Caption"/>
        <w:keepNext/>
      </w:pPr>
      <w:r>
        <w:rPr>
          <w:rFonts w:ascii="Times New Roman" w:hAnsi="Times New Roman"/>
          <w:sz w:val="20"/>
        </w:rPr>
        <w:t>Table 2. Full-protein benchmark systems used in the performance ladder.</w:t>
      </w:r>
    </w:p>
    <w:tbl>
      <w:tblPr>
        <w:tblStyle w:val="TableGrid"/>
        <w:tblW w:w="7650" w:type="dxa"/>
        <w:jc w:val="center"/>
        <w:tblLayout w:type="autofit"/>
        <w:tblLook w:val="04A0" w:firstRow="1" w:lastRow="0" w:firstColumn="1" w:lastColumn="0" w:noHBand="0" w:noVBand="1"/>
      </w:tblPr>
      <w:tblGrid>
        <w:gridCol w:w="3500"/>
        <w:gridCol w:w="1500"/>
        <w:gridCol w:w="850"/>
        <w:gridCol w:w="850"/>
        <w:gridCol w:w="950"/>
      </w:tblGrid>
      <w:tr w:rsidR="000B62E7" w14:paraId="42150C4D" w14:textId="77777777">
        <w:trPr>
          <w:cantSplit/>
          <w:tblHeader/>
          <w:jc w:val="center"/>
        </w:trPr>
        <w:tc>
          <w:tcPr>
            <w:tcW w:w="3500" w:type="dxa"/>
            <w:shd w:val="clear" w:color="auto" w:fill="E7E6E6"/>
            <w:vAlign w:val="center"/>
          </w:tcPr>
          <w:p w14:paraId="62A40EE2" w14:textId="77777777" w:rsidR="000B62E7" w:rsidRDefault="00A65B0F">
            <w:pPr>
              <w:spacing w:after="0" w:line="240" w:lineRule="auto" w:before="0"/>
              <w:jc w:val="left"/>
            </w:pPr>
            <w:r>
              <w:rPr>
                <w:rFonts w:ascii="Times New Roman" w:hAnsi="Times New Roman"/>
                <w:b/>
                <w:sz w:val="16"/>
              </w:rPr>
              <w:t>Protein</w:t>
            </w:r>
          </w:p>
        </w:tc>
        <w:tc>
          <w:tcPr>
            <w:tcW w:w="1500" w:type="dxa"/>
            <w:shd w:val="clear" w:color="auto" w:fill="E7E6E6"/>
            <w:vAlign w:val="center"/>
          </w:tcPr>
          <w:p w14:paraId="4ADBF175" w14:textId="77777777" w:rsidR="000B62E7" w:rsidRDefault="00A65B0F">
            <w:pPr>
              <w:spacing w:after="0" w:line="240" w:lineRule="auto" w:before="0"/>
              <w:jc w:val="left"/>
            </w:pPr>
            <w:r>
              <w:rPr>
                <w:rFonts w:ascii="Times New Roman" w:hAnsi="Times New Roman"/>
                <w:b/>
                <w:sz w:val="16"/>
              </w:rPr>
              <w:t>PDB/source</w:t>
            </w:r>
          </w:p>
        </w:tc>
        <w:tc>
          <w:tcPr>
            <w:tcW w:w="850" w:type="dxa"/>
            <w:shd w:val="clear" w:color="auto" w:fill="E7E6E6"/>
            <w:vAlign w:val="center"/>
          </w:tcPr>
          <w:p w14:paraId="72CAEAEB" w14:textId="77777777" w:rsidR="000B62E7" w:rsidRDefault="00A65B0F">
            <w:pPr>
              <w:spacing w:after="0" w:line="240" w:lineRule="auto" w:before="0"/>
              <w:jc w:val="left"/>
            </w:pPr>
            <w:r>
              <w:rPr>
                <w:rFonts w:ascii="Times New Roman" w:hAnsi="Times New Roman"/>
                <w:b/>
                <w:sz w:val="16"/>
              </w:rPr>
              <w:t>Atoms</w:t>
            </w:r>
          </w:p>
        </w:tc>
        <w:tc>
          <w:tcPr>
            <w:tcW w:w="850" w:type="dxa"/>
            <w:shd w:val="clear" w:color="auto" w:fill="E7E6E6"/>
            <w:vAlign w:val="center"/>
          </w:tcPr>
          <w:p w14:paraId="6DA33C45" w14:textId="77777777" w:rsidR="000B62E7" w:rsidRDefault="00A65B0F">
            <w:pPr>
              <w:spacing w:after="0" w:line="240" w:lineRule="auto" w:before="0"/>
              <w:jc w:val="left"/>
            </w:pPr>
            <w:r>
              <w:rPr>
                <w:rFonts w:ascii="Times New Roman" w:hAnsi="Times New Roman"/>
                <w:b/>
                <w:sz w:val="16"/>
              </w:rPr>
              <w:t>Panels</w:t>
            </w:r>
          </w:p>
        </w:tc>
        <w:tc>
          <w:tcPr>
            <w:tcW w:w="950" w:type="dxa"/>
            <w:shd w:val="clear" w:color="auto" w:fill="E7E6E6"/>
            <w:vAlign w:val="center"/>
          </w:tcPr>
          <w:p w14:paraId="2A4C097F" w14:textId="77777777" w:rsidR="000B62E7" w:rsidRDefault="00A65B0F">
            <w:pPr>
              <w:spacing w:after="0" w:line="240" w:lineRule="auto" w:before="0"/>
              <w:jc w:val="left"/>
            </w:pPr>
            <w:r>
              <w:rPr>
                <w:rFonts w:ascii="Times New Roman" w:hAnsi="Times New Roman"/>
                <w:b/>
                <w:sz w:val="16"/>
              </w:rPr>
              <w:t>Role</w:t>
            </w:r>
          </w:p>
        </w:tc>
      </w:tr>
      <w:tr w:rsidR="000B62E7" w14:paraId="1E95BFAD" w14:textId="77777777">
        <w:trPr>
          <w:cantSplit/>
          <w:jc w:val="center"/>
        </w:trPr>
        <w:tc>
          <w:tcPr>
            <w:tcW w:w="3500" w:type="dxa"/>
            <w:vAlign w:val="center"/>
          </w:tcPr>
          <w:p w14:paraId="3C85C488" w14:textId="77777777" w:rsidR="000B62E7" w:rsidRDefault="00A65B0F">
            <w:pPr>
              <w:spacing w:after="0" w:line="240" w:lineRule="auto" w:before="0"/>
              <w:jc w:val="left"/>
            </w:pPr>
            <w:r>
              <w:rPr>
                <w:rFonts w:ascii="Times New Roman" w:hAnsi="Times New Roman"/>
                <w:b w:val="0"/>
                <w:sz w:val="16"/>
              </w:rPr>
              <w:t>Barnase</w:t>
            </w:r>
          </w:p>
        </w:tc>
        <w:tc>
          <w:tcPr>
            <w:tcW w:w="1500" w:type="dxa"/>
            <w:vAlign w:val="center"/>
          </w:tcPr>
          <w:p w14:paraId="72D17816" w14:textId="77777777" w:rsidR="000B62E7" w:rsidRDefault="00A65B0F">
            <w:pPr>
              <w:spacing w:after="0" w:line="240" w:lineRule="auto" w:before="0"/>
              <w:jc w:val="left"/>
            </w:pPr>
            <w:r>
              <w:rPr>
                <w:rFonts w:ascii="Times New Roman" w:hAnsi="Times New Roman"/>
                <w:b w:val="0"/>
                <w:sz w:val="16"/>
              </w:rPr>
              <w:t>PyDelPhi benchmark</w:t>
            </w:r>
          </w:p>
        </w:tc>
        <w:tc>
          <w:tcPr>
            <w:tcW w:w="850" w:type="dxa"/>
            <w:vAlign w:val="center"/>
          </w:tcPr>
          <w:p w14:paraId="68F8C64C" w14:textId="77777777" w:rsidR="000B62E7" w:rsidRDefault="00A65B0F">
            <w:pPr>
              <w:spacing w:after="0" w:line="240" w:lineRule="auto" w:before="0"/>
              <w:jc w:val="left"/>
            </w:pPr>
            <w:r>
              <w:rPr>
                <w:rFonts w:ascii="Times New Roman" w:hAnsi="Times New Roman"/>
                <w:b w:val="0"/>
                <w:sz w:val="16"/>
              </w:rPr>
              <w:t>1700</w:t>
            </w:r>
          </w:p>
        </w:tc>
        <w:tc>
          <w:tcPr>
            <w:tcW w:w="850" w:type="dxa"/>
            <w:vAlign w:val="center"/>
          </w:tcPr>
          <w:p w14:paraId="2ADC3770" w14:textId="77777777" w:rsidR="000B62E7" w:rsidRDefault="00A65B0F">
            <w:pPr>
              <w:spacing w:after="0" w:line="240" w:lineRule="auto" w:before="0"/>
              <w:jc w:val="left"/>
            </w:pPr>
            <w:r>
              <w:rPr>
                <w:rFonts w:ascii="Times New Roman" w:hAnsi="Times New Roman"/>
                <w:b w:val="0"/>
                <w:sz w:val="16"/>
              </w:rPr>
              <w:t>14942</w:t>
            </w:r>
          </w:p>
        </w:tc>
        <w:tc>
          <w:tcPr>
            <w:tcW w:w="950" w:type="dxa"/>
            <w:vAlign w:val="center"/>
          </w:tcPr>
          <w:p w14:paraId="5D4797C1" w14:textId="77777777" w:rsidR="000B62E7" w:rsidRDefault="00A65B0F">
            <w:pPr>
              <w:spacing w:after="0" w:line="240" w:lineRule="auto" w:before="0"/>
              <w:jc w:val="left"/>
            </w:pPr>
            <w:r>
              <w:rPr>
                <w:rFonts w:ascii="Times New Roman" w:hAnsi="Times New Roman"/>
                <w:b w:val="0"/>
                <w:sz w:val="16"/>
              </w:rPr>
              <w:t>Primary</w:t>
            </w:r>
          </w:p>
        </w:tc>
      </w:tr>
      <w:tr w:rsidR="000B62E7" w14:paraId="6C820F9A" w14:textId="77777777">
        <w:trPr>
          <w:cantSplit/>
          <w:jc w:val="center"/>
        </w:trPr>
        <w:tc>
          <w:tcPr>
            <w:tcW w:w="3500" w:type="dxa"/>
            <w:vAlign w:val="center"/>
          </w:tcPr>
          <w:p w14:paraId="71E70D49" w14:textId="77777777" w:rsidR="000B62E7" w:rsidRDefault="00A65B0F">
            <w:pPr>
              <w:spacing w:after="0" w:line="240" w:lineRule="auto" w:before="0"/>
              <w:jc w:val="left"/>
            </w:pPr>
            <w:r>
              <w:rPr>
                <w:rFonts w:ascii="Times New Roman" w:hAnsi="Times New Roman"/>
                <w:b w:val="0"/>
                <w:sz w:val="16"/>
              </w:rPr>
              <w:t>RNA-binding domain of E. coli Rho factor</w:t>
            </w:r>
          </w:p>
        </w:tc>
        <w:tc>
          <w:tcPr>
            <w:tcW w:w="1500" w:type="dxa"/>
            <w:vAlign w:val="center"/>
          </w:tcPr>
          <w:p w14:paraId="47F5A7A0" w14:textId="77777777" w:rsidR="000B62E7" w:rsidRDefault="00A65B0F">
            <w:pPr>
              <w:spacing w:after="0" w:line="240" w:lineRule="auto" w:before="0"/>
              <w:jc w:val="left"/>
            </w:pPr>
            <w:r>
              <w:rPr>
                <w:rFonts w:ascii="Times New Roman" w:hAnsi="Times New Roman"/>
                <w:b w:val="0"/>
                <w:sz w:val="16"/>
              </w:rPr>
              <w:t>1A63</w:t>
            </w:r>
          </w:p>
        </w:tc>
        <w:tc>
          <w:tcPr>
            <w:tcW w:w="850" w:type="dxa"/>
            <w:vAlign w:val="center"/>
          </w:tcPr>
          <w:p w14:paraId="362C7393" w14:textId="77777777" w:rsidR="000B62E7" w:rsidRDefault="00A65B0F">
            <w:pPr>
              <w:spacing w:after="0" w:line="240" w:lineRule="auto" w:before="0"/>
              <w:jc w:val="left"/>
            </w:pPr>
            <w:r>
              <w:rPr>
                <w:rFonts w:ascii="Times New Roman" w:hAnsi="Times New Roman"/>
                <w:b w:val="0"/>
                <w:sz w:val="16"/>
              </w:rPr>
              <w:t>2065</w:t>
            </w:r>
          </w:p>
        </w:tc>
        <w:tc>
          <w:tcPr>
            <w:tcW w:w="850" w:type="dxa"/>
            <w:vAlign w:val="center"/>
          </w:tcPr>
          <w:p w14:paraId="625AAF0F" w14:textId="77777777" w:rsidR="000B62E7" w:rsidRDefault="00A65B0F">
            <w:pPr>
              <w:spacing w:after="0" w:line="240" w:lineRule="auto" w:before="0"/>
              <w:jc w:val="left"/>
            </w:pPr>
            <w:r>
              <w:rPr>
                <w:rFonts w:ascii="Times New Roman" w:hAnsi="Times New Roman"/>
                <w:b w:val="0"/>
                <w:sz w:val="16"/>
              </w:rPr>
              <w:t>17250</w:t>
            </w:r>
          </w:p>
        </w:tc>
        <w:tc>
          <w:tcPr>
            <w:tcW w:w="950" w:type="dxa"/>
            <w:vAlign w:val="center"/>
          </w:tcPr>
          <w:p w14:paraId="4BFAB86D" w14:textId="77777777" w:rsidR="000B62E7" w:rsidRDefault="00A65B0F">
            <w:pPr>
              <w:spacing w:after="0" w:line="240" w:lineRule="auto" w:before="0"/>
              <w:jc w:val="left"/>
            </w:pPr>
            <w:r>
              <w:rPr>
                <w:rFonts w:ascii="Times New Roman" w:hAnsi="Times New Roman"/>
                <w:b w:val="0"/>
                <w:sz w:val="16"/>
              </w:rPr>
              <w:t>Primary</w:t>
            </w:r>
          </w:p>
        </w:tc>
      </w:tr>
      <w:tr w:rsidR="000B62E7" w14:paraId="76376A63" w14:textId="77777777">
        <w:trPr>
          <w:cantSplit/>
          <w:jc w:val="center"/>
        </w:trPr>
        <w:tc>
          <w:tcPr>
            <w:tcW w:w="3500" w:type="dxa"/>
            <w:vAlign w:val="center"/>
          </w:tcPr>
          <w:p w14:paraId="549D7743" w14:textId="77777777" w:rsidR="000B62E7" w:rsidRDefault="00A65B0F">
            <w:pPr>
              <w:spacing w:after="0" w:line="240" w:lineRule="auto" w:before="0"/>
              <w:jc w:val="left"/>
            </w:pPr>
            <w:r>
              <w:rPr>
                <w:rFonts w:ascii="Times New Roman" w:hAnsi="Times New Roman"/>
                <w:b w:val="0"/>
                <w:sz w:val="16"/>
              </w:rPr>
              <w:t>Stichodactyla helianthus neurotoxin I</w:t>
            </w:r>
          </w:p>
        </w:tc>
        <w:tc>
          <w:tcPr>
            <w:tcW w:w="1500" w:type="dxa"/>
            <w:vAlign w:val="center"/>
          </w:tcPr>
          <w:p w14:paraId="37F529F8" w14:textId="77777777" w:rsidR="000B62E7" w:rsidRDefault="00A65B0F">
            <w:pPr>
              <w:spacing w:after="0" w:line="240" w:lineRule="auto" w:before="0"/>
              <w:jc w:val="left"/>
            </w:pPr>
            <w:r>
              <w:rPr>
                <w:rFonts w:ascii="Times New Roman" w:hAnsi="Times New Roman"/>
                <w:b w:val="0"/>
                <w:sz w:val="16"/>
              </w:rPr>
              <w:t>1SH1</w:t>
            </w:r>
          </w:p>
        </w:tc>
        <w:tc>
          <w:tcPr>
            <w:tcW w:w="850" w:type="dxa"/>
            <w:vAlign w:val="center"/>
          </w:tcPr>
          <w:p w14:paraId="5357E6C2" w14:textId="77777777" w:rsidR="000B62E7" w:rsidRDefault="00A65B0F">
            <w:pPr>
              <w:spacing w:after="0" w:line="240" w:lineRule="auto" w:before="0"/>
              <w:jc w:val="left"/>
            </w:pPr>
            <w:r>
              <w:rPr>
                <w:rFonts w:ascii="Times New Roman" w:hAnsi="Times New Roman"/>
                <w:b w:val="0"/>
                <w:sz w:val="16"/>
              </w:rPr>
              <w:t>696</w:t>
            </w:r>
          </w:p>
        </w:tc>
        <w:tc>
          <w:tcPr>
            <w:tcW w:w="850" w:type="dxa"/>
            <w:vAlign w:val="center"/>
          </w:tcPr>
          <w:p w14:paraId="6E3C8E3E" w14:textId="77777777" w:rsidR="000B62E7" w:rsidRDefault="00A65B0F">
            <w:pPr>
              <w:spacing w:after="0" w:line="240" w:lineRule="auto" w:before="0"/>
              <w:jc w:val="left"/>
            </w:pPr>
            <w:r>
              <w:rPr>
                <w:rFonts w:ascii="Times New Roman" w:hAnsi="Times New Roman"/>
                <w:b w:val="0"/>
                <w:sz w:val="16"/>
              </w:rPr>
              <w:t>6673</w:t>
            </w:r>
          </w:p>
        </w:tc>
        <w:tc>
          <w:tcPr>
            <w:tcW w:w="950" w:type="dxa"/>
            <w:vAlign w:val="center"/>
          </w:tcPr>
          <w:p w14:paraId="2429E4B3" w14:textId="77777777" w:rsidR="000B62E7" w:rsidRDefault="00A65B0F">
            <w:pPr>
              <w:spacing w:after="0" w:line="240" w:lineRule="auto" w:before="0"/>
              <w:jc w:val="left"/>
            </w:pPr>
            <w:r>
              <w:rPr>
                <w:rFonts w:ascii="Times New Roman" w:hAnsi="Times New Roman"/>
                <w:b w:val="0"/>
                <w:sz w:val="16"/>
              </w:rPr>
              <w:t>Primary</w:t>
            </w:r>
          </w:p>
        </w:tc>
      </w:tr>
      <w:tr w:rsidR="000B62E7" w14:paraId="7C397E53" w14:textId="77777777">
        <w:trPr>
          <w:cantSplit/>
          <w:jc w:val="center"/>
        </w:trPr>
        <w:tc>
          <w:tcPr>
            <w:tcW w:w="3500" w:type="dxa"/>
            <w:vAlign w:val="center"/>
          </w:tcPr>
          <w:p w14:paraId="46F93D1E" w14:textId="77777777" w:rsidR="000B62E7" w:rsidRDefault="00A65B0F">
            <w:pPr>
              <w:spacing w:after="0" w:line="240" w:lineRule="auto" w:before="0"/>
              <w:jc w:val="left"/>
            </w:pPr>
            <w:r>
              <w:rPr>
                <w:rFonts w:ascii="Times New Roman" w:hAnsi="Times New Roman"/>
                <w:b w:val="0"/>
                <w:sz w:val="16"/>
              </w:rPr>
              <w:t>Ubiquitin</w:t>
            </w:r>
          </w:p>
        </w:tc>
        <w:tc>
          <w:tcPr>
            <w:tcW w:w="1500" w:type="dxa"/>
            <w:vAlign w:val="center"/>
          </w:tcPr>
          <w:p w14:paraId="62AA8A21" w14:textId="77777777" w:rsidR="000B62E7" w:rsidRDefault="00A65B0F">
            <w:pPr>
              <w:spacing w:after="0" w:line="240" w:lineRule="auto" w:before="0"/>
              <w:jc w:val="left"/>
            </w:pPr>
            <w:r>
              <w:rPr>
                <w:rFonts w:ascii="Times New Roman" w:hAnsi="Times New Roman"/>
                <w:b w:val="0"/>
                <w:sz w:val="16"/>
              </w:rPr>
              <w:t>1UBQ</w:t>
            </w:r>
          </w:p>
        </w:tc>
        <w:tc>
          <w:tcPr>
            <w:tcW w:w="850" w:type="dxa"/>
            <w:vAlign w:val="center"/>
          </w:tcPr>
          <w:p w14:paraId="4381F2D9" w14:textId="77777777" w:rsidR="000B62E7" w:rsidRDefault="00A65B0F">
            <w:pPr>
              <w:spacing w:after="0" w:line="240" w:lineRule="auto" w:before="0"/>
              <w:jc w:val="left"/>
            </w:pPr>
            <w:r>
              <w:rPr>
                <w:rFonts w:ascii="Times New Roman" w:hAnsi="Times New Roman"/>
                <w:b w:val="0"/>
                <w:sz w:val="16"/>
              </w:rPr>
              <w:t>1231</w:t>
            </w:r>
          </w:p>
        </w:tc>
        <w:tc>
          <w:tcPr>
            <w:tcW w:w="850" w:type="dxa"/>
            <w:vAlign w:val="center"/>
          </w:tcPr>
          <w:p w14:paraId="6B4E4705" w14:textId="77777777" w:rsidR="000B62E7" w:rsidRDefault="00A65B0F">
            <w:pPr>
              <w:spacing w:after="0" w:line="240" w:lineRule="auto" w:before="0"/>
              <w:jc w:val="left"/>
            </w:pPr>
            <w:r>
              <w:rPr>
                <w:rFonts w:ascii="Times New Roman" w:hAnsi="Times New Roman"/>
                <w:b w:val="0"/>
                <w:sz w:val="16"/>
              </w:rPr>
              <w:t>11242</w:t>
            </w:r>
          </w:p>
        </w:tc>
        <w:tc>
          <w:tcPr>
            <w:tcW w:w="950" w:type="dxa"/>
            <w:vAlign w:val="center"/>
          </w:tcPr>
          <w:p w14:paraId="35078301" w14:textId="77777777" w:rsidR="000B62E7" w:rsidRDefault="00A65B0F">
            <w:pPr>
              <w:spacing w:after="0" w:line="240" w:lineRule="auto" w:before="0"/>
              <w:jc w:val="left"/>
            </w:pPr>
            <w:r>
              <w:rPr>
                <w:rFonts w:ascii="Times New Roman" w:hAnsi="Times New Roman"/>
                <w:b w:val="0"/>
                <w:sz w:val="16"/>
              </w:rPr>
              <w:t>Supp.</w:t>
            </w:r>
          </w:p>
        </w:tc>
      </w:tr>
      <w:tr w:rsidR="000B62E7" w14:paraId="04A987C9" w14:textId="77777777">
        <w:trPr>
          <w:cantSplit/>
          <w:jc w:val="center"/>
        </w:trPr>
        <w:tc>
          <w:tcPr>
            <w:tcW w:w="3500" w:type="dxa"/>
            <w:vAlign w:val="center"/>
          </w:tcPr>
          <w:p w14:paraId="44B02280" w14:textId="77777777" w:rsidR="000B62E7" w:rsidRDefault="00A65B0F">
            <w:pPr>
              <w:spacing w:after="0" w:line="240" w:lineRule="auto" w:before="0"/>
              <w:jc w:val="left"/>
            </w:pPr>
            <w:r>
              <w:rPr>
                <w:rFonts w:ascii="Times New Roman" w:hAnsi="Times New Roman"/>
                <w:b w:val="0"/>
                <w:sz w:val="16"/>
              </w:rPr>
              <w:lastRenderedPageBreak/>
              <w:t>Chymotrypsin inhibitor 2</w:t>
            </w:r>
          </w:p>
        </w:tc>
        <w:tc>
          <w:tcPr>
            <w:tcW w:w="1500" w:type="dxa"/>
            <w:vAlign w:val="center"/>
          </w:tcPr>
          <w:p w14:paraId="34285527" w14:textId="77777777" w:rsidR="000B62E7" w:rsidRDefault="00A65B0F">
            <w:pPr>
              <w:spacing w:after="0" w:line="240" w:lineRule="auto" w:before="0"/>
              <w:jc w:val="left"/>
            </w:pPr>
            <w:r>
              <w:rPr>
                <w:rFonts w:ascii="Times New Roman" w:hAnsi="Times New Roman"/>
                <w:b w:val="0"/>
                <w:sz w:val="16"/>
              </w:rPr>
              <w:t>2CI2</w:t>
            </w:r>
          </w:p>
        </w:tc>
        <w:tc>
          <w:tcPr>
            <w:tcW w:w="850" w:type="dxa"/>
            <w:vAlign w:val="center"/>
          </w:tcPr>
          <w:p w14:paraId="0A578C0B" w14:textId="77777777" w:rsidR="000B62E7" w:rsidRDefault="00A65B0F">
            <w:pPr>
              <w:spacing w:after="0" w:line="240" w:lineRule="auto" w:before="0"/>
              <w:jc w:val="left"/>
            </w:pPr>
            <w:r>
              <w:rPr>
                <w:rFonts w:ascii="Times New Roman" w:hAnsi="Times New Roman"/>
                <w:b w:val="0"/>
                <w:sz w:val="16"/>
              </w:rPr>
              <w:t>1076</w:t>
            </w:r>
          </w:p>
        </w:tc>
        <w:tc>
          <w:tcPr>
            <w:tcW w:w="850" w:type="dxa"/>
            <w:vAlign w:val="center"/>
          </w:tcPr>
          <w:p w14:paraId="5BA4316D" w14:textId="77777777" w:rsidR="000B62E7" w:rsidRDefault="00A65B0F">
            <w:pPr>
              <w:spacing w:after="0" w:line="240" w:lineRule="auto" w:before="0"/>
              <w:jc w:val="left"/>
            </w:pPr>
            <w:r>
              <w:rPr>
                <w:rFonts w:ascii="Times New Roman" w:hAnsi="Times New Roman"/>
                <w:b w:val="0"/>
                <w:sz w:val="16"/>
              </w:rPr>
              <w:t>9889</w:t>
            </w:r>
          </w:p>
        </w:tc>
        <w:tc>
          <w:tcPr>
            <w:tcW w:w="950" w:type="dxa"/>
            <w:vAlign w:val="center"/>
          </w:tcPr>
          <w:p w14:paraId="4508FB9D" w14:textId="77777777" w:rsidR="000B62E7" w:rsidRDefault="00A65B0F">
            <w:pPr>
              <w:spacing w:after="0" w:line="240" w:lineRule="auto" w:before="0"/>
              <w:jc w:val="left"/>
            </w:pPr>
            <w:r>
              <w:rPr>
                <w:rFonts w:ascii="Times New Roman" w:hAnsi="Times New Roman"/>
                <w:b w:val="0"/>
                <w:sz w:val="16"/>
              </w:rPr>
              <w:t>Supp.</w:t>
            </w:r>
          </w:p>
        </w:tc>
      </w:tr>
      <w:tr w:rsidR="000B62E7" w14:paraId="3B3354A5" w14:textId="77777777">
        <w:trPr>
          <w:cantSplit/>
          <w:jc w:val="center"/>
        </w:trPr>
        <w:tc>
          <w:tcPr>
            <w:tcW w:w="3500" w:type="dxa"/>
            <w:vAlign w:val="center"/>
          </w:tcPr>
          <w:p w14:paraId="76CAE403" w14:textId="77777777" w:rsidR="000B62E7" w:rsidRDefault="00A65B0F">
            <w:pPr>
              <w:spacing w:after="0" w:line="240" w:lineRule="auto" w:before="0"/>
              <w:jc w:val="left"/>
            </w:pPr>
            <w:r>
              <w:rPr>
                <w:rFonts w:ascii="Times New Roman" w:hAnsi="Times New Roman"/>
                <w:b w:val="0"/>
                <w:sz w:val="16"/>
              </w:rPr>
              <w:t>Villin headpiece subdomain</w:t>
            </w:r>
          </w:p>
        </w:tc>
        <w:tc>
          <w:tcPr>
            <w:tcW w:w="1500" w:type="dxa"/>
            <w:vAlign w:val="center"/>
          </w:tcPr>
          <w:p w14:paraId="609A378E" w14:textId="77777777" w:rsidR="000B62E7" w:rsidRDefault="00A65B0F">
            <w:pPr>
              <w:spacing w:after="0" w:line="240" w:lineRule="auto" w:before="0"/>
              <w:jc w:val="left"/>
            </w:pPr>
            <w:r>
              <w:rPr>
                <w:rFonts w:ascii="Times New Roman" w:hAnsi="Times New Roman"/>
                <w:b w:val="0"/>
                <w:sz w:val="16"/>
              </w:rPr>
              <w:t>1VII</w:t>
            </w:r>
          </w:p>
        </w:tc>
        <w:tc>
          <w:tcPr>
            <w:tcW w:w="850" w:type="dxa"/>
            <w:vAlign w:val="center"/>
          </w:tcPr>
          <w:p w14:paraId="17523527" w14:textId="77777777" w:rsidR="000B62E7" w:rsidRDefault="00A65B0F">
            <w:pPr>
              <w:spacing w:after="0" w:line="240" w:lineRule="auto" w:before="0"/>
              <w:jc w:val="left"/>
            </w:pPr>
            <w:r>
              <w:rPr>
                <w:rFonts w:ascii="Times New Roman" w:hAnsi="Times New Roman"/>
                <w:b w:val="0"/>
                <w:sz w:val="16"/>
              </w:rPr>
              <w:t>596</w:t>
            </w:r>
          </w:p>
        </w:tc>
        <w:tc>
          <w:tcPr>
            <w:tcW w:w="850" w:type="dxa"/>
            <w:vAlign w:val="center"/>
          </w:tcPr>
          <w:p w14:paraId="47CDE898" w14:textId="77777777" w:rsidR="000B62E7" w:rsidRDefault="00A65B0F">
            <w:pPr>
              <w:spacing w:after="0" w:line="240" w:lineRule="auto" w:before="0"/>
              <w:jc w:val="left"/>
            </w:pPr>
            <w:r>
              <w:rPr>
                <w:rFonts w:ascii="Times New Roman" w:hAnsi="Times New Roman"/>
                <w:b w:val="0"/>
                <w:sz w:val="16"/>
              </w:rPr>
              <w:t>5032</w:t>
            </w:r>
          </w:p>
        </w:tc>
        <w:tc>
          <w:tcPr>
            <w:tcW w:w="950" w:type="dxa"/>
            <w:vAlign w:val="center"/>
          </w:tcPr>
          <w:p w14:paraId="4160D760" w14:textId="77777777" w:rsidR="000B62E7" w:rsidRDefault="00A65B0F">
            <w:pPr>
              <w:spacing w:after="0" w:line="240" w:lineRule="auto" w:before="0"/>
              <w:jc w:val="left"/>
            </w:pPr>
            <w:r>
              <w:rPr>
                <w:rFonts w:ascii="Times New Roman" w:hAnsi="Times New Roman"/>
                <w:b w:val="0"/>
                <w:sz w:val="16"/>
              </w:rPr>
              <w:t>Supp.</w:t>
            </w:r>
          </w:p>
        </w:tc>
      </w:tr>
    </w:tbl>
    <w:p w14:paraId="3B42FE75" w14:textId="77777777" w:rsidR="000B62E7" w:rsidRDefault="00A65B0F">
      <w:pPr>
        <w:pStyle w:val="Caption"/>
        <w:keepNext/>
      </w:pPr>
      <w:r>
        <w:rPr>
          <w:rFonts w:ascii="Times New Roman" w:hAnsi="Times New Roman"/>
          <w:sz w:val="20"/>
        </w:rPr>
        <w:t>Table 3. Full-protein algorithmic ladder across six matched protein fixtures.</w:t>
      </w:r>
    </w:p>
    <w:tbl>
      <w:tblPr>
        <w:tblStyle w:val="TableGrid"/>
        <w:tblW w:w="9360" w:type="dxa"/>
        <w:jc w:val="center"/>
        <w:tblLayout w:type="autofit"/>
        <w:tblLook w:val="04A0" w:firstRow="1" w:lastRow="0" w:firstColumn="1" w:lastColumn="0" w:noHBand="0" w:noVBand="1"/>
      </w:tblPr>
      <w:tblGrid>
        <w:gridCol w:w="1600"/>
        <w:gridCol w:w="1350"/>
        <w:gridCol w:w="950"/>
        <w:gridCol w:w="800"/>
        <w:gridCol w:w="1400"/>
        <w:gridCol w:w="3260"/>
      </w:tblGrid>
      <w:tr w:rsidR="000B62E7" w14:paraId="42AE2935" w14:textId="77777777">
        <w:trPr>
          <w:cantSplit/>
          <w:tblHeader/>
          <w:jc w:val="center"/>
        </w:trPr>
        <w:tc>
          <w:tcPr>
            <w:tcW w:w="1600" w:type="dxa"/>
            <w:shd w:val="clear" w:color="auto" w:fill="E7E6E6"/>
            <w:vAlign w:val="center"/>
          </w:tcPr>
          <w:p w14:paraId="1428910B" w14:textId="77777777" w:rsidR="000B62E7" w:rsidRDefault="00A65B0F">
            <w:pPr>
              <w:spacing w:after="0" w:line="240" w:lineRule="auto" w:before="0"/>
              <w:jc w:val="left"/>
            </w:pPr>
            <w:r>
              <w:rPr>
                <w:rFonts w:ascii="Times New Roman" w:hAnsi="Times New Roman"/>
                <w:b/>
                <w:sz w:val="16"/>
              </w:rPr>
              <w:t>Stage</w:t>
            </w:r>
          </w:p>
        </w:tc>
        <w:tc>
          <w:tcPr>
            <w:tcW w:w="1350" w:type="dxa"/>
            <w:shd w:val="clear" w:color="auto" w:fill="E7E6E6"/>
            <w:vAlign w:val="center"/>
          </w:tcPr>
          <w:p w14:paraId="735111DC" w14:textId="77777777" w:rsidR="000B62E7" w:rsidRDefault="00A65B0F">
            <w:pPr>
              <w:spacing w:after="0" w:line="240" w:lineRule="auto" w:before="0"/>
              <w:jc w:val="left"/>
            </w:pPr>
            <w:r>
              <w:rPr>
                <w:rFonts w:ascii="Times New Roman" w:hAnsi="Times New Roman"/>
                <w:b/>
                <w:sz w:val="16"/>
              </w:rPr>
              <w:t>Outcome</w:t>
            </w:r>
          </w:p>
        </w:tc>
        <w:tc>
          <w:tcPr>
            <w:tcW w:w="950" w:type="dxa"/>
            <w:shd w:val="clear" w:color="auto" w:fill="E7E6E6"/>
            <w:vAlign w:val="center"/>
          </w:tcPr>
          <w:p w14:paraId="08270DFA" w14:textId="77777777" w:rsidR="000B62E7" w:rsidRDefault="00A65B0F">
            <w:pPr>
              <w:spacing w:after="0" w:line="240" w:lineRule="auto" w:before="0"/>
              <w:jc w:val="left"/>
            </w:pPr>
            <w:r>
              <w:rPr>
                <w:rFonts w:ascii="Times New Roman" w:hAnsi="Times New Roman"/>
                <w:b/>
                <w:sz w:val="16"/>
              </w:rPr>
              <w:t>Median wall</w:t>
            </w:r>
          </w:p>
        </w:tc>
        <w:tc>
          <w:tcPr>
            <w:tcW w:w="800" w:type="dxa"/>
            <w:shd w:val="clear" w:color="auto" w:fill="E7E6E6"/>
            <w:vAlign w:val="center"/>
          </w:tcPr>
          <w:p w14:paraId="5D4FD668" w14:textId="77777777" w:rsidR="000B62E7" w:rsidRDefault="00A65B0F">
            <w:pPr>
              <w:spacing w:after="0" w:line="240" w:lineRule="auto" w:before="0"/>
              <w:jc w:val="left"/>
            </w:pPr>
            <w:r>
              <w:rPr>
                <w:rFonts w:ascii="Times New Roman" w:hAnsi="Times New Roman"/>
                <w:b/>
                <w:sz w:val="16"/>
              </w:rPr>
              <w:t>Median iter.</w:t>
            </w:r>
          </w:p>
        </w:tc>
        <w:tc>
          <w:tcPr>
            <w:tcW w:w="1400" w:type="dxa"/>
            <w:shd w:val="clear" w:color="auto" w:fill="E7E6E6"/>
            <w:vAlign w:val="center"/>
          </w:tcPr>
          <w:p w14:paraId="5AE14286" w14:textId="77777777" w:rsidR="000B62E7" w:rsidRDefault="00A65B0F">
            <w:pPr>
              <w:spacing w:after="0" w:line="240" w:lineRule="auto" w:before="0"/>
              <w:jc w:val="left"/>
            </w:pPr>
            <w:r>
              <w:rPr>
                <w:rFonts w:ascii="Times New Roman" w:hAnsi="Times New Roman"/>
                <w:b/>
                <w:sz w:val="16"/>
              </w:rPr>
              <w:t>Operator audit</w:t>
            </w:r>
          </w:p>
        </w:tc>
        <w:tc>
          <w:tcPr>
            <w:tcW w:w="3260" w:type="dxa"/>
            <w:shd w:val="clear" w:color="auto" w:fill="E7E6E6"/>
            <w:vAlign w:val="center"/>
          </w:tcPr>
          <w:p w14:paraId="0EC1FA5B" w14:textId="77777777" w:rsidR="000B62E7" w:rsidRDefault="00A65B0F">
            <w:pPr>
              <w:spacing w:after="0" w:line="240" w:lineRule="auto" w:before="0"/>
              <w:jc w:val="left"/>
            </w:pPr>
            <w:r>
              <w:rPr>
                <w:rFonts w:ascii="Times New Roman" w:hAnsi="Times New Roman"/>
                <w:b/>
                <w:sz w:val="16"/>
              </w:rPr>
              <w:t>Interpretation</w:t>
            </w:r>
          </w:p>
        </w:tc>
      </w:tr>
      <w:tr w:rsidR="000B62E7" w14:paraId="69C8DBF3" w14:textId="77777777">
        <w:trPr>
          <w:cantSplit/>
          <w:jc w:val="center"/>
        </w:trPr>
        <w:tc>
          <w:tcPr>
            <w:tcW w:w="1600" w:type="dxa"/>
            <w:vAlign w:val="center"/>
          </w:tcPr>
          <w:p w14:paraId="2E6FC047" w14:textId="77777777" w:rsidR="000B62E7" w:rsidRDefault="00A65B0F">
            <w:pPr>
              <w:spacing w:after="0" w:line="240" w:lineRule="auto" w:before="0"/>
              <w:jc w:val="left"/>
            </w:pPr>
            <w:r>
              <w:rPr>
                <w:rFonts w:ascii="Times New Roman" w:hAnsi="Times New Roman"/>
                <w:b w:val="0"/>
                <w:sz w:val="16"/>
              </w:rPr>
              <w:t>Classical direct TABI</w:t>
            </w:r>
          </w:p>
        </w:tc>
        <w:tc>
          <w:tcPr>
            <w:tcW w:w="1350" w:type="dxa"/>
            <w:vAlign w:val="center"/>
          </w:tcPr>
          <w:p w14:paraId="10303E76" w14:textId="77777777" w:rsidR="000B62E7" w:rsidRDefault="00A65B0F">
            <w:pPr>
              <w:spacing w:after="0" w:line="240" w:lineRule="auto" w:before="0"/>
              <w:jc w:val="left"/>
            </w:pPr>
            <w:r>
              <w:rPr>
                <w:rFonts w:ascii="Times New Roman" w:hAnsi="Times New Roman"/>
                <w:b w:val="0"/>
                <w:sz w:val="16"/>
              </w:rPr>
              <w:t>0/6 ok; 4 failed; 2 timeout</w:t>
            </w:r>
          </w:p>
        </w:tc>
        <w:tc>
          <w:tcPr>
            <w:tcW w:w="950" w:type="dxa"/>
            <w:vAlign w:val="center"/>
          </w:tcPr>
          <w:p w14:paraId="25D8E01A" w14:textId="77777777" w:rsidR="000B62E7" w:rsidRDefault="00A65B0F">
            <w:pPr>
              <w:spacing w:after="0" w:line="240" w:lineRule="auto" w:before="0"/>
              <w:jc w:val="left"/>
            </w:pPr>
            <w:r>
              <w:rPr>
                <w:rFonts w:ascii="Times New Roman" w:hAnsi="Times New Roman"/>
                <w:b w:val="0"/>
                <w:sz w:val="16"/>
              </w:rPr>
              <w:t>31.1 min</w:t>
            </w:r>
          </w:p>
        </w:tc>
        <w:tc>
          <w:tcPr>
            <w:tcW w:w="800" w:type="dxa"/>
            <w:vAlign w:val="center"/>
          </w:tcPr>
          <w:p w14:paraId="0C1A17DF" w14:textId="77777777" w:rsidR="000B62E7" w:rsidRDefault="00A65B0F">
            <w:pPr>
              <w:spacing w:after="0" w:line="240" w:lineRule="auto" w:before="0"/>
              <w:jc w:val="left"/>
            </w:pPr>
            <w:r>
              <w:rPr>
                <w:rFonts w:ascii="Times New Roman" w:hAnsi="Times New Roman"/>
                <w:b w:val="0"/>
                <w:sz w:val="16"/>
              </w:rPr>
              <w:t>576</w:t>
            </w:r>
          </w:p>
        </w:tc>
        <w:tc>
          <w:tcPr>
            <w:tcW w:w="1400" w:type="dxa"/>
            <w:vAlign w:val="center"/>
          </w:tcPr>
          <w:p>
            <w:pPr>
              <w:spacing w:after="0" w:before="0"/>
              <w:jc w:val="left"/>
            </w:pPr>
            <w:r>
              <w:rPr>
                <w:rFonts w:ascii="Times New Roman" w:hAnsi="Times New Roman"/>
                <w:b w:val="0"/>
                <w:sz w:val="16"/>
              </w:rPr>
              <w:t>no passing solve under budget</w:t>
            </w:r>
          </w:p>
        </w:tc>
        <w:tc>
          <w:tcPr>
            <w:tcW w:w="3260" w:type="dxa"/>
            <w:vAlign w:val="center"/>
          </w:tcPr>
          <w:p>
            <w:pPr>
              <w:spacing w:after="0" w:before="0"/>
              <w:jc w:val="left"/>
            </w:pPr>
            <w:r>
              <w:rPr>
                <w:rFonts w:ascii="Times New Roman" w:hAnsi="Times New Roman"/>
                <w:b w:val="0"/>
                <w:sz w:val="16"/>
              </w:rPr>
              <w:t>Dense baseline; no passing full-protein solve under the benchmark budget.</w:t>
            </w:r>
          </w:p>
        </w:tc>
      </w:tr>
      <w:tr w:rsidR="000B62E7" w14:paraId="3888FF2C" w14:textId="77777777">
        <w:trPr>
          <w:cantSplit/>
          <w:jc w:val="center"/>
        </w:trPr>
        <w:tc>
          <w:tcPr>
            <w:tcW w:w="1600" w:type="dxa"/>
            <w:vAlign w:val="center"/>
          </w:tcPr>
          <w:p w14:paraId="59AAEEC3" w14:textId="77777777" w:rsidR="000B62E7" w:rsidRDefault="00A65B0F">
            <w:pPr>
              <w:spacing w:after="0" w:line="240" w:lineRule="auto" w:before="0"/>
              <w:jc w:val="left"/>
            </w:pPr>
            <w:r>
              <w:rPr>
                <w:rFonts w:ascii="Times New Roman" w:hAnsi="Times New Roman"/>
                <w:b w:val="0"/>
                <w:sz w:val="16"/>
              </w:rPr>
              <w:t>Degree-one FMM + diagonal</w:t>
            </w:r>
          </w:p>
        </w:tc>
        <w:tc>
          <w:tcPr>
            <w:tcW w:w="1350" w:type="dxa"/>
            <w:vAlign w:val="center"/>
          </w:tcPr>
          <w:p w14:paraId="0D96A7DA" w14:textId="77777777" w:rsidR="000B62E7" w:rsidRDefault="00A65B0F">
            <w:pPr>
              <w:spacing w:after="0" w:line="240" w:lineRule="auto" w:before="0"/>
              <w:jc w:val="left"/>
            </w:pPr>
            <w:r>
              <w:rPr>
                <w:rFonts w:ascii="Times New Roman" w:hAnsi="Times New Roman"/>
                <w:b w:val="0"/>
                <w:sz w:val="16"/>
              </w:rPr>
              <w:t>0/6 ok; 5 failed; 1 timeout</w:t>
            </w:r>
          </w:p>
        </w:tc>
        <w:tc>
          <w:tcPr>
            <w:tcW w:w="950" w:type="dxa"/>
            <w:vAlign w:val="center"/>
          </w:tcPr>
          <w:p w14:paraId="67B21715" w14:textId="77777777" w:rsidR="000B62E7" w:rsidRDefault="00A65B0F">
            <w:pPr>
              <w:spacing w:after="0" w:line="240" w:lineRule="auto" w:before="0"/>
              <w:jc w:val="left"/>
            </w:pPr>
            <w:r>
              <w:rPr>
                <w:rFonts w:ascii="Times New Roman" w:hAnsi="Times New Roman"/>
                <w:b w:val="0"/>
                <w:sz w:val="16"/>
              </w:rPr>
              <w:t>944.5 s</w:t>
            </w:r>
          </w:p>
        </w:tc>
        <w:tc>
          <w:tcPr>
            <w:tcW w:w="800" w:type="dxa"/>
            <w:vAlign w:val="center"/>
          </w:tcPr>
          <w:p w14:paraId="362C6602" w14:textId="77777777" w:rsidR="000B62E7" w:rsidRDefault="00A65B0F">
            <w:pPr>
              <w:spacing w:after="0" w:line="240" w:lineRule="auto" w:before="0"/>
              <w:jc w:val="left"/>
            </w:pPr>
            <w:r>
              <w:rPr>
                <w:rFonts w:ascii="Times New Roman" w:hAnsi="Times New Roman"/>
                <w:b w:val="0"/>
                <w:sz w:val="16"/>
              </w:rPr>
              <w:t>680</w:t>
            </w:r>
          </w:p>
        </w:tc>
        <w:tc>
          <w:tcPr>
            <w:tcW w:w="1400" w:type="dxa"/>
            <w:vAlign w:val="center"/>
          </w:tcPr>
          <w:p w14:paraId="60522B59" w14:textId="77777777" w:rsidR="000B62E7" w:rsidRDefault="00A65B0F">
            <w:pPr>
              <w:spacing w:after="0" w:line="240" w:lineRule="auto" w:before="0"/>
              <w:jc w:val="left"/>
            </w:pPr>
            <w:r>
              <w:rPr>
                <w:rFonts w:ascii="Times New Roman" w:hAnsi="Times New Roman"/>
                <w:b w:val="0"/>
                <w:sz w:val="16"/>
              </w:rPr>
              <w:t>median 1.207e-02</w:t>
            </w:r>
          </w:p>
        </w:tc>
        <w:tc>
          <w:tcPr>
            <w:tcW w:w="3260" w:type="dxa"/>
            <w:vAlign w:val="center"/>
          </w:tcPr>
          <w:p>
            <w:pPr>
              <w:spacing w:after="0" w:before="0"/>
              <w:jc w:val="left"/>
            </w:pPr>
            <w:r>
              <w:rPr>
                <w:rFonts w:ascii="Times New Roman" w:hAnsi="Times New Roman"/>
                <w:b w:val="0"/>
                <w:sz w:val="16"/>
              </w:rPr>
              <w:t>FMM matvec acceleration did not prevent Krylov stall with diagonal preconditioning.</w:t>
            </w:r>
          </w:p>
        </w:tc>
      </w:tr>
      <w:tr w:rsidR="000B62E7" w14:paraId="42D7D900" w14:textId="77777777">
        <w:trPr>
          <w:cantSplit/>
          <w:jc w:val="center"/>
        </w:trPr>
        <w:tc>
          <w:tcPr>
            <w:tcW w:w="1600" w:type="dxa"/>
            <w:vAlign w:val="center"/>
          </w:tcPr>
          <w:p w14:paraId="7AB2017D" w14:textId="77777777" w:rsidR="000B62E7" w:rsidRDefault="00A65B0F">
            <w:pPr>
              <w:spacing w:after="0" w:line="240" w:lineRule="auto" w:before="0"/>
              <w:jc w:val="left"/>
            </w:pPr>
            <w:r>
              <w:rPr>
                <w:rFonts w:ascii="Times New Roman" w:hAnsi="Times New Roman"/>
                <w:b w:val="0"/>
                <w:sz w:val="16"/>
              </w:rPr>
              <w:t>Degree-one FMM + local block</w:t>
            </w:r>
          </w:p>
        </w:tc>
        <w:tc>
          <w:tcPr>
            <w:tcW w:w="1350" w:type="dxa"/>
            <w:vAlign w:val="center"/>
          </w:tcPr>
          <w:p w14:paraId="19F015B1" w14:textId="77777777" w:rsidR="000B62E7" w:rsidRDefault="00A65B0F">
            <w:pPr>
              <w:spacing w:after="0" w:line="240" w:lineRule="auto" w:before="0"/>
              <w:jc w:val="left"/>
            </w:pPr>
            <w:r>
              <w:rPr>
                <w:rFonts w:ascii="Times New Roman" w:hAnsi="Times New Roman"/>
                <w:b w:val="0"/>
                <w:sz w:val="16"/>
              </w:rPr>
              <w:t>0/6 ok; 6 failed; 0 timeout</w:t>
            </w:r>
          </w:p>
        </w:tc>
        <w:tc>
          <w:tcPr>
            <w:tcW w:w="950" w:type="dxa"/>
            <w:vAlign w:val="center"/>
          </w:tcPr>
          <w:p w14:paraId="2A7CF5C1" w14:textId="77777777" w:rsidR="000B62E7" w:rsidRDefault="00A65B0F">
            <w:pPr>
              <w:spacing w:after="0" w:line="240" w:lineRule="auto" w:before="0"/>
              <w:jc w:val="left"/>
            </w:pPr>
            <w:r>
              <w:rPr>
                <w:rFonts w:ascii="Times New Roman" w:hAnsi="Times New Roman"/>
                <w:b w:val="0"/>
                <w:sz w:val="16"/>
              </w:rPr>
              <w:t>700.8 s</w:t>
            </w:r>
          </w:p>
        </w:tc>
        <w:tc>
          <w:tcPr>
            <w:tcW w:w="800" w:type="dxa"/>
            <w:vAlign w:val="center"/>
          </w:tcPr>
          <w:p w14:paraId="16ECA769" w14:textId="77777777" w:rsidR="000B62E7" w:rsidRDefault="00A65B0F">
            <w:pPr>
              <w:spacing w:after="0" w:line="240" w:lineRule="auto" w:before="0"/>
              <w:jc w:val="left"/>
            </w:pPr>
            <w:r>
              <w:rPr>
                <w:rFonts w:ascii="Times New Roman" w:hAnsi="Times New Roman"/>
                <w:b w:val="0"/>
                <w:sz w:val="16"/>
              </w:rPr>
              <w:t>720</w:t>
            </w:r>
          </w:p>
        </w:tc>
        <w:tc>
          <w:tcPr>
            <w:tcW w:w="1400" w:type="dxa"/>
            <w:vAlign w:val="center"/>
          </w:tcPr>
          <w:p w14:paraId="0FDF26C3" w14:textId="77777777" w:rsidR="000B62E7" w:rsidRDefault="00A65B0F">
            <w:pPr>
              <w:spacing w:after="0" w:line="240" w:lineRule="auto" w:before="0"/>
              <w:jc w:val="left"/>
            </w:pPr>
            <w:r>
              <w:rPr>
                <w:rFonts w:ascii="Times New Roman" w:hAnsi="Times New Roman"/>
                <w:b w:val="0"/>
                <w:sz w:val="16"/>
              </w:rPr>
              <w:t>median 1.258e-02</w:t>
            </w:r>
          </w:p>
        </w:tc>
        <w:tc>
          <w:tcPr>
            <w:tcW w:w="3260" w:type="dxa"/>
            <w:vAlign w:val="center"/>
          </w:tcPr>
          <w:p>
            <w:pPr>
              <w:spacing w:after="0" w:before="0"/>
              <w:jc w:val="left"/>
            </w:pPr>
            <w:r>
              <w:rPr>
                <w:rFonts w:ascii="Times New Roman" w:hAnsi="Times New Roman"/>
                <w:b w:val="0"/>
                <w:sz w:val="16"/>
              </w:rPr>
              <w:t>Leaf-local block coupling remained insufficient for the tested systems.</w:t>
            </w:r>
          </w:p>
        </w:tc>
      </w:tr>
      <w:tr w:rsidR="000B62E7" w14:paraId="22627018" w14:textId="77777777">
        <w:trPr>
          <w:cantSplit/>
          <w:jc w:val="center"/>
        </w:trPr>
        <w:tc>
          <w:tcPr>
            <w:tcW w:w="1600" w:type="dxa"/>
            <w:vAlign w:val="center"/>
          </w:tcPr>
          <w:p w14:paraId="6DACB9A0" w14:textId="77777777" w:rsidR="000B62E7" w:rsidRDefault="00A65B0F">
            <w:pPr>
              <w:spacing w:after="0" w:line="240" w:lineRule="auto" w:before="0"/>
              <w:jc w:val="left"/>
            </w:pPr>
            <w:r>
              <w:rPr>
                <w:rFonts w:ascii="Times New Roman" w:hAnsi="Times New Roman"/>
                <w:b w:val="0"/>
                <w:sz w:val="16"/>
              </w:rPr>
              <w:t>Degree-one FMM + sparse ILU(0)</w:t>
            </w:r>
          </w:p>
        </w:tc>
        <w:tc>
          <w:tcPr>
            <w:tcW w:w="1350" w:type="dxa"/>
            <w:vAlign w:val="center"/>
          </w:tcPr>
          <w:p w14:paraId="165A2D28" w14:textId="77777777" w:rsidR="000B62E7" w:rsidRDefault="00A65B0F">
            <w:pPr>
              <w:spacing w:after="0" w:line="240" w:lineRule="auto" w:before="0"/>
              <w:jc w:val="left"/>
            </w:pPr>
            <w:r>
              <w:rPr>
                <w:rFonts w:ascii="Times New Roman" w:hAnsi="Times New Roman"/>
                <w:b w:val="0"/>
                <w:sz w:val="16"/>
              </w:rPr>
              <w:t>6/6 ok; 0 failed; 0 timeout</w:t>
            </w:r>
          </w:p>
        </w:tc>
        <w:tc>
          <w:tcPr>
            <w:tcW w:w="950" w:type="dxa"/>
            <w:vAlign w:val="center"/>
          </w:tcPr>
          <w:p w14:paraId="1C831F17" w14:textId="77777777" w:rsidR="000B62E7" w:rsidRDefault="00A65B0F">
            <w:pPr>
              <w:spacing w:after="0" w:line="240" w:lineRule="auto" w:before="0"/>
              <w:jc w:val="left"/>
            </w:pPr>
            <w:r>
              <w:rPr>
                <w:rFonts w:ascii="Times New Roman" w:hAnsi="Times New Roman"/>
                <w:b w:val="0"/>
                <w:sz w:val="16"/>
              </w:rPr>
              <w:t>133.3 s</w:t>
            </w:r>
          </w:p>
        </w:tc>
        <w:tc>
          <w:tcPr>
            <w:tcW w:w="800" w:type="dxa"/>
            <w:vAlign w:val="center"/>
          </w:tcPr>
          <w:p w14:paraId="6D4C7ABD" w14:textId="77777777" w:rsidR="000B62E7" w:rsidRDefault="00A65B0F">
            <w:pPr>
              <w:spacing w:after="0" w:line="240" w:lineRule="auto" w:before="0"/>
              <w:jc w:val="left"/>
            </w:pPr>
            <w:r>
              <w:rPr>
                <w:rFonts w:ascii="Times New Roman" w:hAnsi="Times New Roman"/>
                <w:b w:val="0"/>
                <w:sz w:val="16"/>
              </w:rPr>
              <w:t>128</w:t>
            </w:r>
          </w:p>
        </w:tc>
        <w:tc>
          <w:tcPr>
            <w:tcW w:w="1400" w:type="dxa"/>
            <w:vAlign w:val="center"/>
          </w:tcPr>
          <w:p w14:paraId="2A0D8625" w14:textId="77777777" w:rsidR="000B62E7" w:rsidRDefault="00A65B0F">
            <w:pPr>
              <w:spacing w:after="0" w:line="240" w:lineRule="auto" w:before="0"/>
              <w:jc w:val="left"/>
            </w:pPr>
            <w:r>
              <w:rPr>
                <w:rFonts w:ascii="Times New Roman" w:hAnsi="Times New Roman"/>
                <w:b w:val="0"/>
                <w:sz w:val="16"/>
              </w:rPr>
              <w:t>median 4.052e-02; max 9.671e-01</w:t>
            </w:r>
          </w:p>
        </w:tc>
        <w:tc>
          <w:tcPr>
            <w:tcW w:w="3260" w:type="dxa"/>
            <w:vAlign w:val="center"/>
          </w:tcPr>
          <w:p>
            <w:pPr>
              <w:spacing w:after="0" w:before="0"/>
              <w:jc w:val="left"/>
            </w:pPr>
            <w:r>
              <w:rPr>
                <w:rFonts w:ascii="Times New Roman" w:hAnsi="Times New Roman"/>
                <w:b w:val="0"/>
                <w:sz w:val="16"/>
              </w:rPr>
              <w:t>GMRES converged, but the low-order far operator failed sampled audits.</w:t>
            </w:r>
          </w:p>
        </w:tc>
      </w:tr>
      <w:tr w:rsidR="000B62E7" w14:paraId="6B417777" w14:textId="77777777">
        <w:trPr>
          <w:cantSplit/>
          <w:jc w:val="center"/>
        </w:trPr>
        <w:tc>
          <w:tcPr>
            <w:tcW w:w="1600" w:type="dxa"/>
            <w:vAlign w:val="center"/>
          </w:tcPr>
          <w:p w14:paraId="357312AD" w14:textId="77777777" w:rsidR="000B62E7" w:rsidRDefault="00A65B0F">
            <w:pPr>
              <w:spacing w:after="0" w:line="240" w:lineRule="auto" w:before="0"/>
              <w:jc w:val="left"/>
            </w:pPr>
            <w:r>
              <w:rPr>
                <w:rFonts w:ascii="Times New Roman" w:hAnsi="Times New Roman"/>
                <w:b w:val="0"/>
                <w:sz w:val="16"/>
              </w:rPr>
              <w:t>Guarded p4 FMM + sparse ILU(0)</w:t>
            </w:r>
          </w:p>
        </w:tc>
        <w:tc>
          <w:tcPr>
            <w:tcW w:w="1350" w:type="dxa"/>
            <w:vAlign w:val="center"/>
          </w:tcPr>
          <w:p w14:paraId="1AA0350A" w14:textId="77777777" w:rsidR="000B62E7" w:rsidRDefault="00A65B0F">
            <w:pPr>
              <w:spacing w:after="0" w:line="240" w:lineRule="auto" w:before="0"/>
              <w:jc w:val="left"/>
            </w:pPr>
            <w:r>
              <w:rPr>
                <w:rFonts w:ascii="Times New Roman" w:hAnsi="Times New Roman"/>
                <w:b w:val="0"/>
                <w:sz w:val="16"/>
              </w:rPr>
              <w:t>6/6 ok; 0 failed; 0 timeout</w:t>
            </w:r>
          </w:p>
        </w:tc>
        <w:tc>
          <w:tcPr>
            <w:tcW w:w="950" w:type="dxa"/>
            <w:vAlign w:val="center"/>
          </w:tcPr>
          <w:p w14:paraId="0F1F9155" w14:textId="77777777" w:rsidR="000B62E7" w:rsidRDefault="00A65B0F">
            <w:pPr>
              <w:spacing w:after="0" w:line="240" w:lineRule="auto" w:before="0"/>
              <w:jc w:val="left"/>
            </w:pPr>
            <w:r>
              <w:rPr>
                <w:rFonts w:ascii="Times New Roman" w:hAnsi="Times New Roman"/>
                <w:b w:val="0"/>
                <w:sz w:val="16"/>
              </w:rPr>
              <w:t>140.6 s</w:t>
            </w:r>
          </w:p>
        </w:tc>
        <w:tc>
          <w:tcPr>
            <w:tcW w:w="800" w:type="dxa"/>
            <w:vAlign w:val="center"/>
          </w:tcPr>
          <w:p w14:paraId="49173568" w14:textId="77777777" w:rsidR="000B62E7" w:rsidRDefault="00A65B0F">
            <w:pPr>
              <w:spacing w:after="0" w:line="240" w:lineRule="auto" w:before="0"/>
              <w:jc w:val="left"/>
            </w:pPr>
            <w:r>
              <w:rPr>
                <w:rFonts w:ascii="Times New Roman" w:hAnsi="Times New Roman"/>
                <w:b w:val="0"/>
                <w:sz w:val="16"/>
              </w:rPr>
              <w:t>128</w:t>
            </w:r>
          </w:p>
        </w:tc>
        <w:tc>
          <w:tcPr>
            <w:tcW w:w="1400" w:type="dxa"/>
            <w:vAlign w:val="center"/>
          </w:tcPr>
          <w:p w14:paraId="1A68B438" w14:textId="77777777" w:rsidR="000B62E7" w:rsidRDefault="00A65B0F">
            <w:pPr>
              <w:spacing w:after="0" w:line="240" w:lineRule="auto" w:before="0"/>
              <w:jc w:val="left"/>
            </w:pPr>
            <w:r>
              <w:rPr>
                <w:rFonts w:ascii="Times New Roman" w:hAnsi="Times New Roman"/>
                <w:b w:val="0"/>
                <w:sz w:val="16"/>
              </w:rPr>
              <w:t>median 1.121e-05; max 2.534e-03</w:t>
            </w:r>
          </w:p>
        </w:tc>
        <w:tc>
          <w:tcPr>
            <w:tcW w:w="3260" w:type="dxa"/>
            <w:vAlign w:val="center"/>
          </w:tcPr>
          <w:p>
            <w:pPr>
              <w:spacing w:after="0" w:before="0"/>
              <w:jc w:val="left"/>
            </w:pPr>
            <w:r>
              <w:rPr>
                <w:rFonts w:ascii="Times New Roman" w:hAnsi="Times New Roman"/>
                <w:b w:val="0"/>
                <w:sz w:val="16"/>
              </w:rPr>
              <w:t>Converged and passed sampled direct-operator audit.</w:t>
            </w:r>
          </w:p>
        </w:tc>
      </w:tr>
    </w:tbl>
    <w:p w14:paraId="4990F070" w14:textId="77777777" w:rsidR="000B62E7" w:rsidRDefault="00A65B0F">
      <w:pPr>
        <w:pStyle w:val="Caption"/>
        <w:keepNext/>
      </w:pPr>
      <w:r>
        <w:rPr>
          <w:rFonts w:ascii="Times New Roman" w:hAnsi="Times New Roman"/>
          <w:sz w:val="20"/>
        </w:rPr>
        <w:t>Table 4. Guarded p4 + sparse ILU(0) full-protein rows from the performance ladder.</w:t>
      </w:r>
    </w:p>
    <w:tbl>
      <w:tblPr>
        <w:tblStyle w:val="TableGrid"/>
        <w:tblW w:w="9000" w:type="dxa"/>
        <w:jc w:val="center"/>
        <w:tblLayout w:type="autofit"/>
        <w:tblLook w:val="04A0" w:firstRow="1" w:lastRow="0" w:firstColumn="1" w:lastColumn="0" w:noHBand="0" w:noVBand="1"/>
      </w:tblPr>
      <w:tblGrid>
        <w:gridCol w:w="1800"/>
        <w:gridCol w:w="1100"/>
        <w:gridCol w:w="700"/>
        <w:gridCol w:w="600"/>
        <w:gridCol w:w="1200"/>
        <w:gridCol w:w="1050"/>
        <w:gridCol w:w="1200"/>
        <w:gridCol w:w="700"/>
        <w:gridCol w:w="650"/>
      </w:tblGrid>
      <w:tr w:rsidR="000B62E7" w14:paraId="73FEEFBD" w14:textId="77777777">
        <w:trPr>
          <w:cantSplit/>
          <w:tblHeader/>
          <w:jc w:val="center"/>
        </w:trPr>
        <w:tc>
          <w:tcPr>
            <w:tcW w:w="1800" w:type="dxa"/>
            <w:shd w:val="clear" w:color="auto" w:fill="E7E6E6"/>
            <w:vAlign w:val="center"/>
          </w:tcPr>
          <w:p w14:paraId="5864DB38" w14:textId="77777777" w:rsidR="000B62E7" w:rsidRDefault="00A65B0F">
            <w:pPr>
              <w:spacing w:after="0" w:line="240" w:lineRule="auto" w:before="0"/>
              <w:jc w:val="left"/>
            </w:pPr>
            <w:r>
              <w:rPr>
                <w:rFonts w:ascii="Times New Roman" w:hAnsi="Times New Roman"/>
                <w:b/>
                <w:sz w:val="16"/>
              </w:rPr>
              <w:t>Protein</w:t>
            </w:r>
          </w:p>
        </w:tc>
        <w:tc>
          <w:tcPr>
            <w:tcW w:w="1100" w:type="dxa"/>
            <w:shd w:val="clear" w:color="auto" w:fill="E7E6E6"/>
            <w:vAlign w:val="center"/>
          </w:tcPr>
          <w:p w14:paraId="303AC7B7" w14:textId="77777777" w:rsidR="000B62E7" w:rsidRDefault="00A65B0F">
            <w:pPr>
              <w:spacing w:after="0" w:line="240" w:lineRule="auto" w:before="0"/>
              <w:jc w:val="left"/>
            </w:pPr>
            <w:r>
              <w:rPr>
                <w:rFonts w:ascii="Times New Roman" w:hAnsi="Times New Roman"/>
                <w:b/>
                <w:sz w:val="16"/>
              </w:rPr>
              <w:t>PDB/source</w:t>
            </w:r>
          </w:p>
        </w:tc>
        <w:tc>
          <w:tcPr>
            <w:tcW w:w="700" w:type="dxa"/>
            <w:shd w:val="clear" w:color="auto" w:fill="E7E6E6"/>
            <w:vAlign w:val="center"/>
          </w:tcPr>
          <w:p w14:paraId="5A0C7F30" w14:textId="77777777" w:rsidR="000B62E7" w:rsidRDefault="00A65B0F">
            <w:pPr>
              <w:spacing w:after="0" w:line="240" w:lineRule="auto" w:before="0"/>
              <w:jc w:val="left"/>
            </w:pPr>
            <w:r>
              <w:rPr>
                <w:rFonts w:ascii="Times New Roman" w:hAnsi="Times New Roman"/>
                <w:b/>
                <w:sz w:val="16"/>
              </w:rPr>
              <w:t>Panels</w:t>
            </w:r>
          </w:p>
        </w:tc>
        <w:tc>
          <w:tcPr>
            <w:tcW w:w="600" w:type="dxa"/>
            <w:shd w:val="clear" w:color="auto" w:fill="E7E6E6"/>
            <w:vAlign w:val="center"/>
          </w:tcPr>
          <w:p w14:paraId="2C7827C2" w14:textId="77777777" w:rsidR="000B62E7" w:rsidRDefault="00A65B0F">
            <w:pPr>
              <w:spacing w:after="0" w:line="240" w:lineRule="auto" w:before="0"/>
              <w:jc w:val="left"/>
            </w:pPr>
            <w:r>
              <w:rPr>
                <w:rFonts w:ascii="Times New Roman" w:hAnsi="Times New Roman"/>
                <w:b/>
                <w:sz w:val="16"/>
              </w:rPr>
              <w:t>Iter.</w:t>
            </w:r>
          </w:p>
        </w:tc>
        <w:tc>
          <w:tcPr>
            <w:tcW w:w="1200" w:type="dxa"/>
            <w:shd w:val="clear" w:color="auto" w:fill="E7E6E6"/>
            <w:vAlign w:val="center"/>
          </w:tcPr>
          <w:p w14:paraId="189A16B8" w14:textId="77777777" w:rsidR="000B62E7" w:rsidRDefault="00A65B0F">
            <w:pPr>
              <w:spacing w:after="0" w:line="240" w:lineRule="auto" w:before="0"/>
              <w:jc w:val="left"/>
            </w:pPr>
            <w:r>
              <w:rPr>
                <w:rFonts w:ascii="Times New Roman" w:hAnsi="Times New Roman"/>
                <w:b/>
                <w:sz w:val="16"/>
              </w:rPr>
              <w:t>Internal residual</w:t>
            </w:r>
          </w:p>
        </w:tc>
        <w:tc>
          <w:tcPr>
            <w:tcW w:w="1050" w:type="dxa"/>
            <w:shd w:val="clear" w:color="auto" w:fill="E7E6E6"/>
            <w:vAlign w:val="center"/>
          </w:tcPr>
          <w:p>
            <w:pPr>
              <w:jc w:val="left"/>
            </w:pPr>
            <w:r>
              <w:rPr>
                <w:b/>
                <w:sz w:val="16"/>
              </w:rPr>
              <w:t>Audit RMS</w:t>
            </w:r>
          </w:p>
        </w:tc>
        <w:tc>
          <w:tcPr>
            <w:tcW w:w="1200" w:type="dxa"/>
            <w:shd w:val="clear" w:color="auto" w:fill="E7E6E6"/>
            <w:vAlign w:val="center"/>
          </w:tcPr>
          <w:p>
            <w:pPr>
              <w:jc w:val="left"/>
            </w:pPr>
            <w:r>
              <w:rPr>
                <w:b/>
                <w:sz w:val="16"/>
              </w:rPr>
              <w:t>Sampled direct residual</w:t>
            </w:r>
          </w:p>
        </w:tc>
        <w:tc>
          <w:tcPr>
            <w:tcW w:w="700" w:type="dxa"/>
            <w:shd w:val="clear" w:color="auto" w:fill="E7E6E6"/>
            <w:vAlign w:val="center"/>
          </w:tcPr>
          <w:p w14:paraId="1CC77690" w14:textId="77777777" w:rsidR="000B62E7" w:rsidRDefault="00A65B0F">
            <w:pPr>
              <w:spacing w:after="0" w:line="240" w:lineRule="auto" w:before="0"/>
              <w:jc w:val="left"/>
            </w:pPr>
            <w:r>
              <w:rPr>
                <w:rFonts w:ascii="Times New Roman" w:hAnsi="Times New Roman"/>
                <w:b/>
                <w:sz w:val="16"/>
              </w:rPr>
              <w:t>Wall</w:t>
            </w:r>
          </w:p>
        </w:tc>
        <w:tc>
          <w:tcPr>
            <w:tcW w:w="650" w:type="dxa"/>
            <w:shd w:val="clear" w:color="auto" w:fill="E7E6E6"/>
            <w:vAlign w:val="center"/>
          </w:tcPr>
          <w:p w14:paraId="2B1C33E0" w14:textId="77777777" w:rsidR="000B62E7" w:rsidRDefault="00A65B0F">
            <w:pPr>
              <w:spacing w:after="0" w:line="240" w:lineRule="auto" w:before="0"/>
              <w:jc w:val="left"/>
            </w:pPr>
            <w:r>
              <w:rPr>
                <w:rFonts w:ascii="Times New Roman" w:hAnsi="Times New Roman"/>
                <w:b/>
                <w:sz w:val="16"/>
              </w:rPr>
              <w:t>RSS MB</w:t>
            </w:r>
          </w:p>
        </w:tc>
      </w:tr>
      <w:tr w:rsidR="000B62E7" w14:paraId="1C8544FE" w14:textId="77777777">
        <w:trPr>
          <w:cantSplit/>
          <w:jc w:val="center"/>
        </w:trPr>
        <w:tc>
          <w:tcPr>
            <w:tcW w:w="1800" w:type="dxa"/>
            <w:vAlign w:val="center"/>
          </w:tcPr>
          <w:p w14:paraId="16401DEC" w14:textId="77777777" w:rsidR="000B62E7" w:rsidRDefault="00A65B0F">
            <w:pPr>
              <w:spacing w:after="0" w:line="240" w:lineRule="auto" w:before="0"/>
              <w:jc w:val="left"/>
            </w:pPr>
            <w:r>
              <w:rPr>
                <w:rFonts w:ascii="Times New Roman" w:hAnsi="Times New Roman"/>
                <w:b w:val="0"/>
                <w:sz w:val="16"/>
              </w:rPr>
              <w:t>Barnase</w:t>
            </w:r>
          </w:p>
        </w:tc>
        <w:tc>
          <w:tcPr>
            <w:tcW w:w="1100" w:type="dxa"/>
            <w:vAlign w:val="center"/>
          </w:tcPr>
          <w:p w14:paraId="34C8AEBE" w14:textId="77777777" w:rsidR="000B62E7" w:rsidRDefault="00A65B0F">
            <w:pPr>
              <w:spacing w:after="0" w:line="240" w:lineRule="auto" w:before="0"/>
              <w:jc w:val="left"/>
            </w:pPr>
            <w:r>
              <w:rPr>
                <w:rFonts w:ascii="Times New Roman" w:hAnsi="Times New Roman"/>
                <w:b w:val="0"/>
                <w:sz w:val="16"/>
              </w:rPr>
              <w:t>PyDelPhi benchmark</w:t>
            </w:r>
          </w:p>
        </w:tc>
        <w:tc>
          <w:tcPr>
            <w:tcW w:w="700" w:type="dxa"/>
            <w:vAlign w:val="center"/>
          </w:tcPr>
          <w:p w14:paraId="11E477DB" w14:textId="77777777" w:rsidR="000B62E7" w:rsidRDefault="00A65B0F">
            <w:pPr>
              <w:spacing w:after="0" w:line="240" w:lineRule="auto" w:before="0"/>
              <w:jc w:val="left"/>
            </w:pPr>
            <w:r>
              <w:rPr>
                <w:rFonts w:ascii="Times New Roman" w:hAnsi="Times New Roman"/>
                <w:b w:val="0"/>
                <w:sz w:val="16"/>
              </w:rPr>
              <w:t>14942</w:t>
            </w:r>
          </w:p>
        </w:tc>
        <w:tc>
          <w:tcPr>
            <w:tcW w:w="600" w:type="dxa"/>
            <w:vAlign w:val="center"/>
          </w:tcPr>
          <w:p w14:paraId="04D6D551" w14:textId="77777777" w:rsidR="000B62E7" w:rsidRDefault="00A65B0F">
            <w:pPr>
              <w:spacing w:after="0" w:line="240" w:lineRule="auto" w:before="0"/>
              <w:jc w:val="left"/>
            </w:pPr>
            <w:r>
              <w:rPr>
                <w:rFonts w:ascii="Times New Roman" w:hAnsi="Times New Roman"/>
                <w:b w:val="0"/>
                <w:sz w:val="16"/>
              </w:rPr>
              <w:t>128</w:t>
            </w:r>
          </w:p>
        </w:tc>
        <w:tc>
          <w:tcPr>
            <w:tcW w:w="1200" w:type="dxa"/>
            <w:vAlign w:val="center"/>
          </w:tcPr>
          <w:p w14:paraId="40C24637" w14:textId="77777777" w:rsidR="000B62E7" w:rsidRDefault="00A65B0F">
            <w:pPr>
              <w:spacing w:after="0" w:line="240" w:lineRule="auto" w:before="0"/>
              <w:jc w:val="left"/>
            </w:pPr>
            <w:r>
              <w:rPr>
                <w:rFonts w:ascii="Times New Roman" w:hAnsi="Times New Roman"/>
                <w:b w:val="0"/>
                <w:sz w:val="16"/>
              </w:rPr>
              <w:t>8.579e-13</w:t>
            </w:r>
          </w:p>
        </w:tc>
        <w:tc>
          <w:tcPr>
            <w:tcW w:w="1050" w:type="dxa"/>
            <w:vAlign w:val="center"/>
          </w:tcPr>
          <w:p w14:paraId="780C71E3" w14:textId="77777777" w:rsidR="000B62E7" w:rsidRDefault="00A65B0F">
            <w:pPr>
              <w:spacing w:after="0" w:line="240" w:lineRule="auto" w:before="0"/>
              <w:jc w:val="left"/>
            </w:pPr>
            <w:r>
              <w:rPr>
                <w:rFonts w:ascii="Times New Roman" w:hAnsi="Times New Roman"/>
                <w:b w:val="0"/>
                <w:sz w:val="16"/>
              </w:rPr>
              <w:t>7.647e-05</w:t>
            </w:r>
          </w:p>
        </w:tc>
        <w:tc>
          <w:tcPr>
            <w:tcW w:w="1200" w:type="dxa"/>
            <w:vAlign w:val="center"/>
          </w:tcPr>
          <w:p w14:paraId="1079FD5D" w14:textId="77777777" w:rsidR="000B62E7" w:rsidRDefault="00A65B0F">
            <w:pPr>
              <w:spacing w:after="0" w:line="240" w:lineRule="auto" w:before="0"/>
              <w:jc w:val="left"/>
            </w:pPr>
            <w:r>
              <w:rPr>
                <w:rFonts w:ascii="Times New Roman" w:hAnsi="Times New Roman"/>
                <w:b w:val="0"/>
                <w:sz w:val="16"/>
              </w:rPr>
              <w:t>7.647e-05</w:t>
            </w:r>
          </w:p>
        </w:tc>
        <w:tc>
          <w:tcPr>
            <w:tcW w:w="700" w:type="dxa"/>
            <w:vAlign w:val="center"/>
          </w:tcPr>
          <w:p w14:paraId="32F9A1D7" w14:textId="77777777" w:rsidR="000B62E7" w:rsidRDefault="00A65B0F">
            <w:pPr>
              <w:spacing w:after="0" w:line="240" w:lineRule="auto" w:before="0"/>
              <w:jc w:val="left"/>
            </w:pPr>
            <w:r>
              <w:rPr>
                <w:rFonts w:ascii="Times New Roman" w:hAnsi="Times New Roman"/>
                <w:b w:val="0"/>
                <w:sz w:val="16"/>
              </w:rPr>
              <w:t>245.0 s</w:t>
            </w:r>
          </w:p>
        </w:tc>
        <w:tc>
          <w:tcPr>
            <w:tcW w:w="650" w:type="dxa"/>
            <w:vAlign w:val="center"/>
          </w:tcPr>
          <w:p w14:paraId="2DC292C4" w14:textId="77777777" w:rsidR="000B62E7" w:rsidRDefault="00A65B0F">
            <w:pPr>
              <w:spacing w:after="0" w:line="240" w:lineRule="auto" w:before="0"/>
              <w:jc w:val="left"/>
            </w:pPr>
            <w:r>
              <w:rPr>
                <w:rFonts w:ascii="Times New Roman" w:hAnsi="Times New Roman"/>
                <w:b w:val="0"/>
                <w:sz w:val="16"/>
              </w:rPr>
              <w:t>172.5</w:t>
            </w:r>
          </w:p>
        </w:tc>
      </w:tr>
      <w:tr w:rsidR="000B62E7" w14:paraId="34AE4582" w14:textId="77777777">
        <w:trPr>
          <w:cantSplit/>
          <w:jc w:val="center"/>
        </w:trPr>
        <w:tc>
          <w:tcPr>
            <w:tcW w:w="1800" w:type="dxa"/>
            <w:vAlign w:val="center"/>
          </w:tcPr>
          <w:p w14:paraId="3FB48B4E" w14:textId="77777777" w:rsidR="000B62E7" w:rsidRDefault="00A65B0F">
            <w:pPr>
              <w:spacing w:after="0" w:line="240" w:lineRule="auto" w:before="0"/>
              <w:jc w:val="left"/>
            </w:pPr>
            <w:r>
              <w:rPr>
                <w:rFonts w:ascii="Times New Roman" w:hAnsi="Times New Roman"/>
                <w:b w:val="0"/>
                <w:sz w:val="16"/>
              </w:rPr>
              <w:t>RNA-binding domain of E. coli Rho factor</w:t>
            </w:r>
          </w:p>
        </w:tc>
        <w:tc>
          <w:tcPr>
            <w:tcW w:w="1100" w:type="dxa"/>
            <w:vAlign w:val="center"/>
          </w:tcPr>
          <w:p w14:paraId="0C5110AC" w14:textId="77777777" w:rsidR="000B62E7" w:rsidRDefault="00A65B0F">
            <w:pPr>
              <w:spacing w:after="0" w:line="240" w:lineRule="auto" w:before="0"/>
              <w:jc w:val="left"/>
            </w:pPr>
            <w:r>
              <w:rPr>
                <w:rFonts w:ascii="Times New Roman" w:hAnsi="Times New Roman"/>
                <w:b w:val="0"/>
                <w:sz w:val="16"/>
              </w:rPr>
              <w:t>1A63</w:t>
            </w:r>
          </w:p>
        </w:tc>
        <w:tc>
          <w:tcPr>
            <w:tcW w:w="700" w:type="dxa"/>
            <w:vAlign w:val="center"/>
          </w:tcPr>
          <w:p w14:paraId="1CF94817" w14:textId="77777777" w:rsidR="000B62E7" w:rsidRDefault="00A65B0F">
            <w:pPr>
              <w:spacing w:after="0" w:line="240" w:lineRule="auto" w:before="0"/>
              <w:jc w:val="left"/>
            </w:pPr>
            <w:r>
              <w:rPr>
                <w:rFonts w:ascii="Times New Roman" w:hAnsi="Times New Roman"/>
                <w:b w:val="0"/>
                <w:sz w:val="16"/>
              </w:rPr>
              <w:t>17250</w:t>
            </w:r>
          </w:p>
        </w:tc>
        <w:tc>
          <w:tcPr>
            <w:tcW w:w="600" w:type="dxa"/>
            <w:vAlign w:val="center"/>
          </w:tcPr>
          <w:p w14:paraId="224F5746" w14:textId="77777777" w:rsidR="000B62E7" w:rsidRDefault="00A65B0F">
            <w:pPr>
              <w:spacing w:after="0" w:line="240" w:lineRule="auto" w:before="0"/>
              <w:jc w:val="left"/>
            </w:pPr>
            <w:r>
              <w:rPr>
                <w:rFonts w:ascii="Times New Roman" w:hAnsi="Times New Roman"/>
                <w:b w:val="0"/>
                <w:sz w:val="16"/>
              </w:rPr>
              <w:t>128</w:t>
            </w:r>
          </w:p>
        </w:tc>
        <w:tc>
          <w:tcPr>
            <w:tcW w:w="1200" w:type="dxa"/>
            <w:vAlign w:val="center"/>
          </w:tcPr>
          <w:p w14:paraId="58D3E5C1" w14:textId="77777777" w:rsidR="000B62E7" w:rsidRDefault="00A65B0F">
            <w:pPr>
              <w:spacing w:after="0" w:line="240" w:lineRule="auto" w:before="0"/>
              <w:jc w:val="left"/>
            </w:pPr>
            <w:r>
              <w:rPr>
                <w:rFonts w:ascii="Times New Roman" w:hAnsi="Times New Roman"/>
                <w:b w:val="0"/>
                <w:sz w:val="16"/>
              </w:rPr>
              <w:t>1.337e-11</w:t>
            </w:r>
          </w:p>
        </w:tc>
        <w:tc>
          <w:tcPr>
            <w:tcW w:w="1050" w:type="dxa"/>
            <w:vAlign w:val="center"/>
          </w:tcPr>
          <w:p w14:paraId="54220856" w14:textId="77777777" w:rsidR="000B62E7" w:rsidRDefault="00A65B0F">
            <w:pPr>
              <w:spacing w:after="0" w:line="240" w:lineRule="auto" w:before="0"/>
              <w:jc w:val="left"/>
            </w:pPr>
            <w:r>
              <w:rPr>
                <w:rFonts w:ascii="Times New Roman" w:hAnsi="Times New Roman"/>
                <w:b w:val="0"/>
                <w:sz w:val="16"/>
              </w:rPr>
              <w:t>2.534e-03</w:t>
            </w:r>
          </w:p>
        </w:tc>
        <w:tc>
          <w:tcPr>
            <w:tcW w:w="1200" w:type="dxa"/>
            <w:vAlign w:val="center"/>
          </w:tcPr>
          <w:p w14:paraId="38A6A24F" w14:textId="77777777" w:rsidR="000B62E7" w:rsidRDefault="00A65B0F">
            <w:pPr>
              <w:spacing w:after="0" w:line="240" w:lineRule="auto" w:before="0"/>
              <w:jc w:val="left"/>
            </w:pPr>
            <w:r>
              <w:rPr>
                <w:rFonts w:ascii="Times New Roman" w:hAnsi="Times New Roman"/>
                <w:b w:val="0"/>
                <w:sz w:val="16"/>
              </w:rPr>
              <w:t>2.535e-03</w:t>
            </w:r>
          </w:p>
        </w:tc>
        <w:tc>
          <w:tcPr>
            <w:tcW w:w="700" w:type="dxa"/>
            <w:vAlign w:val="center"/>
          </w:tcPr>
          <w:p w14:paraId="6BAD8D15" w14:textId="77777777" w:rsidR="000B62E7" w:rsidRDefault="00A65B0F">
            <w:pPr>
              <w:spacing w:after="0" w:line="240" w:lineRule="auto" w:before="0"/>
              <w:jc w:val="left"/>
            </w:pPr>
            <w:r>
              <w:rPr>
                <w:rFonts w:ascii="Times New Roman" w:hAnsi="Times New Roman"/>
                <w:b w:val="0"/>
                <w:sz w:val="16"/>
              </w:rPr>
              <w:t>312.6 s</w:t>
            </w:r>
          </w:p>
        </w:tc>
        <w:tc>
          <w:tcPr>
            <w:tcW w:w="650" w:type="dxa"/>
            <w:vAlign w:val="center"/>
          </w:tcPr>
          <w:p w14:paraId="7C0A5D67" w14:textId="77777777" w:rsidR="000B62E7" w:rsidRDefault="00A65B0F">
            <w:pPr>
              <w:spacing w:after="0" w:line="240" w:lineRule="auto" w:before="0"/>
              <w:jc w:val="left"/>
            </w:pPr>
            <w:r>
              <w:rPr>
                <w:rFonts w:ascii="Times New Roman" w:hAnsi="Times New Roman"/>
                <w:b w:val="0"/>
                <w:sz w:val="16"/>
              </w:rPr>
              <w:t>369.6</w:t>
            </w:r>
          </w:p>
        </w:tc>
      </w:tr>
      <w:tr w:rsidR="000B62E7" w14:paraId="7CC8B5BB" w14:textId="77777777">
        <w:trPr>
          <w:cantSplit/>
          <w:jc w:val="center"/>
        </w:trPr>
        <w:tc>
          <w:tcPr>
            <w:tcW w:w="1800" w:type="dxa"/>
            <w:vAlign w:val="center"/>
          </w:tcPr>
          <w:p w14:paraId="1CAD6744" w14:textId="77777777" w:rsidR="000B62E7" w:rsidRDefault="00A65B0F">
            <w:pPr>
              <w:spacing w:after="0" w:line="240" w:lineRule="auto" w:before="0"/>
              <w:jc w:val="left"/>
            </w:pPr>
            <w:r>
              <w:rPr>
                <w:rFonts w:ascii="Times New Roman" w:hAnsi="Times New Roman"/>
                <w:b w:val="0"/>
                <w:sz w:val="16"/>
              </w:rPr>
              <w:t>Stichodactyla helianthus neurotoxin I</w:t>
            </w:r>
          </w:p>
        </w:tc>
        <w:tc>
          <w:tcPr>
            <w:tcW w:w="1100" w:type="dxa"/>
            <w:vAlign w:val="center"/>
          </w:tcPr>
          <w:p w14:paraId="435F69C7" w14:textId="77777777" w:rsidR="000B62E7" w:rsidRDefault="00A65B0F">
            <w:pPr>
              <w:spacing w:after="0" w:line="240" w:lineRule="auto" w:before="0"/>
              <w:jc w:val="left"/>
            </w:pPr>
            <w:r>
              <w:rPr>
                <w:rFonts w:ascii="Times New Roman" w:hAnsi="Times New Roman"/>
                <w:b w:val="0"/>
                <w:sz w:val="16"/>
              </w:rPr>
              <w:t>1SH1</w:t>
            </w:r>
          </w:p>
        </w:tc>
        <w:tc>
          <w:tcPr>
            <w:tcW w:w="700" w:type="dxa"/>
            <w:vAlign w:val="center"/>
          </w:tcPr>
          <w:p w14:paraId="3E69DB79" w14:textId="77777777" w:rsidR="000B62E7" w:rsidRDefault="00A65B0F">
            <w:pPr>
              <w:spacing w:after="0" w:line="240" w:lineRule="auto" w:before="0"/>
              <w:jc w:val="left"/>
            </w:pPr>
            <w:r>
              <w:rPr>
                <w:rFonts w:ascii="Times New Roman" w:hAnsi="Times New Roman"/>
                <w:b w:val="0"/>
                <w:sz w:val="16"/>
              </w:rPr>
              <w:t>6673</w:t>
            </w:r>
          </w:p>
        </w:tc>
        <w:tc>
          <w:tcPr>
            <w:tcW w:w="600" w:type="dxa"/>
            <w:vAlign w:val="center"/>
          </w:tcPr>
          <w:p w14:paraId="7E15852C" w14:textId="77777777" w:rsidR="000B62E7" w:rsidRDefault="00A65B0F">
            <w:pPr>
              <w:spacing w:after="0" w:line="240" w:lineRule="auto" w:before="0"/>
              <w:jc w:val="left"/>
            </w:pPr>
            <w:r>
              <w:rPr>
                <w:rFonts w:ascii="Times New Roman" w:hAnsi="Times New Roman"/>
                <w:b w:val="0"/>
                <w:sz w:val="16"/>
              </w:rPr>
              <w:t>128</w:t>
            </w:r>
          </w:p>
        </w:tc>
        <w:tc>
          <w:tcPr>
            <w:tcW w:w="1200" w:type="dxa"/>
            <w:vAlign w:val="center"/>
          </w:tcPr>
          <w:p w14:paraId="1AA2EF7C" w14:textId="77777777" w:rsidR="000B62E7" w:rsidRDefault="00A65B0F">
            <w:pPr>
              <w:spacing w:after="0" w:line="240" w:lineRule="auto" w:before="0"/>
              <w:jc w:val="left"/>
            </w:pPr>
            <w:r>
              <w:rPr>
                <w:rFonts w:ascii="Times New Roman" w:hAnsi="Times New Roman"/>
                <w:b w:val="0"/>
                <w:sz w:val="16"/>
              </w:rPr>
              <w:t>1.164e-14</w:t>
            </w:r>
          </w:p>
        </w:tc>
        <w:tc>
          <w:tcPr>
            <w:tcW w:w="1050" w:type="dxa"/>
            <w:vAlign w:val="center"/>
          </w:tcPr>
          <w:p w14:paraId="77CA1D51" w14:textId="77777777" w:rsidR="000B62E7" w:rsidRDefault="00A65B0F">
            <w:pPr>
              <w:spacing w:after="0" w:line="240" w:lineRule="auto" w:before="0"/>
              <w:jc w:val="left"/>
            </w:pPr>
            <w:r>
              <w:rPr>
                <w:rFonts w:ascii="Times New Roman" w:hAnsi="Times New Roman"/>
                <w:b w:val="0"/>
                <w:sz w:val="16"/>
              </w:rPr>
              <w:t>5.519e-06</w:t>
            </w:r>
          </w:p>
        </w:tc>
        <w:tc>
          <w:tcPr>
            <w:tcW w:w="1200" w:type="dxa"/>
            <w:vAlign w:val="center"/>
          </w:tcPr>
          <w:p w14:paraId="1FD3B240" w14:textId="77777777" w:rsidR="000B62E7" w:rsidRDefault="00A65B0F">
            <w:pPr>
              <w:spacing w:after="0" w:line="240" w:lineRule="auto" w:before="0"/>
              <w:jc w:val="left"/>
            </w:pPr>
            <w:r>
              <w:rPr>
                <w:rFonts w:ascii="Times New Roman" w:hAnsi="Times New Roman"/>
                <w:b w:val="0"/>
                <w:sz w:val="16"/>
              </w:rPr>
              <w:t>5.519e-06</w:t>
            </w:r>
          </w:p>
        </w:tc>
        <w:tc>
          <w:tcPr>
            <w:tcW w:w="700" w:type="dxa"/>
            <w:vAlign w:val="center"/>
          </w:tcPr>
          <w:p w14:paraId="176A049D" w14:textId="77777777" w:rsidR="000B62E7" w:rsidRDefault="00A65B0F">
            <w:pPr>
              <w:spacing w:after="0" w:line="240" w:lineRule="auto" w:before="0"/>
              <w:jc w:val="left"/>
            </w:pPr>
            <w:r>
              <w:rPr>
                <w:rFonts w:ascii="Times New Roman" w:hAnsi="Times New Roman"/>
                <w:b w:val="0"/>
                <w:sz w:val="16"/>
              </w:rPr>
              <w:t>57.0 s</w:t>
            </w:r>
          </w:p>
        </w:tc>
        <w:tc>
          <w:tcPr>
            <w:tcW w:w="650" w:type="dxa"/>
            <w:vAlign w:val="center"/>
          </w:tcPr>
          <w:p w14:paraId="593FB9D3" w14:textId="77777777" w:rsidR="000B62E7" w:rsidRDefault="00A65B0F">
            <w:pPr>
              <w:spacing w:after="0" w:line="240" w:lineRule="auto" w:before="0"/>
              <w:jc w:val="left"/>
            </w:pPr>
            <w:r>
              <w:rPr>
                <w:rFonts w:ascii="Times New Roman" w:hAnsi="Times New Roman"/>
                <w:b w:val="0"/>
                <w:sz w:val="16"/>
              </w:rPr>
              <w:t>63.1</w:t>
            </w:r>
          </w:p>
        </w:tc>
      </w:tr>
      <w:tr w:rsidR="000B62E7" w14:paraId="74814C30" w14:textId="77777777">
        <w:trPr>
          <w:cantSplit/>
          <w:jc w:val="center"/>
        </w:trPr>
        <w:tc>
          <w:tcPr>
            <w:tcW w:w="1800" w:type="dxa"/>
            <w:vAlign w:val="center"/>
          </w:tcPr>
          <w:p w14:paraId="3AF0BE38" w14:textId="77777777" w:rsidR="000B62E7" w:rsidRDefault="00A65B0F">
            <w:pPr>
              <w:spacing w:after="0" w:line="240" w:lineRule="auto" w:before="0"/>
              <w:jc w:val="left"/>
            </w:pPr>
            <w:r>
              <w:rPr>
                <w:rFonts w:ascii="Times New Roman" w:hAnsi="Times New Roman"/>
                <w:b w:val="0"/>
                <w:sz w:val="16"/>
              </w:rPr>
              <w:t>Ubiquitin</w:t>
            </w:r>
          </w:p>
        </w:tc>
        <w:tc>
          <w:tcPr>
            <w:tcW w:w="1100" w:type="dxa"/>
            <w:vAlign w:val="center"/>
          </w:tcPr>
          <w:p w14:paraId="40BE4AC7" w14:textId="77777777" w:rsidR="000B62E7" w:rsidRDefault="00A65B0F">
            <w:pPr>
              <w:spacing w:after="0" w:line="240" w:lineRule="auto" w:before="0"/>
              <w:jc w:val="left"/>
            </w:pPr>
            <w:r>
              <w:rPr>
                <w:rFonts w:ascii="Times New Roman" w:hAnsi="Times New Roman"/>
                <w:b w:val="0"/>
                <w:sz w:val="16"/>
              </w:rPr>
              <w:t>1UBQ</w:t>
            </w:r>
          </w:p>
        </w:tc>
        <w:tc>
          <w:tcPr>
            <w:tcW w:w="700" w:type="dxa"/>
            <w:vAlign w:val="center"/>
          </w:tcPr>
          <w:p w14:paraId="5F47855D" w14:textId="77777777" w:rsidR="000B62E7" w:rsidRDefault="00A65B0F">
            <w:pPr>
              <w:spacing w:after="0" w:line="240" w:lineRule="auto" w:before="0"/>
              <w:jc w:val="left"/>
            </w:pPr>
            <w:r>
              <w:rPr>
                <w:rFonts w:ascii="Times New Roman" w:hAnsi="Times New Roman"/>
                <w:b w:val="0"/>
                <w:sz w:val="16"/>
              </w:rPr>
              <w:t>11242</w:t>
            </w:r>
          </w:p>
        </w:tc>
        <w:tc>
          <w:tcPr>
            <w:tcW w:w="600" w:type="dxa"/>
            <w:vAlign w:val="center"/>
          </w:tcPr>
          <w:p w14:paraId="55D42F27" w14:textId="77777777" w:rsidR="000B62E7" w:rsidRDefault="00A65B0F">
            <w:pPr>
              <w:spacing w:after="0" w:line="240" w:lineRule="auto" w:before="0"/>
              <w:jc w:val="left"/>
            </w:pPr>
            <w:r>
              <w:rPr>
                <w:rFonts w:ascii="Times New Roman" w:hAnsi="Times New Roman"/>
                <w:b w:val="0"/>
                <w:sz w:val="16"/>
              </w:rPr>
              <w:t>128</w:t>
            </w:r>
          </w:p>
        </w:tc>
        <w:tc>
          <w:tcPr>
            <w:tcW w:w="1200" w:type="dxa"/>
            <w:vAlign w:val="center"/>
          </w:tcPr>
          <w:p w14:paraId="4821DA5D" w14:textId="77777777" w:rsidR="000B62E7" w:rsidRDefault="00A65B0F">
            <w:pPr>
              <w:spacing w:after="0" w:line="240" w:lineRule="auto" w:before="0"/>
              <w:jc w:val="left"/>
            </w:pPr>
            <w:r>
              <w:rPr>
                <w:rFonts w:ascii="Times New Roman" w:hAnsi="Times New Roman"/>
                <w:b w:val="0"/>
                <w:sz w:val="16"/>
              </w:rPr>
              <w:t>2.719e-13</w:t>
            </w:r>
          </w:p>
        </w:tc>
        <w:tc>
          <w:tcPr>
            <w:tcW w:w="1050" w:type="dxa"/>
            <w:vAlign w:val="center"/>
          </w:tcPr>
          <w:p w14:paraId="55C2EA8A" w14:textId="77777777" w:rsidR="000B62E7" w:rsidRDefault="00A65B0F">
            <w:pPr>
              <w:spacing w:after="0" w:line="240" w:lineRule="auto" w:before="0"/>
              <w:jc w:val="left"/>
            </w:pPr>
            <w:r>
              <w:rPr>
                <w:rFonts w:ascii="Times New Roman" w:hAnsi="Times New Roman"/>
                <w:b w:val="0"/>
                <w:sz w:val="16"/>
              </w:rPr>
              <w:t>1.440e-05</w:t>
            </w:r>
          </w:p>
        </w:tc>
        <w:tc>
          <w:tcPr>
            <w:tcW w:w="1200" w:type="dxa"/>
            <w:vAlign w:val="center"/>
          </w:tcPr>
          <w:p w14:paraId="31AC9849" w14:textId="77777777" w:rsidR="000B62E7" w:rsidRDefault="00A65B0F">
            <w:pPr>
              <w:spacing w:after="0" w:line="240" w:lineRule="auto" w:before="0"/>
              <w:jc w:val="left"/>
            </w:pPr>
            <w:r>
              <w:rPr>
                <w:rFonts w:ascii="Times New Roman" w:hAnsi="Times New Roman"/>
                <w:b w:val="0"/>
                <w:sz w:val="16"/>
              </w:rPr>
              <w:t>1.440e-05</w:t>
            </w:r>
          </w:p>
        </w:tc>
        <w:tc>
          <w:tcPr>
            <w:tcW w:w="700" w:type="dxa"/>
            <w:vAlign w:val="center"/>
          </w:tcPr>
          <w:p w14:paraId="455AEE6D" w14:textId="77777777" w:rsidR="000B62E7" w:rsidRDefault="00A65B0F">
            <w:pPr>
              <w:spacing w:after="0" w:line="240" w:lineRule="auto" w:before="0"/>
              <w:jc w:val="left"/>
            </w:pPr>
            <w:r>
              <w:rPr>
                <w:rFonts w:ascii="Times New Roman" w:hAnsi="Times New Roman"/>
                <w:b w:val="0"/>
                <w:sz w:val="16"/>
              </w:rPr>
              <w:t>154.9 s</w:t>
            </w:r>
          </w:p>
        </w:tc>
        <w:tc>
          <w:tcPr>
            <w:tcW w:w="650" w:type="dxa"/>
            <w:vAlign w:val="center"/>
          </w:tcPr>
          <w:p w14:paraId="4C79B77E" w14:textId="77777777" w:rsidR="000B62E7" w:rsidRDefault="00A65B0F">
            <w:pPr>
              <w:spacing w:after="0" w:line="240" w:lineRule="auto" w:before="0"/>
              <w:jc w:val="left"/>
            </w:pPr>
            <w:r>
              <w:rPr>
                <w:rFonts w:ascii="Times New Roman" w:hAnsi="Times New Roman"/>
                <w:b w:val="0"/>
                <w:sz w:val="16"/>
              </w:rPr>
              <w:t>144.6</w:t>
            </w:r>
          </w:p>
        </w:tc>
      </w:tr>
      <w:tr w:rsidR="000B62E7" w14:paraId="3F2FA599" w14:textId="77777777">
        <w:trPr>
          <w:cantSplit/>
          <w:jc w:val="center"/>
        </w:trPr>
        <w:tc>
          <w:tcPr>
            <w:tcW w:w="1800" w:type="dxa"/>
            <w:vAlign w:val="center"/>
          </w:tcPr>
          <w:p w14:paraId="1F54D177" w14:textId="77777777" w:rsidR="000B62E7" w:rsidRDefault="00A65B0F">
            <w:pPr>
              <w:spacing w:after="0" w:line="240" w:lineRule="auto" w:before="0"/>
              <w:jc w:val="left"/>
            </w:pPr>
            <w:r>
              <w:rPr>
                <w:rFonts w:ascii="Times New Roman" w:hAnsi="Times New Roman"/>
                <w:b w:val="0"/>
                <w:sz w:val="16"/>
              </w:rPr>
              <w:t>Chymotrypsin inhibitor 2</w:t>
            </w:r>
          </w:p>
        </w:tc>
        <w:tc>
          <w:tcPr>
            <w:tcW w:w="1100" w:type="dxa"/>
            <w:vAlign w:val="center"/>
          </w:tcPr>
          <w:p w14:paraId="13F477CF" w14:textId="77777777" w:rsidR="000B62E7" w:rsidRDefault="00A65B0F">
            <w:pPr>
              <w:spacing w:after="0" w:line="240" w:lineRule="auto" w:before="0"/>
              <w:jc w:val="left"/>
            </w:pPr>
            <w:r>
              <w:rPr>
                <w:rFonts w:ascii="Times New Roman" w:hAnsi="Times New Roman"/>
                <w:b w:val="0"/>
                <w:sz w:val="16"/>
              </w:rPr>
              <w:t>2CI2</w:t>
            </w:r>
          </w:p>
        </w:tc>
        <w:tc>
          <w:tcPr>
            <w:tcW w:w="700" w:type="dxa"/>
            <w:vAlign w:val="center"/>
          </w:tcPr>
          <w:p w14:paraId="24A4EECE" w14:textId="77777777" w:rsidR="000B62E7" w:rsidRDefault="00A65B0F">
            <w:pPr>
              <w:spacing w:after="0" w:line="240" w:lineRule="auto" w:before="0"/>
              <w:jc w:val="left"/>
            </w:pPr>
            <w:r>
              <w:rPr>
                <w:rFonts w:ascii="Times New Roman" w:hAnsi="Times New Roman"/>
                <w:b w:val="0"/>
                <w:sz w:val="16"/>
              </w:rPr>
              <w:t>9889</w:t>
            </w:r>
          </w:p>
        </w:tc>
        <w:tc>
          <w:tcPr>
            <w:tcW w:w="600" w:type="dxa"/>
            <w:vAlign w:val="center"/>
          </w:tcPr>
          <w:p w14:paraId="666A2DEC" w14:textId="77777777" w:rsidR="000B62E7" w:rsidRDefault="00A65B0F">
            <w:pPr>
              <w:spacing w:after="0" w:line="240" w:lineRule="auto" w:before="0"/>
              <w:jc w:val="left"/>
            </w:pPr>
            <w:r>
              <w:rPr>
                <w:rFonts w:ascii="Times New Roman" w:hAnsi="Times New Roman"/>
                <w:b w:val="0"/>
                <w:sz w:val="16"/>
              </w:rPr>
              <w:t>128</w:t>
            </w:r>
          </w:p>
        </w:tc>
        <w:tc>
          <w:tcPr>
            <w:tcW w:w="1200" w:type="dxa"/>
            <w:vAlign w:val="center"/>
          </w:tcPr>
          <w:p w14:paraId="1270B5D1" w14:textId="77777777" w:rsidR="000B62E7" w:rsidRDefault="00A65B0F">
            <w:pPr>
              <w:spacing w:after="0" w:line="240" w:lineRule="auto" w:before="0"/>
              <w:jc w:val="left"/>
            </w:pPr>
            <w:r>
              <w:rPr>
                <w:rFonts w:ascii="Times New Roman" w:hAnsi="Times New Roman"/>
                <w:b w:val="0"/>
                <w:sz w:val="16"/>
              </w:rPr>
              <w:t>5.964e-14</w:t>
            </w:r>
          </w:p>
        </w:tc>
        <w:tc>
          <w:tcPr>
            <w:tcW w:w="1050" w:type="dxa"/>
            <w:vAlign w:val="center"/>
          </w:tcPr>
          <w:p w14:paraId="08FBC8CE" w14:textId="77777777" w:rsidR="000B62E7" w:rsidRDefault="00A65B0F">
            <w:pPr>
              <w:spacing w:after="0" w:line="240" w:lineRule="auto" w:before="0"/>
              <w:jc w:val="left"/>
            </w:pPr>
            <w:r>
              <w:rPr>
                <w:rFonts w:ascii="Times New Roman" w:hAnsi="Times New Roman"/>
                <w:b w:val="0"/>
                <w:sz w:val="16"/>
              </w:rPr>
              <w:t>8.022e-06</w:t>
            </w:r>
          </w:p>
        </w:tc>
        <w:tc>
          <w:tcPr>
            <w:tcW w:w="1200" w:type="dxa"/>
            <w:vAlign w:val="center"/>
          </w:tcPr>
          <w:p w14:paraId="3E532AF4" w14:textId="77777777" w:rsidR="000B62E7" w:rsidRDefault="00A65B0F">
            <w:pPr>
              <w:spacing w:after="0" w:line="240" w:lineRule="auto" w:before="0"/>
              <w:jc w:val="left"/>
            </w:pPr>
            <w:r>
              <w:rPr>
                <w:rFonts w:ascii="Times New Roman" w:hAnsi="Times New Roman"/>
                <w:b w:val="0"/>
                <w:sz w:val="16"/>
              </w:rPr>
              <w:t>8.022e-06</w:t>
            </w:r>
          </w:p>
        </w:tc>
        <w:tc>
          <w:tcPr>
            <w:tcW w:w="700" w:type="dxa"/>
            <w:vAlign w:val="center"/>
          </w:tcPr>
          <w:p w14:paraId="17A39B40" w14:textId="77777777" w:rsidR="000B62E7" w:rsidRDefault="00A65B0F">
            <w:pPr>
              <w:spacing w:after="0" w:line="240" w:lineRule="auto" w:before="0"/>
              <w:jc w:val="left"/>
            </w:pPr>
            <w:r>
              <w:rPr>
                <w:rFonts w:ascii="Times New Roman" w:hAnsi="Times New Roman"/>
                <w:b w:val="0"/>
                <w:sz w:val="16"/>
              </w:rPr>
              <w:t>126.3 s</w:t>
            </w:r>
          </w:p>
        </w:tc>
        <w:tc>
          <w:tcPr>
            <w:tcW w:w="650" w:type="dxa"/>
            <w:vAlign w:val="center"/>
          </w:tcPr>
          <w:p w14:paraId="7A879A19" w14:textId="77777777" w:rsidR="000B62E7" w:rsidRDefault="00A65B0F">
            <w:pPr>
              <w:spacing w:after="0" w:line="240" w:lineRule="auto" w:before="0"/>
              <w:jc w:val="left"/>
            </w:pPr>
            <w:r>
              <w:rPr>
                <w:rFonts w:ascii="Times New Roman" w:hAnsi="Times New Roman"/>
                <w:b w:val="0"/>
                <w:sz w:val="16"/>
              </w:rPr>
              <w:t>138.1</w:t>
            </w:r>
          </w:p>
        </w:tc>
      </w:tr>
      <w:tr w:rsidR="000B62E7" w14:paraId="3F64DC4C" w14:textId="77777777">
        <w:trPr>
          <w:cantSplit/>
          <w:jc w:val="center"/>
        </w:trPr>
        <w:tc>
          <w:tcPr>
            <w:tcW w:w="1800" w:type="dxa"/>
            <w:vAlign w:val="center"/>
          </w:tcPr>
          <w:p w14:paraId="21F0A371" w14:textId="77777777" w:rsidR="000B62E7" w:rsidRDefault="00A65B0F">
            <w:pPr>
              <w:spacing w:after="0" w:line="240" w:lineRule="auto" w:before="0"/>
              <w:jc w:val="left"/>
            </w:pPr>
            <w:r>
              <w:rPr>
                <w:rFonts w:ascii="Times New Roman" w:hAnsi="Times New Roman"/>
                <w:b w:val="0"/>
                <w:sz w:val="16"/>
              </w:rPr>
              <w:t>Villin headpiece subdomain</w:t>
            </w:r>
          </w:p>
        </w:tc>
        <w:tc>
          <w:tcPr>
            <w:tcW w:w="1100" w:type="dxa"/>
            <w:vAlign w:val="center"/>
          </w:tcPr>
          <w:p w14:paraId="27BAFD1F" w14:textId="77777777" w:rsidR="000B62E7" w:rsidRDefault="00A65B0F">
            <w:pPr>
              <w:spacing w:after="0" w:line="240" w:lineRule="auto" w:before="0"/>
              <w:jc w:val="left"/>
            </w:pPr>
            <w:r>
              <w:rPr>
                <w:rFonts w:ascii="Times New Roman" w:hAnsi="Times New Roman"/>
                <w:b w:val="0"/>
                <w:sz w:val="16"/>
              </w:rPr>
              <w:t>1VII</w:t>
            </w:r>
          </w:p>
        </w:tc>
        <w:tc>
          <w:tcPr>
            <w:tcW w:w="700" w:type="dxa"/>
            <w:vAlign w:val="center"/>
          </w:tcPr>
          <w:p w14:paraId="4B8D4449" w14:textId="77777777" w:rsidR="000B62E7" w:rsidRDefault="00A65B0F">
            <w:pPr>
              <w:spacing w:after="0" w:line="240" w:lineRule="auto" w:before="0"/>
              <w:jc w:val="left"/>
            </w:pPr>
            <w:r>
              <w:rPr>
                <w:rFonts w:ascii="Times New Roman" w:hAnsi="Times New Roman"/>
                <w:b w:val="0"/>
                <w:sz w:val="16"/>
              </w:rPr>
              <w:t>5032</w:t>
            </w:r>
          </w:p>
        </w:tc>
        <w:tc>
          <w:tcPr>
            <w:tcW w:w="600" w:type="dxa"/>
            <w:vAlign w:val="center"/>
          </w:tcPr>
          <w:p w14:paraId="05817CF0" w14:textId="77777777" w:rsidR="000B62E7" w:rsidRDefault="00A65B0F">
            <w:pPr>
              <w:spacing w:after="0" w:line="240" w:lineRule="auto" w:before="0"/>
              <w:jc w:val="left"/>
            </w:pPr>
            <w:r>
              <w:rPr>
                <w:rFonts w:ascii="Times New Roman" w:hAnsi="Times New Roman"/>
                <w:b w:val="0"/>
                <w:sz w:val="16"/>
              </w:rPr>
              <w:t>128</w:t>
            </w:r>
          </w:p>
        </w:tc>
        <w:tc>
          <w:tcPr>
            <w:tcW w:w="1200" w:type="dxa"/>
            <w:vAlign w:val="center"/>
          </w:tcPr>
          <w:p w14:paraId="53A2C38D" w14:textId="77777777" w:rsidR="000B62E7" w:rsidRDefault="00A65B0F">
            <w:pPr>
              <w:spacing w:after="0" w:line="240" w:lineRule="auto" w:before="0"/>
              <w:jc w:val="left"/>
            </w:pPr>
            <w:r>
              <w:rPr>
                <w:rFonts w:ascii="Times New Roman" w:hAnsi="Times New Roman"/>
                <w:b w:val="0"/>
                <w:sz w:val="16"/>
              </w:rPr>
              <w:t>7.353e-13</w:t>
            </w:r>
          </w:p>
        </w:tc>
        <w:tc>
          <w:tcPr>
            <w:tcW w:w="1050" w:type="dxa"/>
            <w:vAlign w:val="center"/>
          </w:tcPr>
          <w:p w14:paraId="2634D330" w14:textId="77777777" w:rsidR="000B62E7" w:rsidRDefault="00A65B0F">
            <w:pPr>
              <w:spacing w:after="0" w:line="240" w:lineRule="auto" w:before="0"/>
              <w:jc w:val="left"/>
            </w:pPr>
            <w:r>
              <w:rPr>
                <w:rFonts w:ascii="Times New Roman" w:hAnsi="Times New Roman"/>
                <w:b w:val="0"/>
                <w:sz w:val="16"/>
              </w:rPr>
              <w:t>5.357e-06</w:t>
            </w:r>
          </w:p>
        </w:tc>
        <w:tc>
          <w:tcPr>
            <w:tcW w:w="1200" w:type="dxa"/>
            <w:vAlign w:val="center"/>
          </w:tcPr>
          <w:p w14:paraId="53969F8B" w14:textId="77777777" w:rsidR="000B62E7" w:rsidRDefault="00A65B0F">
            <w:pPr>
              <w:spacing w:after="0" w:line="240" w:lineRule="auto" w:before="0"/>
              <w:jc w:val="left"/>
            </w:pPr>
            <w:r>
              <w:rPr>
                <w:rFonts w:ascii="Times New Roman" w:hAnsi="Times New Roman"/>
                <w:b w:val="0"/>
                <w:sz w:val="16"/>
              </w:rPr>
              <w:t>5.357e-06</w:t>
            </w:r>
          </w:p>
        </w:tc>
        <w:tc>
          <w:tcPr>
            <w:tcW w:w="700" w:type="dxa"/>
            <w:vAlign w:val="center"/>
          </w:tcPr>
          <w:p w14:paraId="54737FCC" w14:textId="77777777" w:rsidR="000B62E7" w:rsidRDefault="00A65B0F">
            <w:pPr>
              <w:spacing w:after="0" w:line="240" w:lineRule="auto" w:before="0"/>
              <w:jc w:val="left"/>
            </w:pPr>
            <w:r>
              <w:rPr>
                <w:rFonts w:ascii="Times New Roman" w:hAnsi="Times New Roman"/>
                <w:b w:val="0"/>
                <w:sz w:val="16"/>
              </w:rPr>
              <w:t>37.4 s</w:t>
            </w:r>
          </w:p>
        </w:tc>
        <w:tc>
          <w:tcPr>
            <w:tcW w:w="650" w:type="dxa"/>
            <w:vAlign w:val="center"/>
          </w:tcPr>
          <w:p w14:paraId="6DFA88F4" w14:textId="77777777" w:rsidR="000B62E7" w:rsidRDefault="00A65B0F">
            <w:pPr>
              <w:spacing w:after="0" w:line="240" w:lineRule="auto" w:before="0"/>
              <w:jc w:val="left"/>
            </w:pPr>
            <w:r>
              <w:rPr>
                <w:rFonts w:ascii="Times New Roman" w:hAnsi="Times New Roman"/>
                <w:b w:val="0"/>
                <w:sz w:val="16"/>
              </w:rPr>
              <w:t>54.7</w:t>
            </w:r>
          </w:p>
        </w:tc>
      </w:tr>
    </w:tbl>
    <w:p w14:paraId="1B641991" w14:textId="77777777" w:rsidR="000B62E7" w:rsidRDefault="00A65B0F">
      <w:r>
        <w:rPr>
          <w:rFonts w:ascii="Times New Roman" w:hAnsi="Times New Roman"/>
          <w:sz w:val="20"/>
        </w:rPr>
        <w:br w:type="page"/>
      </w:r>
    </w:p>
    <w:p w14:paraId="6A358DDD" w14:textId="77777777" w:rsidR="000B62E7" w:rsidRDefault="00A65B0F">
      <w:pPr>
        <w:pStyle w:val="Heading1"/>
      </w:pPr>
      <w:r>
        <w:rPr>
          <w:rFonts w:ascii="Times New Roman" w:hAnsi="Times New Roman"/>
          <w:b/>
          <w:sz w:val="24"/>
        </w:rPr>
        <w:lastRenderedPageBreak/>
        <w:t>Primary Protein Panel</w:t>
      </w:r>
    </w:p>
    <w:p w14:paraId="23904E59" w14:textId="77777777" w:rsidR="000B62E7" w:rsidRDefault="00A65B0F">
      <w:pPr>
        <w:pStyle w:val="Caption"/>
        <w:keepNext/>
      </w:pPr>
      <w:r>
        <w:rPr>
          <w:rFonts w:ascii="Times New Roman" w:hAnsi="Times New Roman"/>
          <w:b/>
          <w:sz w:val="20"/>
        </w:rPr>
        <w:t>Table 5. Guarded p4 repeatability on the primary full-protein panel.</w:t>
      </w:r>
    </w:p>
    <w:tbl>
      <w:tblPr>
        <w:tblStyle w:val="TableGrid"/>
        <w:tblW w:w="10050" w:type="dxa"/>
        <w:jc w:val="center"/>
        <w:tblLayout w:type="autofit"/>
        <w:tblLook w:val="04A0" w:firstRow="1" w:lastRow="0" w:firstColumn="1" w:lastColumn="0" w:noHBand="0" w:noVBand="1"/>
      </w:tblPr>
      <w:tblGrid>
        <w:gridCol w:w="2400"/>
        <w:gridCol w:w="1100"/>
        <w:gridCol w:w="900"/>
        <w:gridCol w:w="1100"/>
        <w:gridCol w:w="1050"/>
        <w:gridCol w:w="1450"/>
        <w:gridCol w:w="1150"/>
      </w:tblGrid>
      <w:tr w:rsidR="000B62E7" w14:paraId="1644E012" w14:textId="77777777">
        <w:trPr>
          <w:cantSplit/>
          <w:tblHeader/>
          <w:jc w:val="center"/>
        </w:trPr>
        <w:tc>
          <w:tcPr>
            <w:tcW w:w="2400" w:type="dxa"/>
            <w:shd w:val="clear" w:color="auto" w:fill="E7E6E6"/>
            <w:vAlign w:val="center"/>
          </w:tcPr>
          <w:p w14:paraId="721A77DB" w14:textId="77777777" w:rsidR="000B62E7" w:rsidRDefault="00A65B0F">
            <w:pPr>
              <w:spacing w:after="0" w:line="240" w:lineRule="auto" w:before="0"/>
              <w:jc w:val="left"/>
            </w:pPr>
            <w:r>
              <w:rPr>
                <w:rFonts w:ascii="Times New Roman" w:hAnsi="Times New Roman"/>
                <w:b/>
                <w:sz w:val="16"/>
              </w:rPr>
              <w:t>Protein</w:t>
            </w:r>
          </w:p>
        </w:tc>
        <w:tc>
          <w:tcPr>
            <w:tcW w:w="1100" w:type="dxa"/>
            <w:shd w:val="clear" w:color="auto" w:fill="E7E6E6"/>
            <w:vAlign w:val="center"/>
          </w:tcPr>
          <w:p w14:paraId="7C75105B" w14:textId="77777777" w:rsidR="000B62E7" w:rsidRDefault="00A65B0F">
            <w:pPr>
              <w:spacing w:after="0" w:line="240" w:lineRule="auto" w:before="0"/>
              <w:jc w:val="left"/>
            </w:pPr>
            <w:r>
              <w:rPr>
                <w:rFonts w:ascii="Times New Roman" w:hAnsi="Times New Roman"/>
                <w:b/>
                <w:sz w:val="16"/>
              </w:rPr>
              <w:t>PDB/source</w:t>
            </w:r>
          </w:p>
        </w:tc>
        <w:tc>
          <w:tcPr>
            <w:tcW w:w="900" w:type="dxa"/>
            <w:shd w:val="clear" w:color="auto" w:fill="E7E6E6"/>
            <w:vAlign w:val="center"/>
          </w:tcPr>
          <w:p w14:paraId="32016061" w14:textId="77777777" w:rsidR="000B62E7" w:rsidRDefault="00A65B0F">
            <w:pPr>
              <w:spacing w:after="0" w:line="240" w:lineRule="auto" w:before="0"/>
              <w:jc w:val="left"/>
            </w:pPr>
            <w:r>
              <w:rPr>
                <w:rFonts w:ascii="Times New Roman" w:hAnsi="Times New Roman"/>
                <w:b/>
                <w:sz w:val="16"/>
              </w:rPr>
              <w:t>Panels</w:t>
            </w:r>
          </w:p>
        </w:tc>
        <w:tc>
          <w:tcPr>
            <w:tcW w:w="1100" w:type="dxa"/>
            <w:shd w:val="clear" w:color="auto" w:fill="E7E6E6"/>
            <w:vAlign w:val="center"/>
          </w:tcPr>
          <w:p w14:paraId="79DB43AC" w14:textId="77777777" w:rsidR="000B62E7" w:rsidRDefault="00A65B0F">
            <w:pPr>
              <w:spacing w:after="0" w:line="240" w:lineRule="auto" w:before="0"/>
              <w:jc w:val="left"/>
            </w:pPr>
            <w:r>
              <w:rPr>
                <w:rFonts w:ascii="Times New Roman" w:hAnsi="Times New Roman"/>
                <w:b/>
                <w:sz w:val="16"/>
              </w:rPr>
              <w:t>Energy</w:t>
            </w:r>
          </w:p>
        </w:tc>
        <w:tc>
          <w:tcPr>
            <w:tcW w:w="1050" w:type="dxa"/>
            <w:shd w:val="clear" w:color="auto" w:fill="E7E6E6"/>
            <w:vAlign w:val="center"/>
          </w:tcPr>
          <w:p>
            <w:pPr>
              <w:jc w:val="left"/>
            </w:pPr>
            <w:r>
              <w:rPr>
                <w:b/>
                <w:sz w:val="16"/>
              </w:rPr>
              <w:t>Audit max</w:t>
            </w:r>
          </w:p>
        </w:tc>
        <w:tc>
          <w:tcPr>
            <w:tcW w:w="1450" w:type="dxa"/>
            <w:shd w:val="clear" w:color="auto" w:fill="E7E6E6"/>
            <w:vAlign w:val="center"/>
          </w:tcPr>
          <w:p>
            <w:pPr>
              <w:jc w:val="left"/>
            </w:pPr>
            <w:r>
              <w:rPr>
                <w:b/>
                <w:sz w:val="16"/>
              </w:rPr>
              <w:t>Sampled residual max</w:t>
            </w:r>
          </w:p>
        </w:tc>
        <w:tc>
          <w:tcPr>
            <w:tcW w:w="1150" w:type="dxa"/>
            <w:shd w:val="clear" w:color="auto" w:fill="E7E6E6"/>
            <w:vAlign w:val="center"/>
          </w:tcPr>
          <w:p w14:paraId="57C16C6E" w14:textId="77777777" w:rsidR="000B62E7" w:rsidRDefault="00A65B0F">
            <w:pPr>
              <w:spacing w:after="0" w:line="240" w:lineRule="auto" w:before="0"/>
              <w:jc w:val="left"/>
            </w:pPr>
            <w:r>
              <w:rPr>
                <w:rFonts w:ascii="Times New Roman" w:hAnsi="Times New Roman"/>
                <w:b/>
                <w:sz w:val="16"/>
              </w:rPr>
              <w:t>Energy spread</w:t>
            </w:r>
          </w:p>
        </w:tc>
      </w:tr>
      <w:tr w:rsidR="000B62E7" w14:paraId="464B71A6" w14:textId="77777777">
        <w:trPr>
          <w:cantSplit/>
          <w:jc w:val="center"/>
        </w:trPr>
        <w:tc>
          <w:tcPr>
            <w:tcW w:w="2400" w:type="dxa"/>
            <w:vAlign w:val="center"/>
          </w:tcPr>
          <w:p w14:paraId="6B54D55F" w14:textId="77777777" w:rsidR="000B62E7" w:rsidRDefault="00A65B0F">
            <w:pPr>
              <w:spacing w:after="0" w:line="240" w:lineRule="auto" w:before="0"/>
              <w:jc w:val="left"/>
            </w:pPr>
            <w:r>
              <w:rPr>
                <w:rFonts w:ascii="Times New Roman" w:hAnsi="Times New Roman"/>
                <w:b w:val="0"/>
                <w:sz w:val="16"/>
              </w:rPr>
              <w:t>Barnase</w:t>
            </w:r>
          </w:p>
        </w:tc>
        <w:tc>
          <w:tcPr>
            <w:tcW w:w="1100" w:type="dxa"/>
            <w:vAlign w:val="center"/>
          </w:tcPr>
          <w:p w14:paraId="308A9E9D" w14:textId="77777777" w:rsidR="000B62E7" w:rsidRDefault="00A65B0F">
            <w:pPr>
              <w:spacing w:after="0" w:line="240" w:lineRule="auto" w:before="0"/>
              <w:jc w:val="left"/>
            </w:pPr>
            <w:r>
              <w:rPr>
                <w:rFonts w:ascii="Times New Roman" w:hAnsi="Times New Roman"/>
                <w:b w:val="0"/>
                <w:sz w:val="16"/>
              </w:rPr>
              <w:t>PyDelPhi benchmark</w:t>
            </w:r>
          </w:p>
        </w:tc>
        <w:tc>
          <w:tcPr>
            <w:tcW w:w="900" w:type="dxa"/>
            <w:vAlign w:val="center"/>
          </w:tcPr>
          <w:p w14:paraId="50F3C5AD" w14:textId="77777777" w:rsidR="000B62E7" w:rsidRDefault="00A65B0F">
            <w:pPr>
              <w:spacing w:after="0" w:line="240" w:lineRule="auto" w:before="0"/>
              <w:jc w:val="left"/>
            </w:pPr>
            <w:r>
              <w:rPr>
                <w:rFonts w:ascii="Times New Roman" w:hAnsi="Times New Roman"/>
                <w:b w:val="0"/>
                <w:sz w:val="16"/>
              </w:rPr>
              <w:t>14942</w:t>
            </w:r>
          </w:p>
        </w:tc>
        <w:tc>
          <w:tcPr>
            <w:tcW w:w="1100" w:type="dxa"/>
            <w:vAlign w:val="center"/>
          </w:tcPr>
          <w:p w14:paraId="32F3531E" w14:textId="77777777" w:rsidR="000B62E7" w:rsidRDefault="00A65B0F">
            <w:pPr>
              <w:spacing w:after="0" w:line="240" w:lineRule="auto" w:before="0"/>
              <w:jc w:val="left"/>
            </w:pPr>
            <w:r>
              <w:rPr>
                <w:rFonts w:ascii="Times New Roman" w:hAnsi="Times New Roman"/>
                <w:b w:val="0"/>
                <w:sz w:val="16"/>
              </w:rPr>
              <w:t>-21030.83</w:t>
            </w:r>
          </w:p>
        </w:tc>
        <w:tc>
          <w:tcPr>
            <w:tcW w:w="1050" w:type="dxa"/>
            <w:vAlign w:val="center"/>
          </w:tcPr>
          <w:p w14:paraId="3BC87480" w14:textId="77777777" w:rsidR="000B62E7" w:rsidRDefault="00A65B0F">
            <w:pPr>
              <w:spacing w:after="0" w:line="240" w:lineRule="auto" w:before="0"/>
              <w:jc w:val="left"/>
            </w:pPr>
            <w:r>
              <w:rPr>
                <w:rFonts w:ascii="Times New Roman" w:hAnsi="Times New Roman"/>
                <w:b w:val="0"/>
                <w:sz w:val="16"/>
              </w:rPr>
              <w:t>6.383e-05</w:t>
            </w:r>
          </w:p>
        </w:tc>
        <w:tc>
          <w:tcPr>
            <w:tcW w:w="1450" w:type="dxa"/>
            <w:vAlign w:val="center"/>
          </w:tcPr>
          <w:p w14:paraId="142A1ABC" w14:textId="77777777" w:rsidR="000B62E7" w:rsidRDefault="00A65B0F">
            <w:pPr>
              <w:spacing w:after="0" w:line="240" w:lineRule="auto" w:before="0"/>
              <w:jc w:val="left"/>
            </w:pPr>
            <w:r>
              <w:rPr>
                <w:rFonts w:ascii="Times New Roman" w:hAnsi="Times New Roman"/>
                <w:b w:val="0"/>
                <w:sz w:val="16"/>
              </w:rPr>
              <w:t>6.383e-05</w:t>
            </w:r>
          </w:p>
        </w:tc>
        <w:tc>
          <w:tcPr>
            <w:tcW w:w="1150" w:type="dxa"/>
            <w:vAlign w:val="center"/>
          </w:tcPr>
          <w:p w14:paraId="2E5055AC" w14:textId="77777777" w:rsidR="000B62E7" w:rsidRDefault="00A65B0F">
            <w:pPr>
              <w:spacing w:after="0" w:line="240" w:lineRule="auto" w:before="0"/>
              <w:jc w:val="left"/>
            </w:pPr>
            <w:r>
              <w:rPr>
                <w:rFonts w:ascii="Times New Roman" w:hAnsi="Times New Roman"/>
                <w:b w:val="0"/>
                <w:sz w:val="16"/>
              </w:rPr>
              <w:t>0.000</w:t>
            </w:r>
          </w:p>
        </w:tc>
      </w:tr>
      <w:tr w:rsidR="000B62E7" w14:paraId="3EB97B77" w14:textId="77777777">
        <w:trPr>
          <w:cantSplit/>
          <w:jc w:val="center"/>
        </w:trPr>
        <w:tc>
          <w:tcPr>
            <w:tcW w:w="2400" w:type="dxa"/>
            <w:vAlign w:val="center"/>
          </w:tcPr>
          <w:p w14:paraId="5753CF03" w14:textId="77777777" w:rsidR="000B62E7" w:rsidRDefault="00A65B0F">
            <w:pPr>
              <w:spacing w:after="0" w:line="240" w:lineRule="auto" w:before="0"/>
              <w:jc w:val="left"/>
            </w:pPr>
            <w:r>
              <w:rPr>
                <w:rFonts w:ascii="Times New Roman" w:hAnsi="Times New Roman"/>
                <w:b w:val="0"/>
                <w:sz w:val="16"/>
              </w:rPr>
              <w:t>RNA-binding domain of E. coli Rho factor</w:t>
            </w:r>
          </w:p>
        </w:tc>
        <w:tc>
          <w:tcPr>
            <w:tcW w:w="1100" w:type="dxa"/>
            <w:vAlign w:val="center"/>
          </w:tcPr>
          <w:p w14:paraId="45397A89" w14:textId="77777777" w:rsidR="000B62E7" w:rsidRDefault="00A65B0F">
            <w:pPr>
              <w:spacing w:after="0" w:line="240" w:lineRule="auto" w:before="0"/>
              <w:jc w:val="left"/>
            </w:pPr>
            <w:r>
              <w:rPr>
                <w:rFonts w:ascii="Times New Roman" w:hAnsi="Times New Roman"/>
                <w:b w:val="0"/>
                <w:sz w:val="16"/>
              </w:rPr>
              <w:t>1A63</w:t>
            </w:r>
          </w:p>
        </w:tc>
        <w:tc>
          <w:tcPr>
            <w:tcW w:w="900" w:type="dxa"/>
            <w:vAlign w:val="center"/>
          </w:tcPr>
          <w:p w14:paraId="491EA872" w14:textId="77777777" w:rsidR="000B62E7" w:rsidRDefault="00A65B0F">
            <w:pPr>
              <w:spacing w:after="0" w:line="240" w:lineRule="auto" w:before="0"/>
              <w:jc w:val="left"/>
            </w:pPr>
            <w:r>
              <w:rPr>
                <w:rFonts w:ascii="Times New Roman" w:hAnsi="Times New Roman"/>
                <w:b w:val="0"/>
                <w:sz w:val="16"/>
              </w:rPr>
              <w:t>17250</w:t>
            </w:r>
          </w:p>
        </w:tc>
        <w:tc>
          <w:tcPr>
            <w:tcW w:w="1100" w:type="dxa"/>
            <w:vAlign w:val="center"/>
          </w:tcPr>
          <w:p w14:paraId="3830EC9D" w14:textId="77777777" w:rsidR="000B62E7" w:rsidRDefault="00A65B0F">
            <w:pPr>
              <w:spacing w:after="0" w:line="240" w:lineRule="auto" w:before="0"/>
              <w:jc w:val="left"/>
            </w:pPr>
            <w:r>
              <w:rPr>
                <w:rFonts w:ascii="Times New Roman" w:hAnsi="Times New Roman"/>
                <w:b w:val="0"/>
                <w:sz w:val="16"/>
              </w:rPr>
              <w:t>-247716.08</w:t>
            </w:r>
          </w:p>
        </w:tc>
        <w:tc>
          <w:tcPr>
            <w:tcW w:w="1050" w:type="dxa"/>
            <w:vAlign w:val="center"/>
          </w:tcPr>
          <w:p w14:paraId="47F21CA6" w14:textId="77777777" w:rsidR="000B62E7" w:rsidRDefault="00A65B0F">
            <w:pPr>
              <w:spacing w:after="0" w:line="240" w:lineRule="auto" w:before="0"/>
              <w:jc w:val="left"/>
            </w:pPr>
            <w:r>
              <w:rPr>
                <w:rFonts w:ascii="Times New Roman" w:hAnsi="Times New Roman"/>
                <w:b w:val="0"/>
                <w:sz w:val="16"/>
              </w:rPr>
              <w:t>2.357e-03</w:t>
            </w:r>
          </w:p>
        </w:tc>
        <w:tc>
          <w:tcPr>
            <w:tcW w:w="1450" w:type="dxa"/>
            <w:vAlign w:val="center"/>
          </w:tcPr>
          <w:p w14:paraId="2E41EF70" w14:textId="77777777" w:rsidR="000B62E7" w:rsidRDefault="00A65B0F">
            <w:pPr>
              <w:spacing w:after="0" w:line="240" w:lineRule="auto" w:before="0"/>
              <w:jc w:val="left"/>
            </w:pPr>
            <w:r>
              <w:rPr>
                <w:rFonts w:ascii="Times New Roman" w:hAnsi="Times New Roman"/>
                <w:b w:val="0"/>
                <w:sz w:val="16"/>
              </w:rPr>
              <w:t>2.357e-03</w:t>
            </w:r>
          </w:p>
        </w:tc>
        <w:tc>
          <w:tcPr>
            <w:tcW w:w="1150" w:type="dxa"/>
            <w:vAlign w:val="center"/>
          </w:tcPr>
          <w:p w14:paraId="328B5B14" w14:textId="77777777" w:rsidR="000B62E7" w:rsidRDefault="00A65B0F">
            <w:pPr>
              <w:spacing w:after="0" w:line="240" w:lineRule="auto" w:before="0"/>
              <w:jc w:val="left"/>
            </w:pPr>
            <w:r>
              <w:rPr>
                <w:rFonts w:ascii="Times New Roman" w:hAnsi="Times New Roman"/>
                <w:b w:val="0"/>
                <w:sz w:val="16"/>
              </w:rPr>
              <w:t>0.000</w:t>
            </w:r>
          </w:p>
        </w:tc>
      </w:tr>
      <w:tr w:rsidR="000B62E7" w14:paraId="22EBC716" w14:textId="77777777">
        <w:trPr>
          <w:cantSplit/>
          <w:jc w:val="center"/>
        </w:trPr>
        <w:tc>
          <w:tcPr>
            <w:tcW w:w="2400" w:type="dxa"/>
            <w:vAlign w:val="center"/>
          </w:tcPr>
          <w:p w14:paraId="6CC267A8" w14:textId="77777777" w:rsidR="000B62E7" w:rsidRDefault="00A65B0F">
            <w:pPr>
              <w:spacing w:after="0" w:line="240" w:lineRule="auto" w:before="0"/>
              <w:jc w:val="left"/>
            </w:pPr>
            <w:r>
              <w:rPr>
                <w:rFonts w:ascii="Times New Roman" w:hAnsi="Times New Roman"/>
                <w:b w:val="0"/>
                <w:sz w:val="16"/>
              </w:rPr>
              <w:t>Stichodactyla helianthus neurotoxin I</w:t>
            </w:r>
          </w:p>
        </w:tc>
        <w:tc>
          <w:tcPr>
            <w:tcW w:w="1100" w:type="dxa"/>
            <w:vAlign w:val="center"/>
          </w:tcPr>
          <w:p w14:paraId="790F99A7" w14:textId="77777777" w:rsidR="000B62E7" w:rsidRDefault="00A65B0F">
            <w:pPr>
              <w:spacing w:after="0" w:line="240" w:lineRule="auto" w:before="0"/>
              <w:jc w:val="left"/>
            </w:pPr>
            <w:r>
              <w:rPr>
                <w:rFonts w:ascii="Times New Roman" w:hAnsi="Times New Roman"/>
                <w:b w:val="0"/>
                <w:sz w:val="16"/>
              </w:rPr>
              <w:t>1SH1</w:t>
            </w:r>
          </w:p>
        </w:tc>
        <w:tc>
          <w:tcPr>
            <w:tcW w:w="900" w:type="dxa"/>
            <w:vAlign w:val="center"/>
          </w:tcPr>
          <w:p w14:paraId="6686A529" w14:textId="77777777" w:rsidR="000B62E7" w:rsidRDefault="00A65B0F">
            <w:pPr>
              <w:spacing w:after="0" w:line="240" w:lineRule="auto" w:before="0"/>
              <w:jc w:val="left"/>
            </w:pPr>
            <w:r>
              <w:rPr>
                <w:rFonts w:ascii="Times New Roman" w:hAnsi="Times New Roman"/>
                <w:b w:val="0"/>
                <w:sz w:val="16"/>
              </w:rPr>
              <w:t>6673</w:t>
            </w:r>
          </w:p>
        </w:tc>
        <w:tc>
          <w:tcPr>
            <w:tcW w:w="1100" w:type="dxa"/>
            <w:vAlign w:val="center"/>
          </w:tcPr>
          <w:p w14:paraId="567AFBB9" w14:textId="77777777" w:rsidR="000B62E7" w:rsidRDefault="00A65B0F">
            <w:pPr>
              <w:spacing w:after="0" w:line="240" w:lineRule="auto" w:before="0"/>
              <w:jc w:val="left"/>
            </w:pPr>
            <w:r>
              <w:rPr>
                <w:rFonts w:ascii="Times New Roman" w:hAnsi="Times New Roman"/>
                <w:b w:val="0"/>
                <w:sz w:val="16"/>
              </w:rPr>
              <w:t>-4362.07</w:t>
            </w:r>
          </w:p>
        </w:tc>
        <w:tc>
          <w:tcPr>
            <w:tcW w:w="1050" w:type="dxa"/>
            <w:vAlign w:val="center"/>
          </w:tcPr>
          <w:p w14:paraId="4717BC47" w14:textId="77777777" w:rsidR="000B62E7" w:rsidRDefault="00A65B0F">
            <w:pPr>
              <w:spacing w:after="0" w:line="240" w:lineRule="auto" w:before="0"/>
              <w:jc w:val="left"/>
            </w:pPr>
            <w:r>
              <w:rPr>
                <w:rFonts w:ascii="Times New Roman" w:hAnsi="Times New Roman"/>
                <w:b w:val="0"/>
                <w:sz w:val="16"/>
              </w:rPr>
              <w:t>4.894e-06</w:t>
            </w:r>
          </w:p>
        </w:tc>
        <w:tc>
          <w:tcPr>
            <w:tcW w:w="1450" w:type="dxa"/>
            <w:vAlign w:val="center"/>
          </w:tcPr>
          <w:p w14:paraId="749EC1FD" w14:textId="77777777" w:rsidR="000B62E7" w:rsidRDefault="00A65B0F">
            <w:pPr>
              <w:spacing w:after="0" w:line="240" w:lineRule="auto" w:before="0"/>
              <w:jc w:val="left"/>
            </w:pPr>
            <w:r>
              <w:rPr>
                <w:rFonts w:ascii="Times New Roman" w:hAnsi="Times New Roman"/>
                <w:b w:val="0"/>
                <w:sz w:val="16"/>
              </w:rPr>
              <w:t>4.894e-06</w:t>
            </w:r>
          </w:p>
        </w:tc>
        <w:tc>
          <w:tcPr>
            <w:tcW w:w="1150" w:type="dxa"/>
            <w:vAlign w:val="center"/>
          </w:tcPr>
          <w:p w14:paraId="0984EAB8" w14:textId="77777777" w:rsidR="000B62E7" w:rsidRDefault="00A65B0F">
            <w:pPr>
              <w:spacing w:after="0" w:line="240" w:lineRule="auto" w:before="0"/>
              <w:jc w:val="left"/>
            </w:pPr>
            <w:r>
              <w:rPr>
                <w:rFonts w:ascii="Times New Roman" w:hAnsi="Times New Roman"/>
                <w:b w:val="0"/>
                <w:sz w:val="16"/>
              </w:rPr>
              <w:t>0.000</w:t>
            </w:r>
          </w:p>
        </w:tc>
      </w:tr>
    </w:tbl>
    <w:p w14:paraId="4A414A51" w14:textId="77777777" w:rsidR="000B62E7" w:rsidRDefault="00A65B0F">
      <w:r>
        <w:rPr>
          <w:rFonts w:ascii="Times New Roman" w:hAnsi="Times New Roman"/>
          <w:sz w:val="20"/>
        </w:rPr>
        <w:br w:type="page"/>
      </w:r>
    </w:p>
    <w:p>
      <w:r>
        <w:t>Table 6. Compact ablation and sensitivity summary for the reported p4/cap-64 protocol.</w:t>
      </w:r>
      <w:r/>
    </w:p>
    <w:tbl>
      <w:tblPr>
        <w:tblStyle w:val="TableGrid"/>
        <w:tblW w:type="auto" w:w="0"/>
        <w:tblLayout w:type="autofit"/>
        <w:tblLook w:firstColumn="1" w:firstRow="1" w:lastColumn="0" w:lastRow="0" w:noHBand="0" w:noVBand="1" w:val="04A0"/>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28"/>
        <w:gridCol w:w="2628"/>
        <w:gridCol w:w="2628"/>
        <w:gridCol w:w="2628"/>
      </w:tblGrid>
      <w:tr>
        <w:trPr>
          <w:tblHeader w:val="true"/>
          <w:cantSplit/>
        </w:trPr>
        <w:tc>
          <w:tcPr>
            <w:tcW w:type="dxa" w:w="2088"/>
            <w:vAlign w:val="center"/>
            <w:shd w:fill="E5E7EB"/>
          </w:tcPr>
          <w:p>
            <w:pPr>
              <w:jc w:val="left"/>
            </w:pPr>
            <w:r>
              <w:rPr>
                <w:b/>
                <w:sz w:val="16"/>
              </w:rPr>
              <w:t>Axis</w:t>
            </w:r>
          </w:p>
        </w:tc>
        <w:tc>
          <w:tcPr>
            <w:tcW w:type="dxa" w:w="2448"/>
            <w:vAlign w:val="center"/>
            <w:shd w:fill="E5E7EB"/>
          </w:tcPr>
          <w:p>
            <w:pPr>
              <w:jc w:val="left"/>
            </w:pPr>
            <w:r>
              <w:rPr>
                <w:b/>
                <w:sz w:val="16"/>
              </w:rPr>
              <w:t>Evidence</w:t>
            </w:r>
          </w:p>
        </w:tc>
        <w:tc>
          <w:tcPr>
            <w:tcW w:type="dxa" w:w="3456"/>
            <w:vAlign w:val="center"/>
            <w:shd w:fill="E5E7EB"/>
          </w:tcPr>
          <w:p>
            <w:pPr>
              <w:jc w:val="left"/>
            </w:pPr>
            <w:r>
              <w:rPr>
                <w:b/>
                <w:sz w:val="16"/>
              </w:rPr>
              <w:t>Main observation</w:t>
            </w:r>
          </w:p>
        </w:tc>
        <w:tc>
          <w:tcPr>
            <w:tcW w:type="dxa" w:w="2232"/>
            <w:vAlign w:val="center"/>
            <w:shd w:fill="E5E7EB"/>
          </w:tcPr>
          <w:p>
            <w:pPr>
              <w:jc w:val="left"/>
            </w:pPr>
            <w:r>
              <w:rPr>
                <w:b/>
                <w:sz w:val="16"/>
              </w:rPr>
              <w:t>Boundary</w:t>
            </w:r>
          </w:p>
        </w:tc>
      </w:tr>
      <w:tr>
        <w:trPr>
          <w:cantSplit/>
        </w:trPr>
        <w:tc>
          <w:tcPr>
            <w:tcW w:type="dxa" w:w="2088"/>
            <w:vAlign w:val="center"/>
          </w:tcPr>
          <w:p>
            <w:pPr>
              <w:jc w:val="left"/>
            </w:pPr>
            <w:r>
              <w:rPr>
                <w:sz w:val="16"/>
              </w:rPr>
              <w:t>Direct/FMM/ILU ladder</w:t>
            </w:r>
          </w:p>
        </w:tc>
        <w:tc>
          <w:tcPr>
            <w:tcW w:type="dxa" w:w="2448"/>
            <w:vAlign w:val="center"/>
          </w:tcPr>
          <w:p>
            <w:pPr>
              <w:jc w:val="left"/>
            </w:pPr>
            <w:r>
              <w:rPr>
                <w:sz w:val="16"/>
              </w:rPr>
              <w:t>Six-protein ladder in Table 3</w:t>
            </w:r>
          </w:p>
        </w:tc>
        <w:tc>
          <w:tcPr>
            <w:tcW w:type="dxa" w:w="3456"/>
            <w:vAlign w:val="center"/>
          </w:tcPr>
          <w:p>
            <w:pPr>
              <w:jc w:val="left"/>
            </w:pPr>
            <w:r>
              <w:rPr>
                <w:sz w:val="16"/>
              </w:rPr>
              <w:t>Low-order FMM reduces matvec cost but does not remove Krylov stalls with weak preconditioners; near-field ILU(0) stabilizes the tested solves.</w:t>
            </w:r>
          </w:p>
        </w:tc>
        <w:tc>
          <w:tcPr>
            <w:tcW w:type="dxa" w:w="2232"/>
            <w:vAlign w:val="center"/>
          </w:tcPr>
          <w:p>
            <w:pPr>
              <w:jc w:val="left"/>
            </w:pPr>
            <w:r>
              <w:rPr>
                <w:sz w:val="16"/>
              </w:rPr>
              <w:t>Not an exhaustive preconditioner comparison.</w:t>
            </w:r>
          </w:p>
        </w:tc>
      </w:tr>
      <w:tr>
        <w:trPr>
          <w:cantSplit/>
        </w:trPr>
        <w:tc>
          <w:tcPr>
            <w:tcW w:type="dxa" w:w="2088"/>
            <w:vAlign w:val="center"/>
          </w:tcPr>
          <w:p>
            <w:pPr>
              <w:jc w:val="left"/>
            </w:pPr>
            <w:r>
              <w:rPr>
                <w:sz w:val="16"/>
              </w:rPr>
              <w:t>ILU(0) cost split</w:t>
            </w:r>
          </w:p>
        </w:tc>
        <w:tc>
          <w:tcPr>
            <w:tcW w:type="dxa" w:w="2448"/>
            <w:vAlign w:val="center"/>
          </w:tcPr>
          <w:p>
            <w:pPr>
              <w:jc w:val="left"/>
            </w:pPr>
            <w:r>
              <w:rPr>
                <w:sz w:val="16"/>
              </w:rPr>
              <w:t>1A63 profile: 5.15 s setup, 6.37 s total application, 151.9 s p4 matvec, 312.6 s wall</w:t>
            </w:r>
          </w:p>
        </w:tc>
        <w:tc>
          <w:tcPr>
            <w:tcW w:type="dxa" w:w="3456"/>
            <w:vAlign w:val="center"/>
          </w:tcPr>
          <w:p>
            <w:pPr>
              <w:jc w:val="left"/>
            </w:pPr>
            <w:r>
              <w:rPr>
                <w:sz w:val="16"/>
              </w:rPr>
              <w:t>The ILU(0) overhead is small relative to the measured solve cost in this CPU workflow.</w:t>
            </w:r>
          </w:p>
        </w:tc>
        <w:tc>
          <w:tcPr>
            <w:tcW w:type="dxa" w:w="2232"/>
            <w:vAlign w:val="center"/>
          </w:tcPr>
          <w:p>
            <w:pPr>
              <w:jc w:val="left"/>
            </w:pPr>
            <w:r>
              <w:rPr>
                <w:sz w:val="16"/>
              </w:rPr>
              <w:t>Larger-panel setup and factor-memory scaling remain open.</w:t>
            </w:r>
          </w:p>
        </w:tc>
      </w:tr>
      <w:tr>
        <w:trPr>
          <w:cantSplit/>
        </w:trPr>
        <w:tc>
          <w:tcPr>
            <w:tcW w:type="dxa" w:w="2088"/>
            <w:vAlign w:val="center"/>
          </w:tcPr>
          <w:p>
            <w:pPr>
              <w:jc w:val="left"/>
            </w:pPr>
            <w:r>
              <w:rPr>
                <w:sz w:val="16"/>
              </w:rPr>
              <w:t>Geometry guard</w:t>
            </w:r>
          </w:p>
        </w:tc>
        <w:tc>
          <w:tcPr>
            <w:tcW w:type="dxa" w:w="2448"/>
            <w:vAlign w:val="center"/>
          </w:tcPr>
          <w:p>
            <w:pPr>
              <w:jc w:val="left"/>
            </w:pPr>
            <w:r>
              <w:rPr>
                <w:sz w:val="16"/>
              </w:rPr>
              <w:t>Six-protein guard-on/guard-off runs</w:t>
            </w:r>
          </w:p>
        </w:tc>
        <w:tc>
          <w:tcPr>
            <w:tcW w:type="dxa" w:w="3456"/>
            <w:vAlign w:val="center"/>
          </w:tcPr>
          <w:p>
            <w:pPr>
              <w:jc w:val="left"/>
            </w:pPr>
            <w:r>
              <w:rPr>
                <w:sz w:val="16"/>
              </w:rPr>
              <w:t>Guard-off keeps GMRES convergence but fails 1A63 sampled audit (5.18e-2); guard-on reduces the 1A63 audit to 2.53e-3.</w:t>
            </w:r>
          </w:p>
        </w:tc>
        <w:tc>
          <w:tcPr>
            <w:tcW w:type="dxa" w:w="2232"/>
            <w:vAlign w:val="center"/>
          </w:tcPr>
          <w:p>
            <w:pPr>
              <w:jc w:val="left"/>
            </w:pPr>
            <w:r>
              <w:rPr>
                <w:sz w:val="16"/>
              </w:rPr>
              <w:t>Evidence supports the guard for this panel, not all geometries.</w:t>
            </w:r>
          </w:p>
        </w:tc>
      </w:tr>
      <w:tr>
        <w:trPr>
          <w:cantSplit/>
        </w:trPr>
        <w:tc>
          <w:tcPr>
            <w:tcW w:type="dxa" w:w="2088"/>
            <w:vAlign w:val="center"/>
          </w:tcPr>
          <w:p>
            <w:pPr>
              <w:jc w:val="left"/>
            </w:pPr>
            <w:r>
              <w:rPr>
                <w:sz w:val="16"/>
              </w:rPr>
              <w:t>Opening theta</w:t>
            </w:r>
          </w:p>
        </w:tc>
        <w:tc>
          <w:tcPr>
            <w:tcW w:type="dxa" w:w="2448"/>
            <w:vAlign w:val="center"/>
          </w:tcPr>
          <w:p>
            <w:pPr>
              <w:jc w:val="left"/>
            </w:pPr>
            <w:r>
              <w:rPr>
                <w:sz w:val="16"/>
              </w:rPr>
              <w:t>theta = 0.4, 0.5, 0.6, 0.7</w:t>
            </w:r>
          </w:p>
        </w:tc>
        <w:tc>
          <w:tcPr>
            <w:tcW w:type="dxa" w:w="3456"/>
            <w:vAlign w:val="center"/>
          </w:tcPr>
          <w:p>
            <w:pPr>
              <w:jc w:val="left"/>
            </w:pPr>
            <w:r>
              <w:rPr>
                <w:sz w:val="16"/>
              </w:rPr>
              <w:t>All four settings pass; median wall time ranges from 142.9 s to 126.2 s.</w:t>
            </w:r>
          </w:p>
        </w:tc>
        <w:tc>
          <w:tcPr>
            <w:tcW w:type="dxa" w:w="2232"/>
            <w:vAlign w:val="center"/>
          </w:tcPr>
          <w:p>
            <w:pPr>
              <w:jc w:val="left"/>
            </w:pPr>
            <w:r>
              <w:rPr>
                <w:sz w:val="16"/>
              </w:rPr>
              <w:t>theta = 0.6 is the predefined protocol value, not a global optimum.</w:t>
            </w:r>
          </w:p>
        </w:tc>
      </w:tr>
      <w:tr>
        <w:trPr>
          <w:cantSplit/>
        </w:trPr>
        <w:tc>
          <w:tcPr>
            <w:tcW w:type="dxa" w:w="2088"/>
            <w:vAlign w:val="center"/>
          </w:tcPr>
          <w:p>
            <w:pPr>
              <w:jc w:val="left"/>
            </w:pPr>
            <w:r>
              <w:rPr>
                <w:sz w:val="16"/>
              </w:rPr>
              <w:t>Expansion order</w:t>
            </w:r>
          </w:p>
        </w:tc>
        <w:tc>
          <w:tcPr>
            <w:tcW w:type="dxa" w:w="2448"/>
            <w:vAlign w:val="center"/>
          </w:tcPr>
          <w:p>
            <w:pPr>
              <w:jc w:val="left"/>
            </w:pPr>
            <w:r>
              <w:rPr>
                <w:sz w:val="16"/>
              </w:rPr>
              <w:t>p2/p3/p4/p5 rows on six proteins</w:t>
            </w:r>
          </w:p>
        </w:tc>
        <w:tc>
          <w:tcPr>
            <w:tcW w:type="dxa" w:w="3456"/>
            <w:vAlign w:val="center"/>
          </w:tcPr>
          <w:p>
            <w:pPr>
              <w:jc w:val="left"/>
            </w:pPr>
            <w:r>
              <w:t>All tested orders pass under the guard. p2 is fallback-dominated; p4 preserves far-field compression and had a lower mean wall time than the other far-compressed rows in this panel.</w:t>
            </w:r>
          </w:p>
        </w:tc>
        <w:tc>
          <w:tcPr>
            <w:tcW w:type="dxa" w:w="2232"/>
            <w:vAlign w:val="center"/>
          </w:tcPr>
          <w:p>
            <w:pPr>
              <w:jc w:val="left"/>
            </w:pPr>
            <w:r>
              <w:rPr>
                <w:sz w:val="16"/>
              </w:rPr>
              <w:t>Additional meshes and systems are needed before recommending a general p order.</w:t>
            </w:r>
          </w:p>
        </w:tc>
      </w:tr>
      <w:tr>
        <w:trPr>
          <w:cantSplit/>
        </w:trPr>
        <w:tc>
          <w:tcPr>
            <w:tcW w:type="dxa" w:w="2088"/>
            <w:vAlign w:val="center"/>
          </w:tcPr>
          <w:p>
            <w:pPr>
              <w:jc w:val="left"/>
            </w:pPr>
            <w:r>
              <w:rPr>
                <w:sz w:val="16"/>
              </w:rPr>
              <w:t>ILU neighbor cap</w:t>
            </w:r>
          </w:p>
        </w:tc>
        <w:tc>
          <w:tcPr>
            <w:tcW w:type="dxa" w:w="2448"/>
            <w:vAlign w:val="center"/>
          </w:tcPr>
          <w:p>
            <w:pPr>
              <w:jc w:val="left"/>
            </w:pPr>
            <w:r>
              <w:rPr>
                <w:sz w:val="16"/>
              </w:rPr>
              <w:t>Caps 32, 64, 128 on Barnase, 1A63, 1SH1</w:t>
            </w:r>
          </w:p>
        </w:tc>
        <w:tc>
          <w:tcPr>
            <w:tcW w:type="dxa" w:w="3456"/>
            <w:vAlign w:val="center"/>
          </w:tcPr>
          <w:p>
            <w:pPr>
              <w:jc w:val="left"/>
            </w:pPr>
            <w:r>
              <w:rPr>
                <w:sz w:val="16"/>
              </w:rPr>
              <w:t>All caps pass. Cap 64 gives the lowest mean matvec time with moderate graph size and memory in this subset.</w:t>
            </w:r>
          </w:p>
        </w:tc>
        <w:tc>
          <w:tcPr>
            <w:tcW w:type="dxa" w:w="2232"/>
            <w:vAlign w:val="center"/>
          </w:tcPr>
          <w:p>
            <w:pPr>
              <w:jc w:val="left"/>
            </w:pPr>
            <w:r>
              <w:t>A larger cap sweep and additional proteins would be needed before claiming cap optimality.</w:t>
            </w:r>
          </w:p>
        </w:tc>
      </w:tr>
      <w:tr>
        <w:trPr>
          <w:cantSplit/>
        </w:trPr>
        <w:tc>
          <w:tcPr>
            <w:tcW w:type="dxa" w:w="2088"/>
            <w:vAlign w:val="center"/>
          </w:tcPr>
          <w:p>
            <w:pPr>
              <w:jc w:val="left"/>
            </w:pPr>
            <w:r>
              <w:rPr>
                <w:sz w:val="16"/>
              </w:rPr>
              <w:t>Tail indicator</w:t>
            </w:r>
          </w:p>
        </w:tc>
        <w:tc>
          <w:tcPr>
            <w:tcW w:type="dxa" w:w="2448"/>
            <w:vAlign w:val="center"/>
          </w:tcPr>
          <w:p>
            <w:pPr>
              <w:jc w:val="left"/>
            </w:pPr>
            <w:r>
              <w:rPr>
                <w:sz w:val="16"/>
              </w:rPr>
              <w:t>Tail-on rows pass; tail-off rows stop at the guarded validator</w:t>
            </w:r>
          </w:p>
        </w:tc>
        <w:tc>
          <w:tcPr>
            <w:tcW w:type="dxa" w:w="3456"/>
            <w:vAlign w:val="center"/>
          </w:tcPr>
          <w:p>
            <w:pPr>
              <w:jc w:val="left"/>
            </w:pPr>
            <w:r>
              <w:rPr>
                <w:sz w:val="16"/>
              </w:rPr>
              <w:t>Tail refinement is part of the reported workflow.</w:t>
            </w:r>
          </w:p>
        </w:tc>
        <w:tc>
          <w:tcPr>
            <w:tcW w:type="dxa" w:w="2232"/>
            <w:vAlign w:val="center"/>
          </w:tcPr>
          <w:p>
            <w:pPr>
              <w:jc w:val="left"/>
            </w:pPr>
            <w:r>
              <w:rPr>
                <w:sz w:val="16"/>
              </w:rPr>
              <w:t>A deliberately relaxed tail-off numerical run would be needed to isolate the tail term alone.</w:t>
            </w:r>
          </w:p>
        </w:tc>
      </w:tr>
    </w:tbl>
    <w:p w14:paraId="45CCEF86" w14:textId="77777777" w:rsidR="000B62E7" w:rsidRDefault="00A65B0F">
      <w:pPr>
        <w:pStyle w:val="Heading1"/>
      </w:pPr>
      <w:r>
        <w:rPr>
          <w:rFonts w:ascii="Times New Roman" w:hAnsi="Times New Roman"/>
          <w:b/>
          <w:sz w:val="24"/>
        </w:rPr>
        <w:lastRenderedPageBreak/>
        <w:t>Preconditioner Convergence Profile</w:t>
      </w:r>
    </w:p>
    <w:p w14:paraId="620DC94F" w14:textId="77777777" w:rsidR="000B62E7" w:rsidRDefault="00A65B0F">
      <w:pPr>
        <w:keepNext/>
        <w:jc w:val="center"/>
      </w:pPr>
      <w:r>
        <w:rPr>
          <w:rFonts w:ascii="Times New Roman" w:hAnsi="Times New Roman"/>
          <w:noProof/>
          <w:sz w:val="20"/>
        </w:rPr>
        <w:drawing>
          <wp:inline distT="0" distB="0" distL="0" distR="0" wp14:anchorId="797195EC" wp14:editId="15916A1C">
            <wp:extent cx="5715000" cy="33770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preconditioner_residual_profile.png"/>
                    <pic:cNvPicPr/>
                  </pic:nvPicPr>
                  <pic:blipFill>
                    <a:blip r:embed="rId12"/>
                    <a:stretch>
                      <a:fillRect/>
                    </a:stretch>
                  </pic:blipFill>
                  <pic:spPr>
                    <a:xfrm>
                      <a:off x="0" y="0"/>
                      <a:ext cx="5715000" cy="3377045"/>
                    </a:xfrm>
                    <a:prstGeom prst="rect">
                      <a:avLst/>
                    </a:prstGeom>
                  </pic:spPr>
                </pic:pic>
              </a:graphicData>
            </a:graphic>
          </wp:inline>
        </w:drawing>
      </w:r>
    </w:p>
    <w:p w14:paraId="45F0CF8A" w14:textId="77777777" w:rsidR="000B62E7" w:rsidRDefault="00A65B0F">
      <w:pPr>
        <w:pStyle w:val="Caption"/>
      </w:pPr>
      <w:r>
        <w:rPr>
          <w:rFonts w:ascii="Times New Roman" w:hAnsi="Times New Roman"/>
          <w:sz w:val="20"/>
        </w:rPr>
        <w:t>Figure 5 | Barnase GMRES residual decay under three preconditioning choices. All curves use the same full-protein degree-one FMM operator. The diagonal and local block-diagonal preconditioners reached the iteration budget, whereas sparse near-field ILU(0) drove the preconditioned residual to the 1e-12 range and produced a converged solve. This contrast isolates Krylov stiffness from raw matrix-vector-product cost.</w:t>
      </w:r>
    </w:p>
    <w:p>
      <w:pPr>
        <w:pStyle w:val="Caption"/>
        <w:jc w:val="center"/>
      </w:pPr>
      <w:r>
        <w:drawing>
          <wp:inline xmlns:a="http://schemas.openxmlformats.org/drawingml/2006/main" xmlns:pic="http://schemas.openxmlformats.org/drawingml/2006/picture">
            <wp:extent cx="6126480" cy="4016248"/>
            <wp:docPr id="6" name="Picture 6"/>
            <wp:cNvGraphicFramePr>
              <a:graphicFrameLocks noChangeAspect="1"/>
            </wp:cNvGraphicFramePr>
            <a:graphic>
              <a:graphicData uri="http://schemas.openxmlformats.org/drawingml/2006/picture">
                <pic:pic>
                  <pic:nvPicPr>
                    <pic:cNvPr id="0" name="fagbi_scope_z4x_global_p_order_panels.png"/>
                    <pic:cNvPicPr/>
                  </pic:nvPicPr>
                  <pic:blipFill>
                    <a:blip r:embed="rId22"/>
                    <a:stretch>
                      <a:fillRect/>
                    </a:stretch>
                  </pic:blipFill>
                  <pic:spPr>
                    <a:xfrm>
                      <a:off x="0" y="0"/>
                      <a:ext cx="6126480" cy="4016248"/>
                    </a:xfrm>
                    <a:prstGeom prst="rect"/>
                  </pic:spPr>
                </pic:pic>
              </a:graphicData>
            </a:graphic>
          </wp:inline>
        </w:drawing>
      </w:r>
    </w:p>
    <w:p>
      <w:pPr>
        <w:pStyle w:val="Caption"/>
      </w:pPr>
      <w:r>
        <w:rPr>
          <w:rFonts w:ascii="Times New Roman" w:hAnsi="Times New Roman"/>
        </w:rPr>
        <w:t>Figure 6 | Guarded p-order trade-off across the six-protein panel. A, sampled direct-operator audit RMS. B, total wall time. C, peak resident set size. D, accepted far M2L pairs and direct-fallback panel pairs. Points and bars show mean +/- s.d. across the six proteins. The p2 rows pass the audit by demoting essentially all far work to direct fallback. The reported p4 policy is retained because it passes the audit while preserving far-field compression in the current panel; no general p-order optimum is implied.</w:t>
      </w:r>
      <w:r/>
    </w:p>
    <w:p w14:paraId="7992D2E4" w14:textId="77777777" w:rsidR="000B62E7" w:rsidRDefault="00A65B0F">
      <w:pPr>
        <w:pStyle w:val="Heading1"/>
      </w:pPr>
      <w:r>
        <w:rPr>
          <w:rFonts w:ascii="Times New Roman" w:hAnsi="Times New Roman"/>
          <w:b/>
          <w:sz w:val="24"/>
        </w:rPr>
        <w:lastRenderedPageBreak/>
        <w:t>References</w:t>
      </w:r>
    </w:p>
    <w:p w14:paraId="10B16DC4" w14:textId="77777777" w:rsidR="000B62E7" w:rsidRDefault="00A65B0F">
      <w:pPr>
        <w:spacing w:after="0"/>
      </w:pPr>
      <w:r>
        <w:rPr>
          <w:rFonts w:ascii="Times New Roman" w:hAnsi="Times New Roman"/>
          <w:sz w:val="22"/>
        </w:rPr>
        <w:t>[1] J. Chen, J. Tausch, and W. Geng, A Cartesian FMM-accelerated Galerkin boundary integral Poisson-Boltzmann solver, Journal of Computational Physics 478, 111981, 2023.</w:t>
      </w:r>
    </w:p>
    <w:p w14:paraId="01CCB247" w14:textId="77777777" w:rsidR="000B62E7" w:rsidRDefault="00A65B0F">
      <w:pPr>
        <w:spacing w:after="0"/>
      </w:pPr>
      <w:r>
        <w:rPr>
          <w:rFonts w:ascii="Times New Roman" w:hAnsi="Times New Roman"/>
          <w:sz w:val="22"/>
        </w:rPr>
        <w:t>[2] L. Greengard and V. Rokhlin, A fast algorithm for particle simulations, Journal of Computational Physics 73, 325-348, 1987.</w:t>
      </w:r>
    </w:p>
    <w:p w14:paraId="24DFF881" w14:textId="77777777" w:rsidR="000B62E7" w:rsidRDefault="00A65B0F">
      <w:pPr>
        <w:spacing w:after="0"/>
      </w:pPr>
      <w:r>
        <w:rPr>
          <w:rFonts w:ascii="Times New Roman" w:hAnsi="Times New Roman"/>
          <w:sz w:val="22"/>
        </w:rPr>
        <w:t>[3] Y. Saad and M. H. Schultz, GMRES: A generalized minimal residual algorithm for solving nonsymmetric linear systems, SIAM Journal on Scientific and Statistical Computing 7, 856-869, 1986.</w:t>
      </w:r>
    </w:p>
    <w:p w14:paraId="3F4D34DF" w14:textId="77777777" w:rsidR="000B62E7" w:rsidRDefault="00A65B0F">
      <w:pPr>
        <w:spacing w:after="0"/>
      </w:pPr>
      <w:r>
        <w:rPr>
          <w:rFonts w:ascii="Times New Roman" w:hAnsi="Times New Roman"/>
          <w:sz w:val="22"/>
        </w:rPr>
        <w:t>[4] J. A. Meijerink and H. A. van der Vorst, An iterative solution method for linear systems of which the coefficient matrix is a symmetric M-matrix, Mathematics of Computation 31, 148-162, 1977.</w:t>
      </w:r>
    </w:p>
    <w:p w14:paraId="0FF22ED9" w14:textId="77777777" w:rsidR="000B62E7" w:rsidRDefault="00A65B0F">
      <w:pPr>
        <w:spacing w:after="0"/>
      </w:pPr>
      <w:r>
        <w:rPr>
          <w:rFonts w:ascii="Times New Roman" w:hAnsi="Times New Roman"/>
          <w:sz w:val="22"/>
        </w:rPr>
        <w:t>[5] M. G. Duffy, Quadrature over a pyramid or cube of integrands with a singularity at a vertex, SIAM Journal on Numerical Analysis 19, 1260-1262, 1982.</w:t>
      </w:r>
    </w:p>
    <w:p w14:paraId="58FBFA85" w14:textId="77777777" w:rsidR="000B62E7" w:rsidRDefault="00A65B0F">
      <w:pPr>
        <w:spacing w:after="0"/>
      </w:pPr>
      <w:r>
        <w:rPr>
          <w:rFonts w:ascii="Times New Roman" w:hAnsi="Times New Roman"/>
          <w:sz w:val="22"/>
        </w:rPr>
        <w:t>[6] T. J. Dolinsky et al., PDB2PQR: an automated pipeline for the setup of Poisson-Boltzmann electrostatics calculations, Nucleic Acids Research 32, W665-W667, 2004.</w:t>
      </w:r>
    </w:p>
    <w:p w14:paraId="55C6A94A" w14:textId="77777777" w:rsidR="000B62E7" w:rsidRDefault="00A65B0F">
      <w:pPr>
        <w:spacing w:after="0"/>
      </w:pPr>
      <w:r>
        <w:rPr>
          <w:rFonts w:ascii="Times New Roman" w:hAnsi="Times New Roman"/>
          <w:sz w:val="22"/>
        </w:rPr>
        <w:t>[7] E. Jurrus et al., Improvements to the APBS biomolecular solvation software suite, Protein Science 27, 112-128, 2018.</w:t>
      </w:r>
    </w:p>
    <w:p w14:paraId="41596814" w14:textId="77777777" w:rsidR="000B62E7" w:rsidRDefault="00A65B0F">
      <w:pPr>
        <w:spacing w:after="0"/>
      </w:pPr>
      <w:r>
        <w:rPr>
          <w:rFonts w:ascii="Times New Roman" w:hAnsi="Times New Roman"/>
          <w:sz w:val="22"/>
        </w:rPr>
        <w:t>[8] S. K. Burley et al., RCSB Protein Data Bank: powerful new tools for exploring 3D structures of biological macromolecules, Nucleic Acids Research 49, D437-D451, 2021.</w:t>
      </w:r>
    </w:p>
    <w:p w14:paraId="1DFAAC32" w14:textId="77777777" w:rsidR="000B62E7" w:rsidRDefault="00A65B0F">
      <w:pPr>
        <w:spacing w:after="0"/>
      </w:pPr>
      <w:r>
        <w:rPr>
          <w:rFonts w:ascii="Times New Roman" w:hAnsi="Times New Roman"/>
          <w:sz w:val="22"/>
        </w:rPr>
        <w:t>[9] L. Wilson, W. Geng, and R. Krasny, TABI-PB 2.0: An improved version of the treecode-accelerated boundary integral Poisson-Boltzmann solver, Journal of Physical Chemistry B 126, 7104-7113, 2022.</w:t>
      </w:r>
    </w:p>
    <w:p>
      <w:pPr/>
      <w:r>
        <w:rPr>
          <w:rFonts w:ascii="Times New Roman" w:hAnsi="Times New Roman"/>
          <w:sz w:val="22"/>
        </w:rPr>
        <w:t>[10] W. Geng and R. Krasny, A treecode-accelerated boundary integral Poisson-Boltzmann solver for electrostatics of solvated biomolecules, Journal of Computational Physics 247, 62-78, 2013.</w:t>
      </w:r>
    </w:p>
    <w:p>
      <w:pPr/>
      <w:r>
        <w:rPr>
          <w:rFonts w:ascii="Times New Roman" w:hAnsi="Times New Roman"/>
          <w:sz w:val="22"/>
        </w:rPr>
        <w:t>[11] J. Chen and W. Geng, On preconditioning the treecode-accelerated boundary integral (TABI) Poisson-Boltzmann solver, Journal of Computational Physics 373, 750-762, 2018.</w:t>
      </w:r>
    </w:p>
    <w:sectPr w:rsidR="000B62E7" w:rsidSect="00034616">
      <w:headerReference w:type="default" r:id="rId17"/>
      <w:footerReference w:type="default" r:id="rId18"/>
      <w:pgSz w:w="12240" w:h="15840"/>
      <w:pgMar w:top="1440" w:right="1440" w:bottom="1440"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9FCC3" w14:textId="77777777" w:rsidR="00A65B0F" w:rsidRDefault="00A65B0F">
      <w:pPr>
        <w:spacing w:after="0" w:line="240" w:lineRule="auto"/>
      </w:pPr>
      <w:r>
        <w:separator/>
      </w:r>
    </w:p>
  </w:endnote>
  <w:endnote w:type="continuationSeparator" w:id="0">
    <w:p w14:paraId="47A4B4B6" w14:textId="77777777" w:rsidR="00A65B0F" w:rsidRDefault="00A65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23181" w14:textId="7A3D8C43" w:rsidR="000B62E7" w:rsidRDefault="00A65B0F">
    <w:pPr>
      <w:pStyle w:val="Footer"/>
      <w:jc w:val="right"/>
    </w:pP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FD291" w14:textId="4A85D945" w:rsidR="000B62E7" w:rsidRDefault="00A65B0F">
    <w:pPr>
      <w:pStyle w:val="Footer"/>
      <w:jc w:val="right"/>
    </w:p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03559" w14:textId="1E420FE1" w:rsidR="000B62E7" w:rsidRDefault="00A65B0F">
    <w:pPr>
      <w:pStyle w:val="Footer"/>
      <w:jc w:val="right"/>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00815" w14:textId="77777777" w:rsidR="00A65B0F" w:rsidRDefault="00A65B0F">
      <w:pPr>
        <w:spacing w:after="0" w:line="240" w:lineRule="auto"/>
      </w:pPr>
      <w:r>
        <w:separator/>
      </w:r>
    </w:p>
  </w:footnote>
  <w:footnote w:type="continuationSeparator" w:id="0">
    <w:p w14:paraId="47F7A25F" w14:textId="77777777" w:rsidR="00A65B0F" w:rsidRDefault="00A65B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21DED" w14:textId="77777777" w:rsidR="000B62E7" w:rsidRDefault="00A65B0F">
    <w:pPr>
      <w:pStyle w:val="Heade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C4205" w14:textId="77777777" w:rsidR="000B62E7" w:rsidRDefault="00A65B0F">
    <w:pPr>
      <w:pStyle w:val="Header"/>
    </w:p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831E4" w14:textId="77777777" w:rsidR="000B62E7" w:rsidRDefault="00A65B0F">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5242955">
    <w:abstractNumId w:val="8"/>
  </w:num>
  <w:num w:numId="2" w16cid:durableId="178933053">
    <w:abstractNumId w:val="6"/>
  </w:num>
  <w:num w:numId="3" w16cid:durableId="91512564">
    <w:abstractNumId w:val="5"/>
  </w:num>
  <w:num w:numId="4" w16cid:durableId="915363082">
    <w:abstractNumId w:val="4"/>
  </w:num>
  <w:num w:numId="5" w16cid:durableId="1704473544">
    <w:abstractNumId w:val="7"/>
  </w:num>
  <w:num w:numId="6" w16cid:durableId="927808891">
    <w:abstractNumId w:val="3"/>
  </w:num>
  <w:num w:numId="7" w16cid:durableId="1451703513">
    <w:abstractNumId w:val="2"/>
  </w:num>
  <w:num w:numId="8" w16cid:durableId="1841656664">
    <w:abstractNumId w:val="1"/>
  </w:num>
  <w:num w:numId="9" w16cid:durableId="1286695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A05"/>
    <w:rsid w:val="000012E1"/>
    <w:rsid w:val="00034616"/>
    <w:rsid w:val="0006063C"/>
    <w:rsid w:val="000B62E7"/>
    <w:rsid w:val="0015074B"/>
    <w:rsid w:val="0029639D"/>
    <w:rsid w:val="002A1B38"/>
    <w:rsid w:val="00326F90"/>
    <w:rsid w:val="00384F8C"/>
    <w:rsid w:val="00526BEC"/>
    <w:rsid w:val="00543F2A"/>
    <w:rsid w:val="00623826"/>
    <w:rsid w:val="006328A9"/>
    <w:rsid w:val="00651B0A"/>
    <w:rsid w:val="00750F1E"/>
    <w:rsid w:val="00A65B0F"/>
    <w:rsid w:val="00AA1D8D"/>
    <w:rsid w:val="00AA7954"/>
    <w:rsid w:val="00B47730"/>
    <w:rsid w:val="00B5541A"/>
    <w:rsid w:val="00CB0664"/>
    <w:rsid w:val="00DE5574"/>
    <w:rsid w:val="00E03D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218C3FA-9FA6-45FA-B9A0-A64B92F88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60" w:line="240" w:lineRule="auto"/>
    </w:pPr>
    <w:rPr>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750F1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1" Type="http://schemas.openxmlformats.org/officeDocument/2006/relationships/image" Target="media/image6.png"/><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21</Pages>
  <Words>5542</Words>
  <Characters>34139</Characters>
  <Application>Microsoft Office Word</Application>
  <DocSecurity>0</DocSecurity>
  <Lines>696</Lines>
  <Paragraphs>348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 Analytical FMM/M2L Boundary-Integral Poisson-Boltzmann Solves with Sparse Near-Field ILU(0) Preconditioning</dc:title>
  <dc:subject/>
  <dc:creator/>
  <cp:keywords>Poisson-Boltzmann; FMM; M2L; ILU(0); boundary integral</cp:keywords>
  <dc:description>generated by python-docx</dc:description>
  <cp:lastModifiedBy>Linh Nguyễn Hoàng</cp:lastModifiedBy>
  <cp:revision>14</cp:revision>
  <dcterms:created xsi:type="dcterms:W3CDTF">2013-12-23T23:15:00Z</dcterms:created>
  <dcterms:modified xsi:type="dcterms:W3CDTF">2026-06-25T10:56:00Z</dcterms:modified>
  <cp:category/>
</cp:coreProperties>
</file>