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rPr>
          <w:rFonts w:ascii="Times New Roman" w:hAnsi="Times New Roman"/>
          <w:sz w:val="22"/>
        </w:rPr>
        <w:t>Grid-based Poisson-Boltzmann solvers are robust and widely used, but volumetric discretization can impose substantial memory costs and can blur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exact 2 x 2 coupled local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convergence criterion, whereas the near-field ILU(0) rows converged in 128 iterations across all fixtures. The guarded p4 + sparse ILU(0) path retained this convergence and passed sampled direct-operator audits, with a maximum sampled residual of 2.534e-3 and peak resident memory of 369.6 MB. These results support a bounded claim: for the tested protein surfaces and benchmark protocol, graph-derived near-field ILU(0) separates Krylov stabilization from far-field operator accuracy and provides an auditable CPU baseline for boundary-integral Poisson-Boltzmann solves.</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pStyle w:val="Caption"/>
        <w:jc w:val="both"/>
        <w:rPr>
          <w:lang w:val="vi-VN"/>
        </w:rPr>
      </w:pPr>
      <w:r>
        <w:rPr>
          <w:rFonts w:ascii="Times New Roman" w:hAnsi="Times New Roman"/>
          <w:sz w:val="20"/>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t>Here C_gamma denotes the Coulomb or screened Green-function jet coefficient through degree 9. K1 and K3 use base Green jets, while K2 and K4 use source-normal derivatives reconstructed during contraction as D_{d,alpha} = (alpha_d + 1) C_{alpha + e_d}.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the exact 2 x 2 coupled local operator block A_ij. ILU(0) factorization [4] is then performed strictly on this sparsity pattern. The resulting preconditioner preserves selected cross-leaf near-field couplings while avoiding fill-in beyond the graph.</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sampled direct-operator residuals and sampled direct true residuals.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pPr>
            <w:r>
              <w:rPr>
                <w:rFonts w:ascii="Times New Roman" w:hAnsi="Times New Roman"/>
                <w:sz w:val="16"/>
              </w:rPr>
            </w:r>
            <w:r>
              <w:rPr>
                <w:rFonts w:ascii="Times New Roman" w:hAnsi="Times New Roman"/>
                <w:b/>
                <w:sz w:val="16"/>
              </w:rPr>
              <w:t>Category</w:t>
            </w:r>
          </w:p>
        </w:tc>
        <w:tc>
          <w:tcPr>
            <w:tcW w:type="dxa" w:w="2232"/>
            <w:vAlign w:val="center"/>
            <w:shd w:fill="E5E7EB"/>
          </w:tcPr>
          <w:p>
            <w:pPr>
              <w:spacing w:after="0" w:before="0"/>
            </w:pPr>
            <w:r>
              <w:rPr>
                <w:rFonts w:ascii="Times New Roman" w:hAnsi="Times New Roman"/>
                <w:sz w:val="16"/>
              </w:rPr>
            </w:r>
            <w:r>
              <w:rPr>
                <w:rFonts w:ascii="Times New Roman" w:hAnsi="Times New Roman"/>
                <w:b/>
                <w:sz w:val="16"/>
              </w:rPr>
              <w:t>Parameter</w:t>
            </w:r>
          </w:p>
        </w:tc>
        <w:tc>
          <w:tcPr>
            <w:tcW w:type="dxa" w:w="3096"/>
            <w:vAlign w:val="center"/>
            <w:shd w:fill="E5E7EB"/>
          </w:tcPr>
          <w:p>
            <w:pPr>
              <w:spacing w:after="0" w:before="0"/>
            </w:pPr>
            <w:r>
              <w:rPr>
                <w:rFonts w:ascii="Times New Roman" w:hAnsi="Times New Roman"/>
                <w:sz w:val="16"/>
              </w:rPr>
            </w:r>
            <w:r>
              <w:rPr>
                <w:rFonts w:ascii="Times New Roman" w:hAnsi="Times New Roman"/>
                <w:b/>
                <w:sz w:val="16"/>
              </w:rPr>
              <w:t>Value used in the reported rows</w:t>
            </w:r>
          </w:p>
        </w:tc>
        <w:tc>
          <w:tcPr>
            <w:tcW w:type="dxa" w:w="3384"/>
            <w:vAlign w:val="center"/>
            <w:shd w:fill="E5E7EB"/>
          </w:tcPr>
          <w:p>
            <w:pPr>
              <w:spacing w:after="0" w:before="0"/>
            </w:pPr>
            <w:r>
              <w:rPr>
                <w:rFonts w:ascii="Times New Roman" w:hAnsi="Times New Roman"/>
                <w:sz w:val="16"/>
              </w:rPr>
            </w:r>
            <w:r>
              <w:rPr>
                <w:rFonts w:ascii="Times New Roman" w:hAnsi="Times New Roman"/>
                <w:b/>
                <w:sz w:val="16"/>
              </w:rPr>
              <w:t>Evidence and notes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pPr>
            <w:r>
              <w:rPr>
                <w:rFonts w:ascii="Times New Roman" w:hAnsi="Times New Roman"/>
                <w:sz w:val="16"/>
              </w:rPr>
            </w:r>
            <w:r>
              <w:rPr>
                <w:rFonts w:ascii="Times New Roman" w:hAnsi="Times New Roman"/>
                <w:b w:val="0"/>
                <w:sz w:val="16"/>
              </w:rPr>
              <w:t>JCP2013 coupled two-row TABI boundary-integral system</w:t>
            </w:r>
          </w:p>
        </w:tc>
        <w:tc>
          <w:tcPr>
            <w:tcW w:type="dxa" w:w="3384"/>
            <w:vAlign w:val="center"/>
          </w:tcPr>
          <w:p>
            <w:pPr>
              <w:spacing w:after="0" w:before="0"/>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r>
              <w:rPr>
                <w:rFonts w:ascii="Times New Roman" w:hAnsi="Times New Roman"/>
                <w:sz w:val="16"/>
              </w:rPr>
              <w:t>Locked guarded p4 policy manifest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fixed"/>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pPr>
            <w:r>
              <w:rPr>
                <w:rFonts w:ascii="Times New Roman" w:hAnsi="Times New Roman"/>
                <w:b/>
                <w:sz w:val="16"/>
              </w:rPr>
              <w:t>Aspect</w:t>
            </w:r>
          </w:p>
        </w:tc>
        <w:tc>
          <w:tcPr>
            <w:tcW w:w="2720" w:type="dxa"/>
            <w:shd w:val="clear" w:color="auto" w:fill="E7E6E6"/>
            <w:vAlign w:val="center"/>
          </w:tcPr>
          <w:p>
            <w:pPr>
              <w:spacing w:after="0" w:before="0"/>
            </w:pPr>
            <w:r>
              <w:rPr>
                <w:rFonts w:ascii="Times New Roman" w:hAnsi="Times New Roman"/>
                <w:b/>
                <w:sz w:val="16"/>
              </w:rPr>
              <w:t>TABI-PB 2.0</w:t>
            </w:r>
          </w:p>
        </w:tc>
        <w:tc>
          <w:tcPr>
            <w:tcW w:w="2720" w:type="dxa"/>
            <w:shd w:val="clear" w:color="auto" w:fill="E7E6E6"/>
            <w:vAlign w:val="center"/>
          </w:tcPr>
          <w:p>
            <w:pPr>
              <w:spacing w:after="0" w:before="0"/>
            </w:pPr>
            <w:r>
              <w:rPr>
                <w:rFonts w:ascii="Times New Roman" w:hAnsi="Times New Roman"/>
                <w:b/>
                <w:sz w:val="16"/>
              </w:rPr>
              <w:t>FAGBI / Cartesian Galerkin FMM</w:t>
            </w:r>
          </w:p>
        </w:tc>
        <w:tc>
          <w:tcPr>
            <w:tcW w:w="2720" w:type="dxa"/>
            <w:shd w:val="clear" w:color="auto" w:fill="E7E6E6"/>
            <w:vAlign w:val="center"/>
          </w:tcPr>
          <w:p>
            <w:pPr>
              <w:spacing w:after="0" w:before="0"/>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pPr>
            <w:r>
              <w:rPr>
                <w:rFonts w:ascii="Times New Roman" w:hAnsi="Times New Roman"/>
                <w:b w:val="0"/>
                <w:sz w:val="16"/>
              </w:rPr>
              <w:t>Discretization</w:t>
            </w:r>
          </w:p>
        </w:tc>
        <w:tc>
          <w:tcPr>
            <w:tcW w:w="2720" w:type="dxa"/>
            <w:vAlign w:val="center"/>
          </w:tcPr>
          <w:p>
            <w:pPr>
              <w:spacing w:after="0" w:before="0"/>
            </w:pPr>
            <w:r>
              <w:rPr>
                <w:rFonts w:ascii="Times New Roman" w:hAnsi="Times New Roman"/>
                <w:b w:val="0"/>
                <w:sz w:val="16"/>
              </w:rPr>
              <w:t>Node-patch BIE on NanoShaper surfaces; surface-vertex/patch unknowns.</w:t>
            </w:r>
          </w:p>
        </w:tc>
        <w:tc>
          <w:tcPr>
            <w:tcW w:w="2720" w:type="dxa"/>
            <w:vAlign w:val="center"/>
          </w:tcPr>
          <w:p>
            <w:pPr>
              <w:spacing w:after="0" w:before="0"/>
            </w:pPr>
            <w:r>
              <w:rPr>
                <w:rFonts w:ascii="Times New Roman" w:hAnsi="Times New Roman"/>
                <w:b w:val="0"/>
                <w:sz w:val="16"/>
              </w:rPr>
              <w:t>Galerkin BIE PB with analytical integration and Cartesian FMM acceleration.</w:t>
            </w:r>
          </w:p>
        </w:tc>
        <w:tc>
          <w:tcPr>
            <w:tcW w:w="2720" w:type="dxa"/>
            <w:vAlign w:val="center"/>
          </w:tcPr>
          <w:p>
            <w:pPr>
              <w:spacing w:after="0" w:before="0"/>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pPr>
            <w:r>
              <w:rPr>
                <w:rFonts w:ascii="Times New Roman" w:hAnsi="Times New Roman"/>
                <w:b w:val="0"/>
                <w:sz w:val="16"/>
              </w:rPr>
              <w:t>Fast operator</w:t>
            </w:r>
          </w:p>
        </w:tc>
        <w:tc>
          <w:tcPr>
            <w:tcW w:w="2720" w:type="dxa"/>
            <w:vAlign w:val="center"/>
          </w:tcPr>
          <w:p>
            <w:pPr>
              <w:spacing w:after="0" w:before="0"/>
            </w:pPr>
            <w:r>
              <w:rPr>
                <w:rFonts w:ascii="Times New Roman" w:hAnsi="Times New Roman"/>
                <w:b w:val="0"/>
                <w:sz w:val="16"/>
              </w:rPr>
              <w:t>Barycentric Lagrange dual-tree traversal; GPU-oriented PP/PC/CP/CC kernels.</w:t>
            </w:r>
          </w:p>
        </w:tc>
        <w:tc>
          <w:tcPr>
            <w:tcW w:w="2720" w:type="dxa"/>
            <w:vAlign w:val="center"/>
          </w:tcPr>
          <w:p>
            <w:pPr>
              <w:spacing w:after="0" w:before="0"/>
            </w:pPr>
            <w:r>
              <w:rPr>
                <w:rFonts w:ascii="Times New Roman" w:hAnsi="Times New Roman"/>
                <w:b w:val="0"/>
                <w:sz w:val="16"/>
              </w:rPr>
              <w:t>Cartesian FMM-accelerated Galerkin operator with adaptive order and Duffy treatment.</w:t>
            </w:r>
          </w:p>
        </w:tc>
        <w:tc>
          <w:tcPr>
            <w:tcW w:w="2720" w:type="dxa"/>
            <w:vAlign w:val="center"/>
          </w:tcPr>
          <w:p>
            <w:pPr>
              <w:spacing w:after="0" w:before="0"/>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pPr>
            <w:r>
              <w:rPr>
                <w:rFonts w:ascii="Times New Roman" w:hAnsi="Times New Roman"/>
                <w:b w:val="0"/>
                <w:sz w:val="16"/>
              </w:rPr>
              <w:t>Acceptance policy</w:t>
            </w:r>
          </w:p>
        </w:tc>
        <w:tc>
          <w:tcPr>
            <w:tcW w:w="2720" w:type="dxa"/>
            <w:vAlign w:val="center"/>
          </w:tcPr>
          <w:p>
            <w:pPr>
              <w:spacing w:after="0" w:before="0"/>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pPr>
            <w:r>
              <w:rPr>
                <w:rFonts w:ascii="Times New Roman" w:hAnsi="Times New Roman"/>
                <w:b w:val="0"/>
                <w:sz w:val="16"/>
              </w:rPr>
              <w:t>Preconditioning</w:t>
            </w:r>
          </w:p>
        </w:tc>
        <w:tc>
          <w:tcPr>
            <w:tcW w:w="2720" w:type="dxa"/>
            <w:vAlign w:val="center"/>
          </w:tcPr>
          <w:p>
            <w:pPr>
              <w:spacing w:after="0" w:before="0"/>
            </w:pPr>
            <w:r>
              <w:rPr>
                <w:rFonts w:ascii="Times New Roman" w:hAnsi="Times New Roman"/>
                <w:b w:val="0"/>
                <w:sz w:val="16"/>
              </w:rPr>
              <w:t>Block preconditioning in a GPU-oriented TABI-PB 2.0 pipeline.</w:t>
            </w:r>
          </w:p>
        </w:tc>
        <w:tc>
          <w:tcPr>
            <w:tcW w:w="2720" w:type="dxa"/>
            <w:vAlign w:val="center"/>
          </w:tcPr>
          <w:p>
            <w:pPr>
              <w:spacing w:after="0" w:before="0"/>
            </w:pPr>
            <w:r>
              <w:rPr>
                <w:rFonts w:ascii="Times New Roman" w:hAnsi="Times New Roman"/>
                <w:b w:val="0"/>
                <w:sz w:val="16"/>
              </w:rPr>
              <w:t>Block-diagonal preconditioning in the Galerkin/FMM solver.</w:t>
            </w:r>
          </w:p>
        </w:tc>
        <w:tc>
          <w:tcPr>
            <w:tcW w:w="2720" w:type="dxa"/>
            <w:vAlign w:val="center"/>
          </w:tcPr>
          <w:p>
            <w:pPr>
              <w:spacing w:after="0" w:before="0"/>
            </w:pPr>
            <w:r>
              <w:rPr>
                <w:rFonts w:ascii="Times New Roman" w:hAnsi="Times New Roman"/>
                <w:b w:val="0"/>
                <w:sz w:val="16"/>
              </w:rPr>
              <w:t>Near-field graph ILU(0) with exact 2 x 2 local blocks; no fill beyond graph.</w:t>
            </w:r>
          </w:p>
        </w:tc>
      </w:tr>
      <w:tr w:rsidR="000B62E7" w14:paraId="065C6827" w14:textId="77777777">
        <w:trPr>
          <w:cantSplit/>
          <w:jc w:val="center"/>
        </w:trPr>
        <w:tc>
          <w:tcPr>
            <w:tcW w:w="1200" w:type="dxa"/>
            <w:vAlign w:val="center"/>
          </w:tcPr>
          <w:p>
            <w:pPr>
              <w:spacing w:after="0" w:before="0"/>
            </w:pPr>
            <w:r>
              <w:rPr>
                <w:rFonts w:ascii="Times New Roman" w:hAnsi="Times New Roman"/>
                <w:b w:val="0"/>
                <w:sz w:val="16"/>
              </w:rPr>
              <w:t>Verification emphasis</w:t>
            </w:r>
          </w:p>
        </w:tc>
        <w:tc>
          <w:tcPr>
            <w:tcW w:w="2720" w:type="dxa"/>
            <w:vAlign w:val="center"/>
          </w:tcPr>
          <w:p>
            <w:pPr>
              <w:spacing w:after="0" w:before="0"/>
            </w:pPr>
            <w:r>
              <w:rPr>
                <w:rFonts w:ascii="Times New Roman" w:hAnsi="Times New Roman"/>
                <w:b w:val="0"/>
                <w:sz w:val="16"/>
              </w:rPr>
              <w:t>Energy error and runtime against extrapolated surface-resolution references.</w:t>
            </w:r>
          </w:p>
        </w:tc>
        <w:tc>
          <w:tcPr>
            <w:tcW w:w="2720" w:type="dxa"/>
            <w:vAlign w:val="center"/>
          </w:tcPr>
          <w:p>
            <w:pPr>
              <w:spacing w:after="0" w:before="0"/>
            </w:pPr>
            <w:r>
              <w:rPr>
                <w:rFonts w:ascii="Times New Roman" w:hAnsi="Times New Roman"/>
                <w:b w:val="0"/>
                <w:sz w:val="16"/>
              </w:rPr>
              <w:t>Accuracy established under the reference tests of the published method.</w:t>
            </w:r>
          </w:p>
        </w:tc>
        <w:tc>
          <w:tcPr>
            <w:tcW w:w="2720" w:type="dxa"/>
            <w:vAlign w:val="center"/>
          </w:tcPr>
          <w:p>
            <w:pPr>
              <w:spacing w:after="0" w:before="0"/>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pPr>
            <w:r>
              <w:rPr>
                <w:rFonts w:ascii="Times New Roman" w:hAnsi="Times New Roman"/>
                <w:b w:val="0"/>
                <w:sz w:val="16"/>
              </w:rPr>
              <w:t>Hardware status</w:t>
            </w:r>
          </w:p>
        </w:tc>
        <w:tc>
          <w:tcPr>
            <w:tcW w:w="2720" w:type="dxa"/>
            <w:vAlign w:val="center"/>
          </w:tcPr>
          <w:p>
            <w:pPr>
              <w:spacing w:after="0" w:before="0"/>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pPr>
            <w:r>
              <w:rPr>
                <w:rFonts w:ascii="Times New Roman" w:hAnsi="Times New Roman"/>
                <w:b w:val="0"/>
                <w:sz w:val="16"/>
              </w:rPr>
              <w:t>Used here as the closest analytical FMM-BIE reference, not as a wall-time target.</w:t>
            </w:r>
          </w:p>
        </w:tc>
        <w:tc>
          <w:tcPr>
            <w:tcW w:w="2720" w:type="dxa"/>
            <w:vAlign w:val="center"/>
          </w:tcPr>
          <w:p>
            <w:pPr>
              <w:spacing w:after="0" w:before="0"/>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robust solves. With a diagonal preconditioner, 0/6 systems passed the convergence criterion; the median iteration count was 680 and the median sampled operator audit was 1.207e-02. Replacing the diagonal preconditioner with a strictly local block preconditioner reduced median wall time to 700.8 s but still resulted in 0/6 passing cases and a median iteration count at the 720-iteration cap.</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exact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configurations converged in 128 iterations. The largest sampled audit RMS in Table 4 was 2.534e-03 for 1A63, and the largest reported resident set size was 369.6 MB. These metrics show that the high-order guarded path retained the Krylov benefits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locked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pPr>
        <w:jc w:val="both"/>
      </w:pPr>
      <w:r>
        <w:rPr>
          <w:rFonts w:ascii="Times New Roman" w:hAnsi="Times New Roman"/>
          <w:sz w:val="22"/>
        </w:rPr>
        <w:t>The present evidence has explicit limits. The benchmark is CPU/AVX2-only, uses six protein fixtures, and relies on sampled direct-operator audits for full-protein verification rather than full dense O(N^2) reaction-energy oracles. Section 3.5 adds guard, opening-angle, and cost-split checks, but it does not replace a full small-system dense oracle or a common-protocol sweep over all expansion orders and ILU graph policies. Those extensions are required before making stronger claims about generality, optimality, or broad parameter robustness.</w:t>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p4 Cartesian FMM/M2L restored sampled agreement with dense direct evaluations. The architecture provides a reproducible CPU baseline that can later be extended to broader validation sets and accelerated backends.</w:t>
      </w:r>
    </w:p>
    <w:p>
      <w:pPr>
        <w:pStyle w:val="Heading2"/>
      </w:pPr>
      <w:r>
        <w:t>3.5. Ablation and Sensitivity</w:t>
      </w:r>
    </w:p>
    <w:p>
      <w:pPr>
        <w:spacing w:after="120"/>
      </w:pPr>
      <w:r>
        <w:rPr>
          <w:rFonts w:ascii="Times New Roman" w:hAnsi="Times New Roman"/>
          <w:sz w:val="22"/>
        </w:rPr>
        <w:t>The ablation evidence addresses three questions: whether fast matrix-vector evaluation alone removes the bottleneck, whether the near-field ILU(0) preconditioner is cheap enough to justify its setup cost, and whether the guarded p4 operator is required for direct-operator agreement. The performance ladder in Table 3 provides the first separation. Direct dense TABI is runtime-limited at the tested panel counts. Degree-one FMM reduces the cost of each matrix-vector product, but weak diagonal or leaf-local block preconditioning still leaves GMRES at or near the iteration cap. Adding sparse near-field ILU(0) reduces the successful rows to 128 iterations, showing that the preconditioner addresses an algebraic stiffness that is not removed by FMM acceleration alone.</w:t>
      </w:r>
    </w:p>
    <w:p>
      <w:pPr>
        <w:spacing w:after="120"/>
      </w:pPr>
      <w:r>
        <w:rPr>
          <w:rFonts w:ascii="Times New Roman" w:hAnsi="Times New Roman"/>
          <w:sz w:val="22"/>
        </w:rPr>
        <w:t>The ILU(0) overhead is small relative to the Krylov work that it removes. The near-source graph is extracted and factored once before GMRES. In the 1A63 guarded p4 profile, ILU(0) setup accounts for 5.15 s and preconditioner application accounts for 6.37 s over the solve, compared with 151.9 s for p4 matrix-vector application and 312.6 s total wall time. The measured cost split therefore supports the use of the graph factorization in the tested CPU workflow; it does not by itself establish asymptotic optimality for larger systems.</w:t>
      </w:r>
    </w:p>
    <w:p>
      <w:pPr>
        <w:spacing w:after="120"/>
      </w:pPr>
      <w:r>
        <w:rPr>
          <w:rFonts w:ascii="Times New Roman" w:hAnsi="Times New Roman"/>
          <w:sz w:val="22"/>
        </w:rPr>
        <w:t>The second measured ablation is the operator guard. In the six-protein guard-on/guard-off sensitivity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guarded p4 path.</w:t>
      </w:r>
    </w:p>
    <w:p>
      <w:pPr>
        <w:spacing w:after="120"/>
      </w:pPr>
      <w:r>
        <w:rPr>
          <w:rFonts w:ascii="Times New Roman" w:hAnsi="Times New Roman"/>
          <w:sz w:val="22"/>
        </w:rPr>
        <w:t>Opening-angle sensitivity was then evaluated over theta = 0.4, 0.5, 0.6, and 0.7. All four settings passed the sampled direct-operator gate on the six-protein panel. The median wall time decreased modestly from 142.9 s at theta = 0.4 to 126.2 s at theta = 0.7. The manuscript retains theta = 0.6 because it was the locked validation setting used in the repeatability gates. The result should be read narrowly: within the tested range, the strict guard dominated the sampled accuracy behavior; no global optimal theta is claimed.</w:t>
      </w:r>
    </w:p>
    <w:p>
      <w:pPr>
        <w:pStyle w:val="Caption"/>
        <w:spacing w:before="160" w:after="60"/>
      </w:pPr>
      <w:r>
        <w:rPr>
          <w:rFonts w:ascii="Times New Roman" w:hAnsi="Times New Roman"/>
          <w:sz w:val="20"/>
        </w:rPr>
        <w:t>Table 6. Ablation and sensitivity coverage used to bound the guarded p4 claim.</w:t>
      </w:r>
    </w:p>
    <w:tbl>
      <w:tblPr>
        <w:tblStyle w:val="TableGrid"/>
        <w:tblW w:type="auto" w:w="0"/>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trPr>
        <w:tc>
          <w:tcPr>
            <w:tcW w:type="dxa" w:w="2088"/>
            <w:vAlign w:val="top"/>
            <w:shd w:fill="E5E7EB"/>
          </w:tcPr>
          <w:p>
            <w:pPr>
              <w:spacing w:after="0" w:before="0"/>
            </w:pPr>
            <w:r>
              <w:rPr>
                <w:rFonts w:ascii="Times New Roman" w:hAnsi="Times New Roman"/>
                <w:sz w:val="16"/>
              </w:rPr>
            </w:r>
            <w:r>
              <w:rPr>
                <w:rFonts w:ascii="Times New Roman" w:hAnsi="Times New Roman"/>
                <w:b/>
                <w:sz w:val="16"/>
              </w:rPr>
              <w:t>Axis</w:t>
            </w:r>
          </w:p>
        </w:tc>
        <w:tc>
          <w:tcPr>
            <w:tcW w:type="dxa" w:w="2448"/>
            <w:vAlign w:val="top"/>
            <w:shd w:fill="E5E7EB"/>
          </w:tcPr>
          <w:p>
            <w:pPr>
              <w:spacing w:after="0" w:before="0"/>
            </w:pPr>
            <w:r>
              <w:rPr>
                <w:rFonts w:ascii="Times New Roman" w:hAnsi="Times New Roman"/>
                <w:sz w:val="16"/>
              </w:rPr>
            </w:r>
            <w:r>
              <w:rPr>
                <w:rFonts w:ascii="Times New Roman" w:hAnsi="Times New Roman"/>
                <w:b/>
                <w:sz w:val="16"/>
              </w:rPr>
              <w:t>Evidence available in this manuscript</w:t>
            </w:r>
          </w:p>
        </w:tc>
        <w:tc>
          <w:tcPr>
            <w:tcW w:type="dxa" w:w="3456"/>
            <w:vAlign w:val="top"/>
            <w:shd w:fill="E5E7EB"/>
          </w:tcPr>
          <w:p>
            <w:pPr>
              <w:spacing w:after="0" w:before="0"/>
            </w:pPr>
            <w:r>
              <w:rPr>
                <w:rFonts w:ascii="Times New Roman" w:hAnsi="Times New Roman"/>
                <w:sz w:val="16"/>
              </w:rPr>
            </w:r>
            <w:r>
              <w:rPr>
                <w:rFonts w:ascii="Times New Roman" w:hAnsi="Times New Roman"/>
                <w:b/>
                <w:sz w:val="16"/>
              </w:rPr>
              <w:t>Conclusion supported</w:t>
            </w:r>
          </w:p>
        </w:tc>
        <w:tc>
          <w:tcPr>
            <w:tcW w:type="dxa" w:w="2232"/>
            <w:vAlign w:val="top"/>
            <w:shd w:fill="E5E7EB"/>
          </w:tcPr>
          <w:p>
            <w:pPr>
              <w:spacing w:after="0" w:before="0"/>
            </w:pPr>
            <w:r>
              <w:rPr>
                <w:rFonts w:ascii="Times New Roman" w:hAnsi="Times New Roman"/>
                <w:sz w:val="16"/>
              </w:rPr>
            </w:r>
            <w:r>
              <w:rPr>
                <w:rFonts w:ascii="Times New Roman" w:hAnsi="Times New Roman"/>
                <w:b/>
                <w:sz w:val="16"/>
              </w:rPr>
              <w:t>Outside the present claim</w:t>
            </w:r>
          </w:p>
        </w:tc>
      </w:tr>
      <w:tr>
        <w:tc>
          <w:tcPr>
            <w:tcW w:type="dxa" w:w="2088"/>
            <w:vAlign w:val="top"/>
          </w:tcPr>
          <w:p>
            <w:pPr>
              <w:spacing w:after="0" w:before="0"/>
            </w:pPr>
            <w:r>
              <w:rPr>
                <w:rFonts w:ascii="Times New Roman" w:hAnsi="Times New Roman"/>
                <w:sz w:val="16"/>
              </w:rPr>
            </w:r>
            <w:r>
              <w:rPr>
                <w:rFonts w:ascii="Times New Roman" w:hAnsi="Times New Roman"/>
                <w:b w:val="0"/>
                <w:sz w:val="16"/>
              </w:rPr>
              <w:t>Direct/FMM/ILU ladder</w:t>
            </w:r>
          </w:p>
        </w:tc>
        <w:tc>
          <w:tcPr>
            <w:tcW w:type="dxa" w:w="2448"/>
            <w:vAlign w:val="top"/>
          </w:tcPr>
          <w:p>
            <w:pPr>
              <w:spacing w:after="0" w:before="0"/>
            </w:pPr>
            <w:r>
              <w:rPr>
                <w:rFonts w:ascii="Times New Roman" w:hAnsi="Times New Roman"/>
                <w:sz w:val="16"/>
              </w:rPr>
            </w:r>
            <w:r>
              <w:rPr>
                <w:rFonts w:ascii="Times New Roman" w:hAnsi="Times New Roman"/>
                <w:b w:val="0"/>
                <w:sz w:val="16"/>
              </w:rPr>
              <w:t>Six-protein ladder in Table 3.</w:t>
            </w:r>
          </w:p>
        </w:tc>
        <w:tc>
          <w:tcPr>
            <w:tcW w:type="dxa" w:w="3456"/>
            <w:vAlign w:val="top"/>
          </w:tcPr>
          <w:p>
            <w:pPr>
              <w:spacing w:after="0" w:before="0"/>
            </w:pPr>
            <w:r>
              <w:rPr>
                <w:rFonts w:ascii="Times New Roman" w:hAnsi="Times New Roman"/>
                <w:sz w:val="16"/>
              </w:rPr>
            </w:r>
            <w:r>
              <w:rPr>
                <w:rFonts w:ascii="Times New Roman" w:hAnsi="Times New Roman"/>
                <w:b w:val="0"/>
                <w:sz w:val="16"/>
              </w:rPr>
              <w:t>FMM matvec acceleration alone did not remove Krylov stalls; sparse near-field ILU(0) stabilized the tested solves.</w:t>
            </w:r>
          </w:p>
        </w:tc>
        <w:tc>
          <w:tcPr>
            <w:tcW w:type="dxa" w:w="2232"/>
            <w:vAlign w:val="top"/>
          </w:tcPr>
          <w:p>
            <w:pPr>
              <w:spacing w:after="0" w:before="0"/>
            </w:pPr>
            <w:r>
              <w:rPr>
                <w:rFonts w:ascii="Times New Roman" w:hAnsi="Times New Roman"/>
                <w:sz w:val="16"/>
              </w:rPr>
            </w:r>
            <w:r>
              <w:rPr>
                <w:rFonts w:ascii="Times New Roman" w:hAnsi="Times New Roman"/>
                <w:b w:val="0"/>
                <w:sz w:val="16"/>
              </w:rPr>
              <w:t>This is not a comparison against every possible preconditioner.</w:t>
            </w:r>
          </w:p>
        </w:tc>
      </w:tr>
      <w:tr>
        <w:tc>
          <w:tcPr>
            <w:tcW w:type="dxa" w:w="2088"/>
            <w:vAlign w:val="top"/>
          </w:tcPr>
          <w:p>
            <w:pPr>
              <w:spacing w:after="0" w:before="0"/>
            </w:pPr>
            <w:r>
              <w:rPr>
                <w:rFonts w:ascii="Times New Roman" w:hAnsi="Times New Roman"/>
                <w:sz w:val="16"/>
              </w:rPr>
            </w:r>
            <w:r>
              <w:rPr>
                <w:rFonts w:ascii="Times New Roman" w:hAnsi="Times New Roman"/>
                <w:b w:val="0"/>
                <w:sz w:val="16"/>
              </w:rPr>
              <w:t>ILU(0) cost split</w:t>
            </w:r>
          </w:p>
        </w:tc>
        <w:tc>
          <w:tcPr>
            <w:tcW w:type="dxa" w:w="2448"/>
            <w:vAlign w:val="top"/>
          </w:tcPr>
          <w:p>
            <w:pPr>
              <w:spacing w:after="0" w:before="0"/>
            </w:pPr>
            <w:r>
              <w:rPr>
                <w:rFonts w:ascii="Times New Roman" w:hAnsi="Times New Roman"/>
                <w:sz w:val="16"/>
              </w:rPr>
            </w:r>
            <w:r>
              <w:rPr>
                <w:rFonts w:ascii="Times New Roman" w:hAnsi="Times New Roman"/>
                <w:b w:val="0"/>
                <w:sz w:val="16"/>
              </w:rPr>
              <w:t>1A63 profile: 5.15 s setup, 6.37 s total application, 151.9 s p4 matvec, 312.6 s wall time.</w:t>
            </w:r>
          </w:p>
        </w:tc>
        <w:tc>
          <w:tcPr>
            <w:tcW w:type="dxa" w:w="3456"/>
            <w:vAlign w:val="top"/>
          </w:tcPr>
          <w:p>
            <w:pPr>
              <w:spacing w:after="0" w:before="0"/>
            </w:pPr>
            <w:r>
              <w:rPr>
                <w:rFonts w:ascii="Times New Roman" w:hAnsi="Times New Roman"/>
                <w:sz w:val="16"/>
              </w:rPr>
            </w:r>
            <w:r>
              <w:rPr>
                <w:rFonts w:ascii="Times New Roman" w:hAnsi="Times New Roman"/>
                <w:b w:val="0"/>
                <w:sz w:val="16"/>
              </w:rPr>
              <w:t>The factorization overhead is small relative to the measured solve cost in the tested CPU workflow.</w:t>
            </w:r>
          </w:p>
        </w:tc>
        <w:tc>
          <w:tcPr>
            <w:tcW w:type="dxa" w:w="2232"/>
            <w:vAlign w:val="top"/>
          </w:tcPr>
          <w:p>
            <w:pPr>
              <w:spacing w:after="0" w:before="0"/>
            </w:pPr>
            <w:r>
              <w:rPr>
                <w:rFonts w:ascii="Times New Roman" w:hAnsi="Times New Roman"/>
                <w:sz w:val="16"/>
              </w:rPr>
            </w:r>
            <w:r>
              <w:rPr>
                <w:rFonts w:ascii="Times New Roman" w:hAnsi="Times New Roman"/>
                <w:b w:val="0"/>
                <w:sz w:val="16"/>
              </w:rPr>
              <w:t>Larger-panel scaling of setup and factor memory remains to be reported.</w:t>
            </w:r>
          </w:p>
        </w:tc>
      </w:tr>
      <w:tr>
        <w:tc>
          <w:tcPr>
            <w:tcW w:type="dxa" w:w="2088"/>
            <w:vAlign w:val="top"/>
          </w:tcPr>
          <w:p>
            <w:pPr>
              <w:spacing w:after="0" w:before="0"/>
            </w:pPr>
            <w:r>
              <w:rPr>
                <w:rFonts w:ascii="Times New Roman" w:hAnsi="Times New Roman"/>
                <w:sz w:val="16"/>
              </w:rPr>
            </w:r>
            <w:r>
              <w:rPr>
                <w:rFonts w:ascii="Times New Roman" w:hAnsi="Times New Roman"/>
                <w:b w:val="0"/>
                <w:sz w:val="16"/>
              </w:rPr>
              <w:t>Geometry guard</w:t>
            </w:r>
          </w:p>
        </w:tc>
        <w:tc>
          <w:tcPr>
            <w:tcW w:type="dxa" w:w="2448"/>
            <w:vAlign w:val="top"/>
          </w:tcPr>
          <w:p>
            <w:pPr>
              <w:spacing w:after="0" w:before="0"/>
            </w:pPr>
            <w:r>
              <w:rPr>
                <w:rFonts w:ascii="Times New Roman" w:hAnsi="Times New Roman"/>
                <w:sz w:val="16"/>
              </w:rPr>
            </w:r>
            <w:r>
              <w:rPr>
                <w:rFonts w:ascii="Times New Roman" w:hAnsi="Times New Roman"/>
                <w:b w:val="0"/>
                <w:sz w:val="16"/>
              </w:rPr>
              <w:t>Six-protein guard-on/guard-off runs; guard-off 1A63 audit RMS 5.18e-2, guard-on 2.53e-3.</w:t>
            </w:r>
          </w:p>
        </w:tc>
        <w:tc>
          <w:tcPr>
            <w:tcW w:type="dxa" w:w="3456"/>
            <w:vAlign w:val="top"/>
          </w:tcPr>
          <w:p>
            <w:pPr>
              <w:spacing w:after="0" w:before="0"/>
            </w:pPr>
            <w:r>
              <w:rPr>
                <w:rFonts w:ascii="Times New Roman" w:hAnsi="Times New Roman"/>
                <w:sz w:val="16"/>
              </w:rPr>
            </w:r>
            <w:r>
              <w:rPr>
                <w:rFonts w:ascii="Times New Roman" w:hAnsi="Times New Roman"/>
                <w:b w:val="0"/>
                <w:sz w:val="16"/>
              </w:rPr>
              <w:t>The strict geometric guard is accuracy-critical for the hardest tested case.</w:t>
            </w:r>
          </w:p>
        </w:tc>
        <w:tc>
          <w:tcPr>
            <w:tcW w:type="dxa" w:w="2232"/>
            <w:vAlign w:val="top"/>
          </w:tcPr>
          <w:p>
            <w:pPr>
              <w:spacing w:after="0" w:before="0"/>
            </w:pPr>
            <w:r>
              <w:rPr>
                <w:rFonts w:ascii="Times New Roman" w:hAnsi="Times New Roman"/>
                <w:sz w:val="16"/>
              </w:rPr>
            </w:r>
            <w:r>
              <w:rPr>
                <w:rFonts w:ascii="Times New Roman" w:hAnsi="Times New Roman"/>
                <w:b w:val="0"/>
                <w:sz w:val="16"/>
              </w:rPr>
              <w:t>Additional molecular geometries are needed before claiming broad robustness.</w:t>
            </w:r>
          </w:p>
        </w:tc>
      </w:tr>
      <w:tr>
        <w:tc>
          <w:tcPr>
            <w:tcW w:type="dxa" w:w="2088"/>
            <w:vAlign w:val="top"/>
          </w:tcPr>
          <w:p>
            <w:pPr>
              <w:spacing w:after="0" w:before="0"/>
            </w:pPr>
            <w:r>
              <w:rPr>
                <w:rFonts w:ascii="Times New Roman" w:hAnsi="Times New Roman"/>
                <w:sz w:val="16"/>
              </w:rPr>
            </w:r>
            <w:r>
              <w:rPr>
                <w:rFonts w:ascii="Times New Roman" w:hAnsi="Times New Roman"/>
                <w:b w:val="0"/>
                <w:sz w:val="16"/>
              </w:rPr>
              <w:t>Opening theta</w:t>
            </w:r>
          </w:p>
        </w:tc>
        <w:tc>
          <w:tcPr>
            <w:tcW w:type="dxa" w:w="2448"/>
            <w:vAlign w:val="top"/>
          </w:tcPr>
          <w:p>
            <w:pPr>
              <w:spacing w:after="0" w:before="0"/>
            </w:pPr>
            <w:r>
              <w:rPr>
                <w:rFonts w:ascii="Times New Roman" w:hAnsi="Times New Roman"/>
                <w:sz w:val="16"/>
              </w:rPr>
            </w:r>
            <w:r>
              <w:rPr>
                <w:rFonts w:ascii="Times New Roman" w:hAnsi="Times New Roman"/>
                <w:b w:val="0"/>
                <w:sz w:val="16"/>
              </w:rPr>
              <w:t>theta = 0.4, 0.5, 0.6, and 0.7 all passed; median wall time ranged from 142.9 s to 126.2 s.</w:t>
            </w:r>
          </w:p>
        </w:tc>
        <w:tc>
          <w:tcPr>
            <w:tcW w:type="dxa" w:w="3456"/>
            <w:vAlign w:val="top"/>
          </w:tcPr>
          <w:p>
            <w:pPr>
              <w:spacing w:after="0" w:before="0"/>
            </w:pPr>
            <w:r>
              <w:rPr>
                <w:rFonts w:ascii="Times New Roman" w:hAnsi="Times New Roman"/>
                <w:sz w:val="16"/>
              </w:rPr>
            </w:r>
            <w:r>
              <w:rPr>
                <w:rFonts w:ascii="Times New Roman" w:hAnsi="Times New Roman"/>
                <w:b w:val="0"/>
                <w:sz w:val="16"/>
              </w:rPr>
              <w:t>The accepted p4 result is not fragile over the tested theta range.</w:t>
            </w:r>
          </w:p>
        </w:tc>
        <w:tc>
          <w:tcPr>
            <w:tcW w:type="dxa" w:w="2232"/>
            <w:vAlign w:val="top"/>
          </w:tcPr>
          <w:p>
            <w:pPr>
              <w:spacing w:after="0" w:before="0"/>
            </w:pPr>
            <w:r>
              <w:rPr>
                <w:rFonts w:ascii="Times New Roman" w:hAnsi="Times New Roman"/>
                <w:sz w:val="16"/>
              </w:rPr>
            </w:r>
            <w:r>
              <w:rPr>
                <w:rFonts w:ascii="Times New Roman" w:hAnsi="Times New Roman"/>
                <w:b w:val="0"/>
                <w:sz w:val="16"/>
              </w:rPr>
              <w:t>No globally optimal theta is claimed.</w:t>
            </w:r>
          </w:p>
        </w:tc>
      </w:tr>
      <w:tr>
        <w:tc>
          <w:tcPr>
            <w:tcW w:type="dxa" w:w="2088"/>
            <w:vAlign w:val="top"/>
          </w:tcPr>
          <w:p>
            <w:pPr>
              <w:spacing w:after="0" w:before="0"/>
            </w:pPr>
            <w:r>
              <w:rPr>
                <w:rFonts w:ascii="Times New Roman" w:hAnsi="Times New Roman"/>
                <w:sz w:val="16"/>
              </w:rPr>
            </w:r>
            <w:r>
              <w:rPr>
                <w:rFonts w:ascii="Times New Roman" w:hAnsi="Times New Roman"/>
                <w:b w:val="0"/>
                <w:sz w:val="16"/>
              </w:rPr>
              <w:t>Tail indicator</w:t>
            </w:r>
          </w:p>
        </w:tc>
        <w:tc>
          <w:tcPr>
            <w:tcW w:type="dxa" w:w="2448"/>
            <w:vAlign w:val="top"/>
          </w:tcPr>
          <w:p>
            <w:pPr>
              <w:spacing w:after="0" w:before="0"/>
            </w:pPr>
            <w:r>
              <w:rPr>
                <w:rFonts w:ascii="Times New Roman" w:hAnsi="Times New Roman"/>
                <w:sz w:val="16"/>
              </w:rPr>
            </w:r>
            <w:r>
              <w:rPr>
                <w:rFonts w:ascii="Times New Roman" w:hAnsi="Times New Roman"/>
                <w:b w:val="0"/>
                <w:sz w:val="16"/>
              </w:rPr>
              <w:t>The submitted guarded p4 validator requires static operator-tail refinement at tolerance 0.002.</w:t>
            </w:r>
          </w:p>
        </w:tc>
        <w:tc>
          <w:tcPr>
            <w:tcW w:type="dxa" w:w="3456"/>
            <w:vAlign w:val="top"/>
          </w:tcPr>
          <w:p>
            <w:pPr>
              <w:spacing w:after="0" w:before="0"/>
            </w:pPr>
            <w:r>
              <w:rPr>
                <w:rFonts w:ascii="Times New Roman" w:hAnsi="Times New Roman"/>
                <w:sz w:val="16"/>
              </w:rPr>
            </w:r>
            <w:r>
              <w:rPr>
                <w:rFonts w:ascii="Times New Roman" w:hAnsi="Times New Roman"/>
                <w:b w:val="0"/>
                <w:sz w:val="16"/>
              </w:rPr>
              <w:t>Tail refinement is part of the validated workflow.</w:t>
            </w:r>
          </w:p>
        </w:tc>
        <w:tc>
          <w:tcPr>
            <w:tcW w:type="dxa" w:w="2232"/>
            <w:vAlign w:val="top"/>
          </w:tcPr>
          <w:p>
            <w:pPr>
              <w:spacing w:after="0" w:before="0"/>
            </w:pPr>
            <w:r>
              <w:rPr>
                <w:rFonts w:ascii="Times New Roman" w:hAnsi="Times New Roman"/>
                <w:sz w:val="16"/>
              </w:rPr>
            </w:r>
            <w:r>
              <w:rPr>
                <w:rFonts w:ascii="Times New Roman" w:hAnsi="Times New Roman"/>
                <w:b w:val="0"/>
                <w:sz w:val="16"/>
              </w:rPr>
              <w:t>A controlled tail-off solve would be needed to quantify the tail indicator alone.</w:t>
            </w:r>
          </w:p>
        </w:tc>
      </w:tr>
      <w:tr>
        <w:tc>
          <w:tcPr>
            <w:tcW w:type="dxa" w:w="2088"/>
            <w:vAlign w:val="top"/>
          </w:tcPr>
          <w:p>
            <w:pPr>
              <w:spacing w:after="0" w:before="0"/>
            </w:pPr>
            <w:r>
              <w:rPr>
                <w:rFonts w:ascii="Times New Roman" w:hAnsi="Times New Roman"/>
                <w:sz w:val="16"/>
              </w:rPr>
            </w:r>
            <w:r>
              <w:rPr>
                <w:rFonts w:ascii="Times New Roman" w:hAnsi="Times New Roman"/>
                <w:b w:val="0"/>
                <w:sz w:val="16"/>
              </w:rPr>
              <w:t>Expansion order</w:t>
            </w:r>
          </w:p>
        </w:tc>
        <w:tc>
          <w:tcPr>
            <w:tcW w:type="dxa" w:w="2448"/>
            <w:vAlign w:val="top"/>
          </w:tcPr>
          <w:p>
            <w:pPr>
              <w:spacing w:after="0" w:before="0"/>
            </w:pPr>
            <w:r>
              <w:rPr>
                <w:rFonts w:ascii="Times New Roman" w:hAnsi="Times New Roman"/>
                <w:sz w:val="16"/>
              </w:rPr>
            </w:r>
            <w:r>
              <w:rPr>
                <w:rFonts w:ascii="Times New Roman" w:hAnsi="Times New Roman"/>
                <w:b w:val="0"/>
                <w:sz w:val="16"/>
              </w:rPr>
              <w:t>p = 4 is the manuscript policy; p2/p5 are unsupported in the guarded path and p3 is rejected by the policy validator.</w:t>
            </w:r>
          </w:p>
        </w:tc>
        <w:tc>
          <w:tcPr>
            <w:tcW w:type="dxa" w:w="3456"/>
            <w:vAlign w:val="top"/>
          </w:tcPr>
          <w:p>
            <w:pPr>
              <w:spacing w:after="0" w:before="0"/>
            </w:pPr>
            <w:r>
              <w:rPr>
                <w:rFonts w:ascii="Times New Roman" w:hAnsi="Times New Roman"/>
                <w:sz w:val="16"/>
              </w:rPr>
            </w:r>
            <w:r>
              <w:rPr>
                <w:rFonts w:ascii="Times New Roman" w:hAnsi="Times New Roman"/>
                <w:b w:val="0"/>
                <w:sz w:val="16"/>
              </w:rPr>
              <w:t>The manuscript makes no p-order optimality claim.</w:t>
            </w:r>
          </w:p>
        </w:tc>
        <w:tc>
          <w:tcPr>
            <w:tcW w:type="dxa" w:w="2232"/>
            <w:vAlign w:val="top"/>
          </w:tcPr>
          <w:p>
            <w:pPr>
              <w:spacing w:after="0" w:before="0"/>
            </w:pPr>
            <w:r>
              <w:rPr>
                <w:rFonts w:ascii="Times New Roman" w:hAnsi="Times New Roman"/>
                <w:sz w:val="16"/>
              </w:rPr>
            </w:r>
            <w:r>
              <w:rPr>
                <w:rFonts w:ascii="Times New Roman" w:hAnsi="Times New Roman"/>
                <w:b w:val="0"/>
                <w:sz w:val="16"/>
              </w:rPr>
              <w:t>A common-protocol p2/p3/p4/p5 numerical sweep remains future validation.</w:t>
            </w:r>
          </w:p>
        </w:tc>
      </w:tr>
      <w:tr>
        <w:tc>
          <w:tcPr>
            <w:tcW w:type="dxa" w:w="2088"/>
            <w:vAlign w:val="top"/>
          </w:tcPr>
          <w:p>
            <w:pPr>
              <w:spacing w:after="0" w:before="0"/>
            </w:pPr>
            <w:r>
              <w:rPr>
                <w:rFonts w:ascii="Times New Roman" w:hAnsi="Times New Roman"/>
                <w:sz w:val="16"/>
              </w:rPr>
            </w:r>
            <w:r>
              <w:rPr>
                <w:rFonts w:ascii="Times New Roman" w:hAnsi="Times New Roman"/>
                <w:b w:val="0"/>
                <w:sz w:val="16"/>
              </w:rPr>
              <w:t>ILU neighbor cap</w:t>
            </w:r>
          </w:p>
        </w:tc>
        <w:tc>
          <w:tcPr>
            <w:tcW w:type="dxa" w:w="2448"/>
            <w:vAlign w:val="top"/>
          </w:tcPr>
          <w:p>
            <w:pPr>
              <w:spacing w:after="0" w:before="0"/>
            </w:pPr>
            <w:r>
              <w:rPr>
                <w:rFonts w:ascii="Times New Roman" w:hAnsi="Times New Roman"/>
                <w:sz w:val="16"/>
              </w:rPr>
            </w:r>
            <w:r>
              <w:rPr>
                <w:rFonts w:ascii="Times New Roman" w:hAnsi="Times New Roman"/>
                <w:b w:val="0"/>
                <w:sz w:val="16"/>
              </w:rPr>
              <w:t>Neighbor cap 64 is the validated policy; caps 32 and 128 are rejected by the current guarded p4 validator.</w:t>
            </w:r>
          </w:p>
        </w:tc>
        <w:tc>
          <w:tcPr>
            <w:tcW w:type="dxa" w:w="3456"/>
            <w:vAlign w:val="top"/>
          </w:tcPr>
          <w:p>
            <w:pPr>
              <w:spacing w:after="0" w:before="0"/>
            </w:pPr>
            <w:r>
              <w:rPr>
                <w:rFonts w:ascii="Times New Roman" w:hAnsi="Times New Roman"/>
                <w:sz w:val="16"/>
              </w:rPr>
            </w:r>
            <w:r>
              <w:rPr>
                <w:rFonts w:ascii="Times New Roman" w:hAnsi="Times New Roman"/>
                <w:b w:val="0"/>
                <w:sz w:val="16"/>
              </w:rPr>
              <w:t>The manuscript validates one reproducible graph policy.</w:t>
            </w:r>
          </w:p>
        </w:tc>
        <w:tc>
          <w:tcPr>
            <w:tcW w:type="dxa" w:w="2232"/>
            <w:vAlign w:val="top"/>
          </w:tcPr>
          <w:p>
            <w:pPr>
              <w:spacing w:after="0" w:before="0"/>
            </w:pPr>
            <w:r>
              <w:rPr>
                <w:rFonts w:ascii="Times New Roman" w:hAnsi="Times New Roman"/>
                <w:sz w:val="16"/>
              </w:rPr>
            </w:r>
            <w:r>
              <w:rPr>
                <w:rFonts w:ascii="Times New Roman" w:hAnsi="Times New Roman"/>
                <w:b w:val="0"/>
                <w:sz w:val="16"/>
              </w:rPr>
              <w:t>A deliberate cap sweep is required before claiming cap optimality.</w:t>
            </w:r>
          </w:p>
        </w:tc>
      </w:tr>
      <w:tr>
        <w:tc>
          <w:tcPr>
            <w:tcW w:type="dxa" w:w="2088"/>
            <w:vAlign w:val="top"/>
          </w:tcPr>
          <w:p>
            <w:pPr>
              <w:spacing w:after="0" w:before="0"/>
            </w:pPr>
            <w:r>
              <w:rPr>
                <w:rFonts w:ascii="Times New Roman" w:hAnsi="Times New Roman"/>
                <w:sz w:val="16"/>
              </w:rPr>
            </w:r>
            <w:r>
              <w:rPr>
                <w:rFonts w:ascii="Times New Roman" w:hAnsi="Times New Roman"/>
                <w:b w:val="0"/>
                <w:sz w:val="16"/>
              </w:rPr>
              <w:t>Residual traces</w:t>
            </w:r>
          </w:p>
        </w:tc>
        <w:tc>
          <w:tcPr>
            <w:tcW w:type="dxa" w:w="2448"/>
            <w:vAlign w:val="top"/>
          </w:tcPr>
          <w:p>
            <w:pPr>
              <w:spacing w:after="0" w:before="0"/>
            </w:pPr>
            <w:r>
              <w:rPr>
                <w:rFonts w:ascii="Times New Roman" w:hAnsi="Times New Roman"/>
                <w:sz w:val="16"/>
              </w:rPr>
            </w:r>
            <w:r>
              <w:rPr>
                <w:rFonts w:ascii="Times New Roman" w:hAnsi="Times New Roman"/>
                <w:b w:val="0"/>
                <w:sz w:val="16"/>
              </w:rPr>
              <w:t>Figure 5 shows Barnase; the evidence package records traces for all six proteins.</w:t>
            </w:r>
          </w:p>
        </w:tc>
        <w:tc>
          <w:tcPr>
            <w:tcW w:type="dxa" w:w="3456"/>
            <w:vAlign w:val="top"/>
          </w:tcPr>
          <w:p>
            <w:pPr>
              <w:spacing w:after="0" w:before="0"/>
            </w:pPr>
            <w:r>
              <w:rPr>
                <w:rFonts w:ascii="Times New Roman" w:hAnsi="Times New Roman"/>
                <w:sz w:val="16"/>
              </w:rPr>
            </w:r>
            <w:r>
              <w:rPr>
                <w:rFonts w:ascii="Times New Roman" w:hAnsi="Times New Roman"/>
                <w:b w:val="0"/>
                <w:sz w:val="16"/>
              </w:rPr>
              <w:t>The main text shows the representative convergence separation without overcrowding the manuscript.</w:t>
            </w:r>
          </w:p>
        </w:tc>
        <w:tc>
          <w:tcPr>
            <w:tcW w:type="dxa" w:w="2232"/>
            <w:vAlign w:val="top"/>
          </w:tcPr>
          <w:p>
            <w:pPr>
              <w:spacing w:after="0" w:before="0"/>
            </w:pPr>
            <w:r>
              <w:rPr>
                <w:rFonts w:ascii="Times New Roman" w:hAnsi="Times New Roman"/>
                <w:sz w:val="16"/>
              </w:rPr>
            </w:r>
            <w:r>
              <w:rPr>
                <w:rFonts w:ascii="Times New Roman" w:hAnsi="Times New Roman"/>
                <w:b w:val="0"/>
                <w:sz w:val="16"/>
              </w:rPr>
              <w:t>All six traces should be moved to Supplementary Information if requested by the target journal.</w:t>
            </w:r>
          </w:p>
        </w:tc>
      </w:tr>
    </w:tbl>
    <w:p>
      <w:pPr>
        <w:spacing w:after="120"/>
      </w:pPr>
      <w:r>
        <w:rPr>
          <w:rFonts w:ascii="Times New Roman" w:hAnsi="Times New Roman"/>
          <w:sz w:val="22"/>
        </w:rPr>
        <w:t>Table 6 separates measured numerical ablations from configuration-boundary checks. The guard-off 1A63 row is a measured accuracy failure. By contrast, tail-off, unsupported expansion orders, and nonvalidated ILU neighbor caps are validator-rejection checks: they document the reproducibility boundary of the submitted guarded p4 workflow but do not substitute for a deliberately relaxed parameter sweep. This distinction is important because the current manuscript supports a bounded implementation claim, not a claim that p = 4, theta = 0.6, or neighbor cap 64 is universally optimal.</w:t>
      </w:r>
    </w:p>
    <w:p w14:paraId="159BD92D" w14:textId="7EE2D989" w:rsidR="000B62E7" w:rsidRDefault="000B62E7">
      <w:pPr>
        <w:jc w:val="both"/>
      </w:pP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rPr>
          <w:rFonts w:ascii="Times New Roman" w:hAnsi="Times New Roman"/>
          <w:sz w:val="22"/>
        </w:rPr>
        <w:t>TITAN contains a guarded fourth-order Cartesian FMM/M2L boundary-integral PB path with sparse near-field ILU(0) preconditioning. On the reported primary and supplementary protein fixtures, the guarded p4 workflow converged under the stated criteria, passed sampled direct-operator verification, and kept resident memory below 370 MB. The supported claim is deliberately bounded: the method combines analytical fast evaluation, deterministic far-field guarding, and graph-based sparse preconditioning to make the tested dense molecular-surface PB solves Krylov-robust and auditable on CPU hardware.</w:t>
      </w:r>
    </w:p>
    <w:p>
      <w:pPr>
        <w:pStyle w:val="Heading1"/>
      </w:pPr>
      <w:r>
        <w:rPr>
          <w:rFonts w:ascii="Times New Roman" w:hAnsi="Times New Roman"/>
          <w:sz w:val="22"/>
        </w:rPr>
        <w:t>Code and Data Availability</w:t>
      </w:r>
    </w:p>
    <w:p>
      <w:pPr/>
      <w:r>
        <w:rPr>
          <w:rFonts w:ascii="Times New Roman" w:hAnsi="Times New Roman"/>
          <w:sz w:val="22"/>
        </w:rPr>
        <w:t>A versioned MIT-licensed TITAN release, benchmark manifests, scripts, and reference outputs should be archived before submission. The repository URL and persistent archive DOI will be inserted here after the public release is finalized. Public protein structures are identified by their RCSB PDB accession codes; derived surface metadata, run manifests, and tabulated outputs corresponding to the manuscript tables should be included in the archived release.</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fixed"/>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pPr>
            <w:r>
              <w:rPr>
                <w:rFonts w:ascii="Times New Roman" w:hAnsi="Times New Roman"/>
                <w:b w:val="0"/>
                <w:sz w:val="16"/>
              </w:rPr>
              <w:t>Supplement</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pPr>
            <w:r>
              <w:rPr>
                <w:rFonts w:ascii="Times New Roman" w:hAnsi="Times New Roman"/>
                <w:b w:val="0"/>
                <w:sz w:val="16"/>
              </w:rPr>
              <w:t>Supplement</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pPr>
            <w:r>
              <w:rPr>
                <w:rFonts w:ascii="Times New Roman" w:hAnsi="Times New Roman"/>
                <w:b w:val="0"/>
                <w:sz w:val="16"/>
              </w:rPr>
              <w:t>Supplement</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fixed"/>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pPr>
            <w:r>
              <w:rPr>
                <w:rFonts w:ascii="Times New Roman" w:hAnsi="Times New Roman"/>
                <w:b w:val="0"/>
                <w:sz w:val="16"/>
              </w:rPr>
              <w:t>576</w:t>
            </w:r>
          </w:p>
        </w:tc>
        <w:tc>
          <w:tcPr>
            <w:tcW w:w="1400" w:type="dxa"/>
            <w:vAlign w:val="center"/>
          </w:tcPr>
          <w:p>
            <w:pPr>
              <w:spacing w:after="0" w:before="0"/>
            </w:pPr>
            <w:r>
              <w:rPr>
                <w:rFonts w:ascii="Times New Roman" w:hAnsi="Times New Roman"/>
                <w:b w:val="0"/>
                <w:sz w:val="16"/>
              </w:rPr>
              <w:t>no passing solve under budget</w:t>
            </w:r>
          </w:p>
        </w:tc>
        <w:tc>
          <w:tcPr>
            <w:tcW w:w="3260" w:type="dxa"/>
            <w:vAlign w:val="center"/>
          </w:tcPr>
          <w:p>
            <w:pPr>
              <w:spacing w:after="0" w:before="0"/>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pPr>
            <w:r>
              <w:rPr>
                <w:rFonts w:ascii="Times New Roman" w:hAnsi="Times New Roman"/>
                <w:b w:val="0"/>
                <w:sz w:val="16"/>
              </w:rPr>
              <w:t>median 1.207e-02</w:t>
            </w:r>
          </w:p>
        </w:tc>
        <w:tc>
          <w:tcPr>
            <w:tcW w:w="3260" w:type="dxa"/>
            <w:vAlign w:val="center"/>
          </w:tcPr>
          <w:p>
            <w:pPr>
              <w:spacing w:after="0" w:before="0"/>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pPr>
            <w:r>
              <w:rPr>
                <w:rFonts w:ascii="Times New Roman" w:hAnsi="Times New Roman"/>
                <w:b w:val="0"/>
                <w:sz w:val="16"/>
              </w:rPr>
              <w:t>median 1.258e-02</w:t>
            </w:r>
          </w:p>
        </w:tc>
        <w:tc>
          <w:tcPr>
            <w:tcW w:w="3260" w:type="dxa"/>
            <w:vAlign w:val="center"/>
          </w:tcPr>
          <w:p>
            <w:pPr>
              <w:spacing w:after="0" w:before="0"/>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pPr>
            <w:r>
              <w:rPr>
                <w:rFonts w:ascii="Times New Roman" w:hAnsi="Times New Roman"/>
                <w:b w:val="0"/>
                <w:sz w:val="16"/>
              </w:rPr>
              <w:t>median 4.052e-02; max 9.671e-01</w:t>
            </w:r>
          </w:p>
        </w:tc>
        <w:tc>
          <w:tcPr>
            <w:tcW w:w="3260" w:type="dxa"/>
            <w:vAlign w:val="center"/>
          </w:tcPr>
          <w:p>
            <w:pPr>
              <w:spacing w:after="0" w:before="0"/>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pPr>
            <w:r>
              <w:rPr>
                <w:rFonts w:ascii="Times New Roman" w:hAnsi="Times New Roman"/>
                <w:b w:val="0"/>
                <w:sz w:val="16"/>
              </w:rPr>
              <w:t>median 1.121e-05; max 2.534e-03</w:t>
            </w:r>
          </w:p>
        </w:tc>
        <w:tc>
          <w:tcPr>
            <w:tcW w:w="3260" w:type="dxa"/>
            <w:vAlign w:val="center"/>
          </w:tcPr>
          <w:p>
            <w:pPr>
              <w:spacing w:after="0" w:before="0"/>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fixed"/>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pPr>
            <w:r>
              <w:rPr>
                <w:rFonts w:ascii="Times New Roman" w:hAnsi="Times New Roman"/>
                <w:b/>
                <w:sz w:val="16"/>
              </w:rPr>
              <w:t>Internal residual</w:t>
            </w:r>
          </w:p>
        </w:tc>
        <w:tc>
          <w:tcPr>
            <w:tcW w:w="1050" w:type="dxa"/>
            <w:shd w:val="clear" w:color="auto" w:fill="E7E6E6"/>
            <w:vAlign w:val="center"/>
          </w:tcPr>
          <w:p w14:paraId="6A665121" w14:textId="77777777" w:rsidR="000B62E7" w:rsidRDefault="00A65B0F">
            <w:pPr>
              <w:spacing w:after="0" w:line="240" w:lineRule="auto" w:before="0"/>
            </w:pPr>
            <w:r>
              <w:rPr>
                <w:rFonts w:ascii="Times New Roman" w:hAnsi="Times New Roman"/>
                <w:b/>
                <w:sz w:val="16"/>
              </w:rPr>
              <w:t>Audit RMS</w:t>
            </w:r>
          </w:p>
        </w:tc>
        <w:tc>
          <w:tcPr>
            <w:tcW w:w="1200" w:type="dxa"/>
            <w:shd w:val="clear" w:color="auto" w:fill="E7E6E6"/>
            <w:vAlign w:val="center"/>
          </w:tcPr>
          <w:p w14:paraId="72435958" w14:textId="77777777" w:rsidR="000B62E7" w:rsidRDefault="00A65B0F">
            <w:pPr>
              <w:spacing w:after="0" w:line="240" w:lineRule="auto" w:before="0"/>
            </w:pPr>
            <w:r>
              <w:rPr>
                <w:rFonts w:ascii="Times New Roman" w:hAnsi="Times New Roman"/>
                <w:b/>
                <w:sz w:val="16"/>
              </w:rPr>
              <w:t>Direct residual</w:t>
            </w:r>
          </w:p>
        </w:tc>
        <w:tc>
          <w:tcPr>
            <w:tcW w:w="700" w:type="dxa"/>
            <w:shd w:val="clear" w:color="auto" w:fill="E7E6E6"/>
            <w:vAlign w:val="center"/>
          </w:tcPr>
          <w:p w14:paraId="1CC77690" w14:textId="77777777" w:rsidR="000B62E7" w:rsidRDefault="00A65B0F">
            <w:pPr>
              <w:spacing w:after="0" w:line="240" w:lineRule="auto" w:before="0"/>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locked full-protein panel.</w:t>
      </w:r>
    </w:p>
    <w:tbl>
      <w:tblPr>
        <w:tblStyle w:val="TableGrid"/>
        <w:tblW w:w="10050" w:type="dxa"/>
        <w:jc w:val="center"/>
        <w:tblLayout w:type="fixed"/>
        <w:tblLook w:val="04A0" w:firstRow="1" w:lastRow="0" w:firstColumn="1" w:lastColumn="0" w:noHBand="0" w:noVBand="1"/>
      </w:tblPr>
      <w:tblGrid>
        <w:gridCol w:w="2400"/>
        <w:gridCol w:w="1100"/>
        <w:gridCol w:w="900"/>
        <w:gridCol w:w="1100"/>
        <w:gridCol w:w="1050"/>
        <w:gridCol w:w="1450"/>
        <w:gridCol w:w="1150"/>
        <w:gridCol w:w="90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pPr>
            <w:r>
              <w:rPr>
                <w:rFonts w:ascii="Times New Roman" w:hAnsi="Times New Roman"/>
                <w:b/>
                <w:sz w:val="16"/>
              </w:rPr>
              <w:t>Energy</w:t>
            </w:r>
          </w:p>
        </w:tc>
        <w:tc>
          <w:tcPr>
            <w:tcW w:w="1050" w:type="dxa"/>
            <w:shd w:val="clear" w:color="auto" w:fill="E7E6E6"/>
            <w:vAlign w:val="center"/>
          </w:tcPr>
          <w:p w14:paraId="6BC026E7" w14:textId="77777777" w:rsidR="000B62E7" w:rsidRDefault="00A65B0F">
            <w:pPr>
              <w:spacing w:after="0" w:line="240" w:lineRule="auto" w:before="0"/>
            </w:pPr>
            <w:r>
              <w:rPr>
                <w:rFonts w:ascii="Times New Roman" w:hAnsi="Times New Roman"/>
                <w:b/>
                <w:sz w:val="16"/>
              </w:rPr>
              <w:t>Audit max</w:t>
            </w:r>
          </w:p>
        </w:tc>
        <w:tc>
          <w:tcPr>
            <w:tcW w:w="1450" w:type="dxa"/>
            <w:shd w:val="clear" w:color="auto" w:fill="E7E6E6"/>
            <w:vAlign w:val="center"/>
          </w:tcPr>
          <w:p w14:paraId="45A14ADA" w14:textId="77777777" w:rsidR="000B62E7" w:rsidRDefault="00A65B0F">
            <w:pPr>
              <w:spacing w:after="0" w:line="240" w:lineRule="auto" w:before="0"/>
            </w:pPr>
            <w:r>
              <w:rPr>
                <w:rFonts w:ascii="Times New Roman" w:hAnsi="Times New Roman"/>
                <w:b/>
                <w:sz w:val="16"/>
              </w:rPr>
              <w:t>Direct residual max</w:t>
            </w:r>
          </w:p>
        </w:tc>
        <w:tc>
          <w:tcPr>
            <w:tcW w:w="1150" w:type="dxa"/>
            <w:shd w:val="clear" w:color="auto" w:fill="E7E6E6"/>
            <w:vAlign w:val="center"/>
          </w:tcPr>
          <w:p w14:paraId="57C16C6E" w14:textId="77777777" w:rsidR="000B62E7" w:rsidRDefault="00A65B0F">
            <w:pPr>
              <w:spacing w:after="0" w:line="240" w:lineRule="auto" w:before="0"/>
            </w:pPr>
            <w:r>
              <w:rPr>
                <w:rFonts w:ascii="Times New Roman" w:hAnsi="Times New Roman"/>
                <w:b/>
                <w:sz w:val="16"/>
              </w:rPr>
              <w:t>Energy spread</w:t>
            </w:r>
          </w:p>
        </w:tc>
        <w:tc>
          <w:tcPr>
            <w:tcW w:w="900" w:type="dxa"/>
            <w:shd w:val="clear" w:color="auto" w:fill="E7E6E6"/>
            <w:vAlign w:val="center"/>
          </w:tcPr>
          <w:p w14:paraId="32698CA2" w14:textId="77777777" w:rsidR="000B62E7" w:rsidRDefault="00A65B0F">
            <w:pPr>
              <w:spacing w:after="0" w:line="240" w:lineRule="auto" w:before="0"/>
            </w:pPr>
            <w:r>
              <w:rPr>
                <w:rFonts w:ascii="Times New Roman" w:hAnsi="Times New Roman"/>
                <w:b/>
                <w:sz w:val="16"/>
              </w:rPr>
              <w:t>p4/deg1</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5AF363E0" w14:textId="77777777" w:rsidR="000B62E7" w:rsidRDefault="00A65B0F">
            <w:pPr>
              <w:spacing w:after="0" w:line="240" w:lineRule="auto" w:before="0"/>
            </w:pPr>
            <w:r>
              <w:rPr>
                <w:rFonts w:ascii="Times New Roman" w:hAnsi="Times New Roman"/>
                <w:b w:val="0"/>
                <w:sz w:val="16"/>
              </w:rPr>
              <w:t>0.450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2731DB5E" w14:textId="77777777" w:rsidR="000B62E7" w:rsidRDefault="00A65B0F">
            <w:pPr>
              <w:spacing w:after="0" w:line="240" w:lineRule="auto" w:before="0"/>
            </w:pPr>
            <w:r>
              <w:rPr>
                <w:rFonts w:ascii="Times New Roman" w:hAnsi="Times New Roman"/>
                <w:b w:val="0"/>
                <w:sz w:val="16"/>
              </w:rPr>
              <w:t>0.674</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pPr>
            <w:r>
              <w:rPr>
                <w:rFonts w:ascii="Times New Roman" w:hAnsi="Times New Roman"/>
                <w:b w:val="0"/>
                <w:sz w:val="16"/>
              </w:rPr>
              <w:t>0.000</w:t>
            </w:r>
          </w:p>
        </w:tc>
        <w:tc>
          <w:tcPr>
            <w:tcW w:w="900" w:type="dxa"/>
            <w:vAlign w:val="center"/>
          </w:tcPr>
          <w:p w14:paraId="4B2D4639" w14:textId="77777777" w:rsidR="000B62E7" w:rsidRDefault="00A65B0F">
            <w:pPr>
              <w:spacing w:after="0" w:line="240" w:lineRule="auto" w:before="0"/>
            </w:pPr>
            <w:r>
              <w:rPr>
                <w:rFonts w:ascii="Times New Roman" w:hAnsi="Times New Roman"/>
                <w:b w:val="0"/>
                <w:sz w:val="16"/>
              </w:rPr>
              <w:t>0.383</w:t>
            </w:r>
          </w:p>
        </w:tc>
      </w:tr>
    </w:tbl>
    <w:p w14:paraId="4A414A51" w14:textId="77777777" w:rsidR="000B62E7" w:rsidRDefault="00A65B0F">
      <w:r>
        <w:rPr>
          <w:rFonts w:ascii="Times New Roman" w:hAnsi="Times New Roman"/>
          <w:sz w:val="20"/>
        </w:rPr>
        <w:br w:type="page"/>
      </w:r>
    </w:p>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14:paraId="61B1D9D5" w14:textId="77777777" w:rsidR="000B62E7" w:rsidRDefault="000B62E7">
      <w:pPr>
        <w:sectPr w:rsidR="000B62E7">
          <w:headerReference w:type="default" r:id="rId13"/>
          <w:footerReference w:type="default" r:id="rId14"/>
          <w:pgSz w:w="12240" w:h="15840"/>
          <w:pgMar w:top="1440" w:right="1440" w:bottom="1440" w:left="1440" w:header="648" w:footer="648" w:gutter="0"/>
          <w:cols w:space="720"/>
          <w:docGrid w:linePitch="360"/>
        </w:sectPr>
      </w:pPr>
    </w:p>
    <w:p w14:paraId="7EFEB484" w14:textId="77777777" w:rsidR="000B62E7" w:rsidRDefault="00A65B0F">
      <w:pPr>
        <w:pStyle w:val="Heading1"/>
      </w:pPr>
      <w:r>
        <w:rPr>
          <w:rFonts w:ascii="Times New Roman" w:hAnsi="Times New Roman"/>
          <w:b/>
          <w:sz w:val="24"/>
        </w:rPr>
        <w:lastRenderedPageBreak/>
        <w:t>Supplementary Public-Protein Expansion</w:t>
      </w:r>
    </w:p>
    <w:p w14:paraId="0C601AA0" w14:textId="77777777" w:rsidR="000B62E7" w:rsidRDefault="00A65B0F">
      <w:pPr>
        <w:pStyle w:val="Caption"/>
        <w:keepNext/>
      </w:pPr>
      <w:r>
        <w:rPr>
          <w:rFonts w:ascii="Times New Roman" w:hAnsi="Times New Roman"/>
          <w:sz w:val="20"/>
        </w:rPr>
        <w:t>Table S1. Full public-protein supplement rows prepared without atom sampling.</w:t>
      </w:r>
    </w:p>
    <w:tbl>
      <w:tblPr>
        <w:tblStyle w:val="TableGrid"/>
        <w:tblW w:w="9800" w:type="dxa"/>
        <w:jc w:val="center"/>
        <w:tblLayout w:type="fixed"/>
        <w:tblLook w:val="04A0" w:firstRow="1" w:lastRow="0" w:firstColumn="1" w:lastColumn="0" w:noHBand="0" w:noVBand="1"/>
      </w:tblPr>
      <w:tblGrid>
        <w:gridCol w:w="2450"/>
        <w:gridCol w:w="850"/>
        <w:gridCol w:w="750"/>
        <w:gridCol w:w="850"/>
        <w:gridCol w:w="1050"/>
        <w:gridCol w:w="1150"/>
        <w:gridCol w:w="1500"/>
        <w:gridCol w:w="1200"/>
      </w:tblGrid>
      <w:tr w:rsidR="000B62E7" w14:paraId="47244F8E" w14:textId="77777777">
        <w:trPr>
          <w:cantSplit/>
          <w:tblHeader/>
          <w:jc w:val="center"/>
        </w:trPr>
        <w:tc>
          <w:tcPr>
            <w:tcW w:w="2450" w:type="dxa"/>
            <w:shd w:val="clear" w:color="auto" w:fill="E7E6E6"/>
            <w:vAlign w:val="center"/>
          </w:tcPr>
          <w:p w14:paraId="5DEA2A8A" w14:textId="77777777" w:rsidR="000B62E7" w:rsidRDefault="00A65B0F">
            <w:pPr>
              <w:spacing w:after="0" w:line="240" w:lineRule="auto" w:before="0"/>
            </w:pPr>
            <w:r>
              <w:rPr>
                <w:rFonts w:ascii="Times New Roman" w:hAnsi="Times New Roman"/>
                <w:b/>
                <w:sz w:val="16"/>
              </w:rPr>
              <w:t>Protein</w:t>
            </w:r>
          </w:p>
        </w:tc>
        <w:tc>
          <w:tcPr>
            <w:tcW w:w="850" w:type="dxa"/>
            <w:shd w:val="clear" w:color="auto" w:fill="E7E6E6"/>
            <w:vAlign w:val="center"/>
          </w:tcPr>
          <w:p w14:paraId="7B6ED5BB" w14:textId="77777777" w:rsidR="000B62E7" w:rsidRDefault="00A65B0F">
            <w:pPr>
              <w:spacing w:after="0" w:line="240" w:lineRule="auto" w:before="0"/>
            </w:pPr>
            <w:r>
              <w:rPr>
                <w:rFonts w:ascii="Times New Roman" w:hAnsi="Times New Roman"/>
                <w:b/>
                <w:sz w:val="16"/>
              </w:rPr>
              <w:t>PDB</w:t>
            </w:r>
          </w:p>
        </w:tc>
        <w:tc>
          <w:tcPr>
            <w:tcW w:w="750" w:type="dxa"/>
            <w:shd w:val="clear" w:color="auto" w:fill="E7E6E6"/>
            <w:vAlign w:val="center"/>
          </w:tcPr>
          <w:p w14:paraId="660A72D3" w14:textId="77777777" w:rsidR="000B62E7" w:rsidRDefault="00A65B0F">
            <w:pPr>
              <w:spacing w:after="0" w:line="240" w:lineRule="auto" w:before="0"/>
            </w:pPr>
            <w:r>
              <w:rPr>
                <w:rFonts w:ascii="Times New Roman" w:hAnsi="Times New Roman"/>
                <w:b/>
                <w:sz w:val="16"/>
              </w:rPr>
              <w:t>Atoms</w:t>
            </w:r>
          </w:p>
        </w:tc>
        <w:tc>
          <w:tcPr>
            <w:tcW w:w="850" w:type="dxa"/>
            <w:shd w:val="clear" w:color="auto" w:fill="E7E6E6"/>
            <w:vAlign w:val="center"/>
          </w:tcPr>
          <w:p w14:paraId="39E3E74A" w14:textId="77777777" w:rsidR="000B62E7" w:rsidRDefault="00A65B0F">
            <w:pPr>
              <w:spacing w:after="0" w:line="240" w:lineRule="auto" w:before="0"/>
            </w:pPr>
            <w:r>
              <w:rPr>
                <w:rFonts w:ascii="Times New Roman" w:hAnsi="Times New Roman"/>
                <w:b/>
                <w:sz w:val="16"/>
              </w:rPr>
              <w:t>Panels</w:t>
            </w:r>
          </w:p>
        </w:tc>
        <w:tc>
          <w:tcPr>
            <w:tcW w:w="1050" w:type="dxa"/>
            <w:shd w:val="clear" w:color="auto" w:fill="E7E6E6"/>
            <w:vAlign w:val="center"/>
          </w:tcPr>
          <w:p w14:paraId="772CC52A" w14:textId="77777777" w:rsidR="000B62E7" w:rsidRDefault="00A65B0F">
            <w:pPr>
              <w:spacing w:after="0" w:line="240" w:lineRule="auto" w:before="0"/>
            </w:pPr>
            <w:r>
              <w:rPr>
                <w:rFonts w:ascii="Times New Roman" w:hAnsi="Times New Roman"/>
                <w:b/>
                <w:sz w:val="16"/>
              </w:rPr>
              <w:t>Energy</w:t>
            </w:r>
          </w:p>
        </w:tc>
        <w:tc>
          <w:tcPr>
            <w:tcW w:w="1150" w:type="dxa"/>
            <w:shd w:val="clear" w:color="auto" w:fill="E7E6E6"/>
            <w:vAlign w:val="center"/>
          </w:tcPr>
          <w:p w14:paraId="0B94E0CF" w14:textId="77777777" w:rsidR="000B62E7" w:rsidRDefault="00A65B0F">
            <w:pPr>
              <w:spacing w:after="0" w:line="240" w:lineRule="auto" w:before="0"/>
            </w:pPr>
            <w:r>
              <w:rPr>
                <w:rFonts w:ascii="Times New Roman" w:hAnsi="Times New Roman"/>
                <w:b/>
                <w:sz w:val="16"/>
              </w:rPr>
              <w:t>Audit max</w:t>
            </w:r>
          </w:p>
        </w:tc>
        <w:tc>
          <w:tcPr>
            <w:tcW w:w="1500" w:type="dxa"/>
            <w:shd w:val="clear" w:color="auto" w:fill="E7E6E6"/>
            <w:vAlign w:val="center"/>
          </w:tcPr>
          <w:p w14:paraId="6981251C" w14:textId="77777777" w:rsidR="000B62E7" w:rsidRDefault="00A65B0F">
            <w:pPr>
              <w:spacing w:after="0" w:line="240" w:lineRule="auto" w:before="0"/>
            </w:pPr>
            <w:r>
              <w:rPr>
                <w:rFonts w:ascii="Times New Roman" w:hAnsi="Times New Roman"/>
                <w:b/>
                <w:sz w:val="16"/>
              </w:rPr>
              <w:t>Direct residual max</w:t>
            </w:r>
          </w:p>
        </w:tc>
        <w:tc>
          <w:tcPr>
            <w:tcW w:w="1200" w:type="dxa"/>
            <w:shd w:val="clear" w:color="auto" w:fill="E7E6E6"/>
            <w:vAlign w:val="center"/>
          </w:tcPr>
          <w:p w14:paraId="1A79A10E" w14:textId="77777777" w:rsidR="000B62E7" w:rsidRDefault="00A65B0F">
            <w:pPr>
              <w:spacing w:after="0" w:line="240" w:lineRule="auto" w:before="0"/>
            </w:pPr>
            <w:r>
              <w:rPr>
                <w:rFonts w:ascii="Times New Roman" w:hAnsi="Times New Roman"/>
                <w:b/>
                <w:sz w:val="16"/>
              </w:rPr>
              <w:t>Energy spread</w:t>
            </w:r>
          </w:p>
        </w:tc>
      </w:tr>
      <w:tr w:rsidR="000B62E7" w14:paraId="17047D65" w14:textId="77777777">
        <w:trPr>
          <w:cantSplit/>
          <w:jc w:val="center"/>
        </w:trPr>
        <w:tc>
          <w:tcPr>
            <w:tcW w:w="2450" w:type="dxa"/>
            <w:vAlign w:val="center"/>
          </w:tcPr>
          <w:p w14:paraId="570CE0A3" w14:textId="77777777" w:rsidR="000B62E7" w:rsidRDefault="00A65B0F">
            <w:pPr>
              <w:spacing w:after="0" w:line="240" w:lineRule="auto" w:before="0"/>
            </w:pPr>
            <w:r>
              <w:rPr>
                <w:rFonts w:ascii="Times New Roman" w:hAnsi="Times New Roman"/>
                <w:b w:val="0"/>
                <w:sz w:val="16"/>
              </w:rPr>
              <w:t>Ubiquitin</w:t>
            </w:r>
          </w:p>
        </w:tc>
        <w:tc>
          <w:tcPr>
            <w:tcW w:w="850" w:type="dxa"/>
            <w:vAlign w:val="center"/>
          </w:tcPr>
          <w:p w14:paraId="2412B631" w14:textId="77777777" w:rsidR="000B62E7" w:rsidRDefault="00A65B0F">
            <w:pPr>
              <w:spacing w:after="0" w:line="240" w:lineRule="auto" w:before="0"/>
            </w:pPr>
            <w:r>
              <w:rPr>
                <w:rFonts w:ascii="Times New Roman" w:hAnsi="Times New Roman"/>
                <w:b w:val="0"/>
                <w:sz w:val="16"/>
              </w:rPr>
              <w:t>1UBQ</w:t>
            </w:r>
          </w:p>
        </w:tc>
        <w:tc>
          <w:tcPr>
            <w:tcW w:w="750" w:type="dxa"/>
            <w:vAlign w:val="center"/>
          </w:tcPr>
          <w:p w14:paraId="7CE43BA1" w14:textId="77777777" w:rsidR="000B62E7" w:rsidRDefault="00A65B0F">
            <w:pPr>
              <w:spacing w:after="0" w:line="240" w:lineRule="auto" w:before="0"/>
            </w:pPr>
            <w:r>
              <w:rPr>
                <w:rFonts w:ascii="Times New Roman" w:hAnsi="Times New Roman"/>
                <w:b w:val="0"/>
                <w:sz w:val="16"/>
              </w:rPr>
              <w:t>1231</w:t>
            </w:r>
          </w:p>
        </w:tc>
        <w:tc>
          <w:tcPr>
            <w:tcW w:w="850" w:type="dxa"/>
            <w:vAlign w:val="center"/>
          </w:tcPr>
          <w:p w14:paraId="5AD09AC7" w14:textId="77777777" w:rsidR="000B62E7" w:rsidRDefault="00A65B0F">
            <w:pPr>
              <w:spacing w:after="0" w:line="240" w:lineRule="auto" w:before="0"/>
            </w:pPr>
            <w:r>
              <w:rPr>
                <w:rFonts w:ascii="Times New Roman" w:hAnsi="Times New Roman"/>
                <w:b w:val="0"/>
                <w:sz w:val="16"/>
              </w:rPr>
              <w:t>11242</w:t>
            </w:r>
          </w:p>
        </w:tc>
        <w:tc>
          <w:tcPr>
            <w:tcW w:w="1050" w:type="dxa"/>
            <w:vAlign w:val="center"/>
          </w:tcPr>
          <w:p w14:paraId="0FCEB7E9" w14:textId="77777777" w:rsidR="000B62E7" w:rsidRDefault="00A65B0F">
            <w:pPr>
              <w:spacing w:after="0" w:line="240" w:lineRule="auto" w:before="0"/>
            </w:pPr>
            <w:r>
              <w:rPr>
                <w:rFonts w:ascii="Times New Roman" w:hAnsi="Times New Roman"/>
                <w:b w:val="0"/>
                <w:sz w:val="16"/>
              </w:rPr>
              <w:t>-4038.46</w:t>
            </w:r>
          </w:p>
        </w:tc>
        <w:tc>
          <w:tcPr>
            <w:tcW w:w="1150" w:type="dxa"/>
            <w:vAlign w:val="center"/>
          </w:tcPr>
          <w:p w14:paraId="0872238A" w14:textId="77777777" w:rsidR="000B62E7" w:rsidRDefault="00A65B0F">
            <w:pPr>
              <w:spacing w:after="0" w:line="240" w:lineRule="auto" w:before="0"/>
            </w:pPr>
            <w:r>
              <w:rPr>
                <w:rFonts w:ascii="Times New Roman" w:hAnsi="Times New Roman"/>
                <w:b w:val="0"/>
                <w:sz w:val="16"/>
              </w:rPr>
              <w:t>1.468e-05</w:t>
            </w:r>
          </w:p>
        </w:tc>
        <w:tc>
          <w:tcPr>
            <w:tcW w:w="1500" w:type="dxa"/>
            <w:vAlign w:val="center"/>
          </w:tcPr>
          <w:p w14:paraId="1DCA19F6" w14:textId="77777777" w:rsidR="000B62E7" w:rsidRDefault="00A65B0F">
            <w:pPr>
              <w:spacing w:after="0" w:line="240" w:lineRule="auto" w:before="0"/>
            </w:pPr>
            <w:r>
              <w:rPr>
                <w:rFonts w:ascii="Times New Roman" w:hAnsi="Times New Roman"/>
                <w:b w:val="0"/>
                <w:sz w:val="16"/>
              </w:rPr>
              <w:t>1.468e-05</w:t>
            </w:r>
          </w:p>
        </w:tc>
        <w:tc>
          <w:tcPr>
            <w:tcW w:w="1200" w:type="dxa"/>
            <w:vAlign w:val="center"/>
          </w:tcPr>
          <w:p w14:paraId="6D52A803" w14:textId="77777777" w:rsidR="000B62E7" w:rsidRDefault="00A65B0F">
            <w:pPr>
              <w:spacing w:after="0" w:line="240" w:lineRule="auto" w:before="0"/>
            </w:pPr>
            <w:r>
              <w:rPr>
                <w:rFonts w:ascii="Times New Roman" w:hAnsi="Times New Roman"/>
                <w:b w:val="0"/>
                <w:sz w:val="16"/>
              </w:rPr>
              <w:t>0.000</w:t>
            </w:r>
          </w:p>
        </w:tc>
      </w:tr>
      <w:tr w:rsidR="000B62E7" w14:paraId="10635369" w14:textId="77777777">
        <w:trPr>
          <w:cantSplit/>
          <w:jc w:val="center"/>
        </w:trPr>
        <w:tc>
          <w:tcPr>
            <w:tcW w:w="2450" w:type="dxa"/>
            <w:vAlign w:val="center"/>
          </w:tcPr>
          <w:p w14:paraId="224B3A60" w14:textId="77777777" w:rsidR="000B62E7" w:rsidRDefault="00A65B0F">
            <w:pPr>
              <w:spacing w:after="0" w:line="240" w:lineRule="auto" w:before="0"/>
            </w:pPr>
            <w:r>
              <w:rPr>
                <w:rFonts w:ascii="Times New Roman" w:hAnsi="Times New Roman"/>
                <w:b w:val="0"/>
                <w:sz w:val="16"/>
              </w:rPr>
              <w:t>Villin headpiece subdomain</w:t>
            </w:r>
          </w:p>
        </w:tc>
        <w:tc>
          <w:tcPr>
            <w:tcW w:w="850" w:type="dxa"/>
            <w:vAlign w:val="center"/>
          </w:tcPr>
          <w:p w14:paraId="3B0B2E92" w14:textId="77777777" w:rsidR="000B62E7" w:rsidRDefault="00A65B0F">
            <w:pPr>
              <w:spacing w:after="0" w:line="240" w:lineRule="auto" w:before="0"/>
            </w:pPr>
            <w:r>
              <w:rPr>
                <w:rFonts w:ascii="Times New Roman" w:hAnsi="Times New Roman"/>
                <w:b w:val="0"/>
                <w:sz w:val="16"/>
              </w:rPr>
              <w:t>1VII</w:t>
            </w:r>
          </w:p>
        </w:tc>
        <w:tc>
          <w:tcPr>
            <w:tcW w:w="750" w:type="dxa"/>
            <w:vAlign w:val="center"/>
          </w:tcPr>
          <w:p w14:paraId="37066BA2" w14:textId="77777777" w:rsidR="000B62E7" w:rsidRDefault="00A65B0F">
            <w:pPr>
              <w:spacing w:after="0" w:line="240" w:lineRule="auto" w:before="0"/>
            </w:pPr>
            <w:r>
              <w:rPr>
                <w:rFonts w:ascii="Times New Roman" w:hAnsi="Times New Roman"/>
                <w:b w:val="0"/>
                <w:sz w:val="16"/>
              </w:rPr>
              <w:t>596</w:t>
            </w:r>
          </w:p>
        </w:tc>
        <w:tc>
          <w:tcPr>
            <w:tcW w:w="850" w:type="dxa"/>
            <w:vAlign w:val="center"/>
          </w:tcPr>
          <w:p w14:paraId="0C5C0277" w14:textId="77777777" w:rsidR="000B62E7" w:rsidRDefault="00A65B0F">
            <w:pPr>
              <w:spacing w:after="0" w:line="240" w:lineRule="auto" w:before="0"/>
            </w:pPr>
            <w:r>
              <w:rPr>
                <w:rFonts w:ascii="Times New Roman" w:hAnsi="Times New Roman"/>
                <w:b w:val="0"/>
                <w:sz w:val="16"/>
              </w:rPr>
              <w:t>5032</w:t>
            </w:r>
          </w:p>
        </w:tc>
        <w:tc>
          <w:tcPr>
            <w:tcW w:w="1050" w:type="dxa"/>
            <w:vAlign w:val="center"/>
          </w:tcPr>
          <w:p w14:paraId="40D75630" w14:textId="77777777" w:rsidR="000B62E7" w:rsidRDefault="00A65B0F">
            <w:pPr>
              <w:spacing w:after="0" w:line="240" w:lineRule="auto" w:before="0"/>
            </w:pPr>
            <w:r>
              <w:rPr>
                <w:rFonts w:ascii="Times New Roman" w:hAnsi="Times New Roman"/>
                <w:b w:val="0"/>
                <w:sz w:val="16"/>
              </w:rPr>
              <w:t>-2355.70</w:t>
            </w:r>
          </w:p>
        </w:tc>
        <w:tc>
          <w:tcPr>
            <w:tcW w:w="1150" w:type="dxa"/>
            <w:vAlign w:val="center"/>
          </w:tcPr>
          <w:p w14:paraId="201249CE" w14:textId="77777777" w:rsidR="000B62E7" w:rsidRDefault="00A65B0F">
            <w:pPr>
              <w:spacing w:after="0" w:line="240" w:lineRule="auto" w:before="0"/>
            </w:pPr>
            <w:r>
              <w:rPr>
                <w:rFonts w:ascii="Times New Roman" w:hAnsi="Times New Roman"/>
                <w:b w:val="0"/>
                <w:sz w:val="16"/>
              </w:rPr>
              <w:t>5.871e-06</w:t>
            </w:r>
          </w:p>
        </w:tc>
        <w:tc>
          <w:tcPr>
            <w:tcW w:w="1500" w:type="dxa"/>
            <w:vAlign w:val="center"/>
          </w:tcPr>
          <w:p w14:paraId="78A6198E" w14:textId="77777777" w:rsidR="000B62E7" w:rsidRDefault="00A65B0F">
            <w:pPr>
              <w:spacing w:after="0" w:line="240" w:lineRule="auto" w:before="0"/>
            </w:pPr>
            <w:r>
              <w:rPr>
                <w:rFonts w:ascii="Times New Roman" w:hAnsi="Times New Roman"/>
                <w:b w:val="0"/>
                <w:sz w:val="16"/>
              </w:rPr>
              <w:t>5.871e-06</w:t>
            </w:r>
          </w:p>
        </w:tc>
        <w:tc>
          <w:tcPr>
            <w:tcW w:w="1200" w:type="dxa"/>
            <w:vAlign w:val="center"/>
          </w:tcPr>
          <w:p w14:paraId="172F65DB" w14:textId="77777777" w:rsidR="000B62E7" w:rsidRDefault="00A65B0F">
            <w:pPr>
              <w:spacing w:after="0" w:line="240" w:lineRule="auto" w:before="0"/>
            </w:pPr>
            <w:r>
              <w:rPr>
                <w:rFonts w:ascii="Times New Roman" w:hAnsi="Times New Roman"/>
                <w:b w:val="0"/>
                <w:sz w:val="16"/>
              </w:rPr>
              <w:t>0.000</w:t>
            </w:r>
          </w:p>
        </w:tc>
      </w:tr>
      <w:tr w:rsidR="000B62E7" w14:paraId="5959296E" w14:textId="77777777">
        <w:trPr>
          <w:cantSplit/>
          <w:jc w:val="center"/>
        </w:trPr>
        <w:tc>
          <w:tcPr>
            <w:tcW w:w="2450" w:type="dxa"/>
            <w:vAlign w:val="center"/>
          </w:tcPr>
          <w:p w14:paraId="4D83963F" w14:textId="77777777" w:rsidR="000B62E7" w:rsidRDefault="00A65B0F">
            <w:pPr>
              <w:spacing w:after="0" w:line="240" w:lineRule="auto" w:before="0"/>
            </w:pPr>
            <w:r>
              <w:rPr>
                <w:rFonts w:ascii="Times New Roman" w:hAnsi="Times New Roman"/>
                <w:b w:val="0"/>
                <w:sz w:val="16"/>
              </w:rPr>
              <w:t>Chymotrypsin inhibitor 2</w:t>
            </w:r>
          </w:p>
        </w:tc>
        <w:tc>
          <w:tcPr>
            <w:tcW w:w="850" w:type="dxa"/>
            <w:vAlign w:val="center"/>
          </w:tcPr>
          <w:p w14:paraId="4C27C414" w14:textId="77777777" w:rsidR="000B62E7" w:rsidRDefault="00A65B0F">
            <w:pPr>
              <w:spacing w:after="0" w:line="240" w:lineRule="auto" w:before="0"/>
            </w:pPr>
            <w:r>
              <w:rPr>
                <w:rFonts w:ascii="Times New Roman" w:hAnsi="Times New Roman"/>
                <w:b w:val="0"/>
                <w:sz w:val="16"/>
              </w:rPr>
              <w:t>2CI2</w:t>
            </w:r>
          </w:p>
        </w:tc>
        <w:tc>
          <w:tcPr>
            <w:tcW w:w="750" w:type="dxa"/>
            <w:vAlign w:val="center"/>
          </w:tcPr>
          <w:p w14:paraId="2C9A2143" w14:textId="77777777" w:rsidR="000B62E7" w:rsidRDefault="00A65B0F">
            <w:pPr>
              <w:spacing w:after="0" w:line="240" w:lineRule="auto" w:before="0"/>
            </w:pPr>
            <w:r>
              <w:rPr>
                <w:rFonts w:ascii="Times New Roman" w:hAnsi="Times New Roman"/>
                <w:b w:val="0"/>
                <w:sz w:val="16"/>
              </w:rPr>
              <w:t>1076</w:t>
            </w:r>
          </w:p>
        </w:tc>
        <w:tc>
          <w:tcPr>
            <w:tcW w:w="850" w:type="dxa"/>
            <w:vAlign w:val="center"/>
          </w:tcPr>
          <w:p w14:paraId="2FFAD3B1" w14:textId="77777777" w:rsidR="000B62E7" w:rsidRDefault="00A65B0F">
            <w:pPr>
              <w:spacing w:after="0" w:line="240" w:lineRule="auto" w:before="0"/>
            </w:pPr>
            <w:r>
              <w:rPr>
                <w:rFonts w:ascii="Times New Roman" w:hAnsi="Times New Roman"/>
                <w:b w:val="0"/>
                <w:sz w:val="16"/>
              </w:rPr>
              <w:t>9889</w:t>
            </w:r>
          </w:p>
        </w:tc>
        <w:tc>
          <w:tcPr>
            <w:tcW w:w="1050" w:type="dxa"/>
            <w:vAlign w:val="center"/>
          </w:tcPr>
          <w:p w14:paraId="44980AA9" w14:textId="77777777" w:rsidR="000B62E7" w:rsidRDefault="00A65B0F">
            <w:pPr>
              <w:spacing w:after="0" w:line="240" w:lineRule="auto" w:before="0"/>
            </w:pPr>
            <w:r>
              <w:rPr>
                <w:rFonts w:ascii="Times New Roman" w:hAnsi="Times New Roman"/>
                <w:b w:val="0"/>
                <w:sz w:val="16"/>
              </w:rPr>
              <w:t>-4891.15</w:t>
            </w:r>
          </w:p>
        </w:tc>
        <w:tc>
          <w:tcPr>
            <w:tcW w:w="1150" w:type="dxa"/>
            <w:vAlign w:val="center"/>
          </w:tcPr>
          <w:p w14:paraId="17DDDBAD" w14:textId="77777777" w:rsidR="000B62E7" w:rsidRDefault="00A65B0F">
            <w:pPr>
              <w:spacing w:after="0" w:line="240" w:lineRule="auto" w:before="0"/>
            </w:pPr>
            <w:r>
              <w:rPr>
                <w:rFonts w:ascii="Times New Roman" w:hAnsi="Times New Roman"/>
                <w:b w:val="0"/>
                <w:sz w:val="16"/>
              </w:rPr>
              <w:t>7.983e-06</w:t>
            </w:r>
          </w:p>
        </w:tc>
        <w:tc>
          <w:tcPr>
            <w:tcW w:w="1500" w:type="dxa"/>
            <w:vAlign w:val="center"/>
          </w:tcPr>
          <w:p w14:paraId="35412D00" w14:textId="77777777" w:rsidR="000B62E7" w:rsidRDefault="00A65B0F">
            <w:pPr>
              <w:spacing w:after="0" w:line="240" w:lineRule="auto" w:before="0"/>
            </w:pPr>
            <w:r>
              <w:rPr>
                <w:rFonts w:ascii="Times New Roman" w:hAnsi="Times New Roman"/>
                <w:b w:val="0"/>
                <w:sz w:val="16"/>
              </w:rPr>
              <w:t>7.983e-06</w:t>
            </w:r>
          </w:p>
        </w:tc>
        <w:tc>
          <w:tcPr>
            <w:tcW w:w="1200" w:type="dxa"/>
            <w:vAlign w:val="center"/>
          </w:tcPr>
          <w:p w14:paraId="206838D6" w14:textId="77777777" w:rsidR="000B62E7" w:rsidRDefault="00A65B0F">
            <w:pPr>
              <w:spacing w:after="0" w:line="240" w:lineRule="auto" w:before="0"/>
            </w:pPr>
            <w:r>
              <w:rPr>
                <w:rFonts w:ascii="Times New Roman" w:hAnsi="Times New Roman"/>
                <w:b w:val="0"/>
                <w:sz w:val="16"/>
              </w:rPr>
              <w:t>0.000</w:t>
            </w:r>
          </w:p>
        </w:tc>
      </w:tr>
    </w:tbl>
    <w:p w14:paraId="337DBB9A" w14:textId="77777777" w:rsidR="000B62E7" w:rsidRDefault="000B62E7">
      <w:pPr>
        <w:sectPr w:rsidR="000B62E7">
          <w:headerReference w:type="default" r:id="rId15"/>
          <w:footerReference w:type="default" r:id="rId16"/>
          <w:pgSz w:w="15840" w:h="12240" w:orient="landscape"/>
          <w:pgMar w:top="936" w:right="936" w:bottom="936" w:left="936" w:header="648" w:footer="648" w:gutter="0"/>
          <w:cols w:space="720"/>
          <w:docGrid w:linePitch="360"/>
        </w:sectPr>
      </w:pP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5840" w:h="12240" w:orient="landscape"/>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