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Supplementary Information for TITAN Guarded Cartesian FMM/M2L Boundary-Integral Poisson-Boltzmann Solves</w:t>
      </w:r>
    </w:p>
    <w:p>
      <w:pPr>
        <w:jc w:val="center"/>
      </w:pPr>
      <w:r>
        <w:t>Supplementary tables and figures for public-protein, sensitivity, ILU-cap, and APBS context figure</w:t>
      </w:r>
    </w:p>
    <w:p>
      <w:pPr>
        <w:pStyle w:val="Heading2"/>
      </w:pPr>
      <w:r>
        <w:t>Table S1. Full public-protein supplement rows prepared without atom sampling.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3168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Protein</w:t>
            </w:r>
          </w:p>
        </w:tc>
        <w:tc>
          <w:tcPr>
            <w:tcW w:type="dxa" w:w="1007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PDB</w:t>
            </w:r>
          </w:p>
        </w:tc>
        <w:tc>
          <w:tcPr>
            <w:tcW w:type="dxa" w:w="1007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Atoms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Panels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Energy</w:t>
            </w:r>
          </w:p>
        </w:tc>
        <w:tc>
          <w:tcPr>
            <w:tcW w:type="dxa" w:w="1296"/>
            <w:vAlign w:val="center"/>
            <w:shd w:fill="E8EEF5"/>
          </w:tcPr>
          <w:p>
            <w:r>
              <w:t>Sampled audit max</w:t>
            </w:r>
          </w:p>
        </w:tc>
        <w:tc>
          <w:tcPr>
            <w:tcW w:type="dxa" w:w="1584"/>
            <w:vAlign w:val="center"/>
            <w:shd w:fill="E8EEF5"/>
          </w:tcPr>
          <w:p>
            <w:r>
              <w:t>Sampled direct true residual max</w:t>
            </w:r>
          </w:p>
        </w:tc>
        <w:tc>
          <w:tcPr>
            <w:tcW w:type="dxa" w:w="1368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Energy spread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Ubiquitin</w:t>
            </w:r>
          </w:p>
        </w:tc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1231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11242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-4038.46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1.468e-05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1.468e-05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Villin headpiece subdomain</w:t>
            </w:r>
          </w:p>
        </w:tc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596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5032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-2355.7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5.871e-06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5.871e-06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Chymotrypsin inhibitor 2</w:t>
            </w:r>
          </w:p>
        </w:tc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1076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9889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-4891.15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7.983e-06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7.983e-06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</w:tr>
    </w:tbl>
    <w:p/>
    <w:p>
      <w:pPr>
        <w:pStyle w:val="Heading2"/>
      </w:pPr>
      <w:r>
        <w:t>Table S2. Aggregated theta, guard, and tail sensitivity.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Axis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Row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Value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1296"/>
            <w:vAlign w:val="center"/>
            <w:shd w:fill="E8EEF5"/>
          </w:tcPr>
          <w:p>
            <w:r>
              <w:t>Sampled audit max</w:t>
            </w:r>
          </w:p>
        </w:tc>
        <w:tc>
          <w:tcPr>
            <w:tcW w:type="dxa" w:w="1512"/>
            <w:vAlign w:val="center"/>
            <w:shd w:fill="E8EEF5"/>
          </w:tcPr>
          <w:p>
            <w:r>
              <w:t>Sampled direct true residual max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Median wall (s)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Max RSS (MB)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Interpretation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 guarded p4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0.6; tail on; guard theta 0.5; ILU cap 64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369.3</w:t>
            </w:r>
          </w:p>
        </w:tc>
        <w:tc>
          <w:tcPr>
            <w:tcW w:type="dxa" w:w="3456"/>
            <w:vAlign w:val="center"/>
          </w:tcPr>
          <w:p>
            <w:r>
              <w:t>Reported baseline policy.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off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0.052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0.052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143.4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259.3</w:t>
            </w:r>
          </w:p>
        </w:tc>
        <w:tc>
          <w:tcPr>
            <w:tcW w:type="dxa" w:w="3456"/>
            <w:vAlign w:val="center"/>
          </w:tcPr>
          <w:p>
            <w:r>
              <w:t>Measured guard-off sensitivity; 1A63 exceeds the sampled direct-operator audit gate.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strict-geometry-mac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128.7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369.4</w:t>
            </w:r>
          </w:p>
        </w:tc>
        <w:tc>
          <w:tcPr>
            <w:tcW w:type="dxa" w:w="3456"/>
            <w:vAlign w:val="center"/>
          </w:tcPr>
          <w:p>
            <w:r>
              <w:t>Guarded policy; all six rows pass.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142.9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379.5</w:t>
            </w:r>
          </w:p>
        </w:tc>
        <w:tc>
          <w:tcPr>
            <w:tcW w:type="dxa" w:w="3456"/>
            <w:vAlign w:val="center"/>
          </w:tcPr>
          <w:p>
            <w:r>
              <w:t>Measured theta row; all tested theta values pass in this protocol.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135.8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370.1</w:t>
            </w:r>
          </w:p>
        </w:tc>
        <w:tc>
          <w:tcPr>
            <w:tcW w:type="dxa" w:w="3456"/>
            <w:vAlign w:val="center"/>
          </w:tcPr>
          <w:p>
            <w:r>
              <w:t>Measured theta row; all tested theta values pass in this protocol.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128.4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370.1</w:t>
            </w:r>
          </w:p>
        </w:tc>
        <w:tc>
          <w:tcPr>
            <w:tcW w:type="dxa" w:w="3456"/>
            <w:vAlign w:val="center"/>
          </w:tcPr>
          <w:p>
            <w:r>
              <w:t>Measured theta row; all tested theta values pass in this protocol.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126.2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369.8</w:t>
            </w:r>
          </w:p>
        </w:tc>
        <w:tc>
          <w:tcPr>
            <w:tcW w:type="dxa" w:w="3456"/>
            <w:vAlign w:val="center"/>
          </w:tcPr>
          <w:p>
            <w:r>
              <w:t>Measured theta row; all tested theta values pass in this protocol.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off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1080"/>
            <w:vAlign w:val="center"/>
          </w:tcPr>
          <w:p>
            <w:r>
              <w:t>0/6 accepted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3456"/>
            <w:vAlign w:val="center"/>
          </w:tcPr>
          <w:p>
            <w:r>
              <w:t>Guarded validator stops this policy before solving; no numerical residuals are produced.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operator-tail-static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6/6 ok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126.1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369.7</w:t>
            </w:r>
          </w:p>
        </w:tc>
        <w:tc>
          <w:tcPr>
            <w:tcW w:type="dxa" w:w="3456"/>
            <w:vAlign w:val="center"/>
          </w:tcPr>
          <w:p>
            <w:r>
              <w:t>Tail-refined policy; all six rows pass.</w:t>
            </w:r>
          </w:p>
        </w:tc>
      </w:tr>
    </w:tbl>
    <w:p/>
    <w:p>
      <w:pPr>
        <w:pStyle w:val="Heading2"/>
      </w:pPr>
      <w:r>
        <w:t>Table S3. Per-fixture sensitivity rows.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93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Fixture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Axis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Row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Value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1368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Failure class</w:t>
            </w:r>
          </w:p>
        </w:tc>
        <w:tc>
          <w:tcPr>
            <w:tcW w:type="dxa" w:w="1152"/>
            <w:vAlign w:val="center"/>
            <w:shd w:fill="E8EEF5"/>
          </w:tcPr>
          <w:p>
            <w:r>
              <w:t>Sampled audit RMS</w:t>
            </w:r>
          </w:p>
        </w:tc>
        <w:tc>
          <w:tcPr>
            <w:tcW w:type="dxa" w:w="1440"/>
            <w:vAlign w:val="center"/>
            <w:shd w:fill="E8EEF5"/>
          </w:tcPr>
          <w:p>
            <w:r>
              <w:t>Sampled direct true residual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True residual</w:t>
            </w:r>
          </w:p>
        </w:tc>
        <w:tc>
          <w:tcPr>
            <w:tcW w:type="dxa" w:w="648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Iter.</w:t>
            </w:r>
          </w:p>
        </w:tc>
        <w:tc>
          <w:tcPr>
            <w:tcW w:type="dxa" w:w="93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Wall (s)</w:t>
            </w:r>
          </w:p>
        </w:tc>
        <w:tc>
          <w:tcPr>
            <w:tcW w:type="dxa" w:w="93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RSS (MB)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 guarded p4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0.6; tail on; guard theta 0.5; ILU cap 64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1.337e-11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282.8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 guarded p4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0.6; tail on; guard theta 0.5; ILU cap 64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56.2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63.3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 guarded p4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0.6; tail on; guard theta 0.5; ILU cap 64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2.719e-13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152.5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144.1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 guarded p4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0.6; tail on; guard theta 0.5; ILU cap 64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7.353e-13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46.3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54.8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 guarded p4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0.6; tail on; guard theta 0.5; ILU cap 64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5.964e-14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113.4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137.9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baseline guarded p4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0.6; tail on; guard theta 0.5; ILU cap 64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8.579e-13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235.3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172.5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2.356e-11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286.5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379.5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5.508e-06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5.508e-06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1.790e-14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64.2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63.7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1.423e-05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1.423e-05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2.027e-13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166.4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144.1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5.338e-06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5.338e-06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1.105e-12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49.6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53.1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7.955e-06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7.955e-06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7.952e-14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119.5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138.4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7.625e-05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7.625e-05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8.127e-13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290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172.4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1.337e-11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280.7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370.1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62.1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63.2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2.719e-13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144.8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7.353e-13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47.9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54.3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5.964e-14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118.5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139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8.579e-13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213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172.5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1.337e-11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265.7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370.1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59.4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63.2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2.719e-13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145.4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145.3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7.353e-13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46.6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54.8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5.964e-14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111.5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138.1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8.579e-13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207.4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172.4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1.489e-11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253.8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369.8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57.9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63.1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2.719e-13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141.1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144.2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7.353e-13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45.8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53.8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5.964e-14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111.3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136.5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opening_theta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theta 0.7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8.579e-13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199.2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172.7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operator_accuracy_gap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0.052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0.052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7.783e-12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274.4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259.3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1.405e-04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1.405e-04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1.176e-14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68.9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2.090e-04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2.090e-04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1.771e-13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157.1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5.800e-05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5.800e-05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2.227e-13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57.5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53.7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1.501e-04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1.501e-04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6.696e-14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129.7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119.5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4.320e-12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218.1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153.1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strict-geometry-mac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1.337e-11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291.8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strict-geometry-mac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61.3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63.3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strict-geometry-mac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2.719e-13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145.7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strict-geometry-mac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7.353e-13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54.7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strict-geometry-mac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5.964e-14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113.4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139.7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geometry_guard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geometry guard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strict-geometry-mac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8.579e-13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199.8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172.4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r>
              <w:t>validator stop</w:t>
            </w:r>
          </w:p>
        </w:tc>
        <w:tc>
          <w:tcPr>
            <w:tcW w:type="dxa" w:w="1368"/>
            <w:vAlign w:val="center"/>
          </w:tcPr>
          <w:p>
            <w:r>
              <w:t>policy boundary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0.1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r>
              <w:t>validator stop</w:t>
            </w:r>
          </w:p>
        </w:tc>
        <w:tc>
          <w:tcPr>
            <w:tcW w:type="dxa" w:w="1368"/>
            <w:vAlign w:val="center"/>
          </w:tcPr>
          <w:p>
            <w:r>
              <w:t>policy boundary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r>
              <w:t>validator stop</w:t>
            </w:r>
          </w:p>
        </w:tc>
        <w:tc>
          <w:tcPr>
            <w:tcW w:type="dxa" w:w="1368"/>
            <w:vAlign w:val="center"/>
          </w:tcPr>
          <w:p>
            <w:r>
              <w:t>policy boundary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r>
              <w:t>validator stop</w:t>
            </w:r>
          </w:p>
        </w:tc>
        <w:tc>
          <w:tcPr>
            <w:tcW w:type="dxa" w:w="1368"/>
            <w:vAlign w:val="center"/>
          </w:tcPr>
          <w:p>
            <w:r>
              <w:t>policy boundary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r>
              <w:t>validator stop</w:t>
            </w:r>
          </w:p>
        </w:tc>
        <w:tc>
          <w:tcPr>
            <w:tcW w:type="dxa" w:w="1368"/>
            <w:vAlign w:val="center"/>
          </w:tcPr>
          <w:p>
            <w:r>
              <w:t>policy boundary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off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off</w:t>
            </w:r>
          </w:p>
        </w:tc>
        <w:tc>
          <w:tcPr>
            <w:tcW w:type="dxa" w:w="792"/>
            <w:vAlign w:val="center"/>
          </w:tcPr>
          <w:p>
            <w:r>
              <w:t>validator stop</w:t>
            </w:r>
          </w:p>
        </w:tc>
        <w:tc>
          <w:tcPr>
            <w:tcW w:type="dxa" w:w="1368"/>
            <w:vAlign w:val="center"/>
          </w:tcPr>
          <w:p>
            <w:r>
              <w:t>policy boundary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1A63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operator-tail-static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1.337e-11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263.4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369.7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1SH1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operator-tail-static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5.519e-06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1.164e-14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60.4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63.2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1UBQ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operator-tail-static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1.440e-05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2.719e-13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136.3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144.2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1VII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operator-tail-static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5.357e-06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7.353e-13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46.4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54.7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2CI2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operator-tail-static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8.022e-06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5.964e-14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115.8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139.6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PyDelPhi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tail_indicator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tail indicator 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operator-tail-static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ok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7.647e-05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8.579e-13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199.8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172.5</w:t>
            </w:r>
          </w:p>
        </w:tc>
      </w:tr>
    </w:tbl>
    <w:p/>
    <w:p>
      <w:pPr>
        <w:pStyle w:val="Heading2"/>
      </w:pPr>
      <w:r>
        <w:t>Table S4. ILU neighbor-cap real sweep.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48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Cap</w:t>
            </w:r>
          </w:p>
        </w:tc>
        <w:tc>
          <w:tcPr>
            <w:tcW w:type="dxa" w:w="93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Status</w:t>
            </w:r>
          </w:p>
        </w:tc>
        <w:tc>
          <w:tcPr>
            <w:tcW w:type="dxa" w:w="1080"/>
            <w:vAlign w:val="center"/>
            <w:shd w:fill="E8EEF5"/>
          </w:tcPr>
          <w:p>
            <w:r>
              <w:t>Sampled audit max</w:t>
            </w:r>
          </w:p>
        </w:tc>
        <w:tc>
          <w:tcPr>
            <w:tcW w:type="dxa" w:w="1368"/>
            <w:vAlign w:val="center"/>
            <w:shd w:fill="E8EEF5"/>
          </w:tcPr>
          <w:p>
            <w:r>
              <w:t>Sampled direct true residual max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Mean matvec (s)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Mean wall (s)</w:t>
            </w:r>
          </w:p>
        </w:tc>
        <w:tc>
          <w:tcPr>
            <w:tcW w:type="dxa" w:w="1224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Mean RSS (MB)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Median nnz blocks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6"/>
              </w:rPr>
              <w:t>Interpretation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3/3 ok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0.593 +/- 0.347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175.3 +/- 150.2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187.9 +/- 149.5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5e+05</w:t>
            </w:r>
          </w:p>
        </w:tc>
        <w:tc>
          <w:tcPr>
            <w:tcW w:type="dxa" w:w="3888"/>
            <w:vAlign w:val="center"/>
          </w:tcPr>
          <w:p>
            <w:r>
              <w:t>All rows pass; memory-lean graph, but not the fastest average matrix-vector row in this sweep.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3/3 ok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0.491 +/- 0.263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164.5 +/- 133.3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203.4 +/- 155.6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1e+06</w:t>
            </w:r>
          </w:p>
        </w:tc>
        <w:tc>
          <w:tcPr>
            <w:tcW w:type="dxa" w:w="3888"/>
            <w:vAlign w:val="center"/>
          </w:tcPr>
          <w:p>
            <w:r>
              <w:t>All rows pass; lowest average matrix-vector time with moderate graph size, supporting the reported protocol value.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128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3/3 ok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0.616 +/- 0.384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168.8 +/- 121.8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235.6 +/- 167.4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2e+06</w:t>
            </w:r>
          </w:p>
        </w:tc>
        <w:tc>
          <w:tcPr>
            <w:tcW w:type="dxa" w:w="3888"/>
            <w:vAlign w:val="center"/>
          </w:tcPr>
          <w:p>
            <w:r>
              <w:t>All rows pass; larger graph and RSS without a consistent accuracy advantage in this sweep.</w:t>
            </w:r>
          </w:p>
        </w:tc>
      </w:tr>
    </w:tbl>
    <w:p/>
    <w:p>
      <w:pPr>
        <w:pStyle w:val="Heading2"/>
      </w:pPr>
      <w:r>
        <w:t>Figure S1. ILU neighbor-cap sensitivity under the guarded p4 protocol.</w:t>
      </w:r>
    </w:p>
    <w:p>
      <w:r>
        <w:drawing>
          <wp:inline xmlns:a="http://schemas.openxmlformats.org/drawingml/2006/main" xmlns:pic="http://schemas.openxmlformats.org/drawingml/2006/picture">
            <wp:extent cx="8503920" cy="2680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gbi_scope_z4xf_ilu_neighbor_cap_swe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68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A, maximum sampled direct residual across Barnase, 1A63, and 1SH1, with the 8 x 10^-3 verification gate shown as a reference line. B, mean GMRES matrix-vector time. C, mean process peak RSS. Error bars show sample standard deviation over the three proteins.</w:t>
      </w:r>
    </w:p>
    <w:p>
      <w:pPr>
        <w:pStyle w:val="Caption"/>
      </w:pPr>
      <w:r>
        <w:t>Table S5. Full dense direct calibration on small analytic and mini public-protein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Case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Panels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Surface request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Dense direct energy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Guarded p4 energy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|Delta E|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Sampled direct residual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Direct wall (s)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p4 wall (s)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1UBQ mini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2992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-3511.08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-3511.08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0.00063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7.02e-07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47.70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17.77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1UBQ mini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2992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-3511.08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-3511.08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0.00063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7.02e-07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53.97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20.93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1VII mini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2534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-3810.76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-3810.76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0.000162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1.27e-06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24.92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6.90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1VII mini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2534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-3810.76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-3810.76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0.000162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1.27e-06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32.32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11.02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2CI2 mini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3030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-2242.83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-2242.83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0.000144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1.23e-06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60.58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16.55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2CI2 mini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3030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-2242.83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-2242.83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0.000144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1.23e-06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49.92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15.90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Off-center Kirkwood sphere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-79.6048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-79.6048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6.83e-16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0.14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Centered sphere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-242.928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-242.928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1.35e-15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0.14</w:t>
            </w:r>
          </w:p>
        </w:tc>
      </w:tr>
    </w:tbl>
    <w:p>
      <w:pPr>
        <w:pStyle w:val="Caption"/>
      </w:pPr>
      <w:r>
        <w:t>Figure S2. APBS grid-solver context rows. A, reaction energy from TITAN guarded p4 and the finest APBS grid in the sweep. B, relative change in APBS reaction energy when refining the finite-difference grid from d225 to d257; this panel measures APBS grid sensitivity, not TITAN-versus-APBS error. C, peak resident memory for the matched TITAN guarded p4 rows and the finest APBS grid. D, wall time for the same rows.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015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gbi_scope_z4z_apbs_context_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50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