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BÁO CÁO CHIẾN LƯỢC ĐỊNH VỊ SẢN PHẨM &amp; MÔ HÌNH THƯƠNG MẠI HÓA</w:t>
      </w:r>
    </w:p>
    <w:p>
      <w:pPr>
        <w:spacing w:before="0" w:after="360"/>
      </w:pPr>
      <w:r>
        <w:rPr>
          <w:rFonts w:ascii="Calibri" w:hAnsi="Calibri"/>
          <w:i/>
          <w:color w:val="64748B"/>
          <w:sz w:val="24"/>
        </w:rPr>
        <w:t>Nghiên cứu vị thế trong Hệ sinh thái Fintech/Banking, Phân tích Nhu cầu Thị trường B2B và So sánh Benchmark với Zest AI, H2O.ai &amp; SAS Risk Solutions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right w:val="none"/>
              <w:bottom w:val="none"/>
            </w:tcBorders>
          </w:tcPr>
          <w:p>
            <w:pPr>
              <w:spacing w:before="80" w:after="80"/>
            </w:pPr>
            <w:r>
              <w:rPr>
                <w:rFonts w:ascii="Calibri" w:hAnsi="Calibri"/>
                <w:b/>
                <w:color w:val="4F46E5"/>
                <w:sz w:val="22"/>
              </w:rPr>
              <w:t>📌 TÓM TẮT MỤC TIÊU CHIẾN LƯỢC</w:t>
              <w:br/>
            </w:r>
            <w:r>
              <w:rPr>
                <w:rFonts w:ascii="Calibri" w:hAnsi="Calibri"/>
                <w:color w:val="334155"/>
                <w:sz w:val="21"/>
              </w:rPr>
              <w:t>Báo cáo chiến lược này nhằm giải quyết phản biện của Mentor về tính thương mại hóa: Khách hàng B2B thực sự cần gì, Sản phẩm nằm ở đâu trong Hệ sinh thái Công nghệ Tín dụng (Fintech Ecosystem), và Bài toán ROI cụ thể khiến các Công ty Tài chính / Ngân hàng sẵn sàng trả tiền mua sản phẩm.</w:t>
            </w:r>
          </w:p>
        </w:tc>
      </w:tr>
    </w:tbl>
    <w:p/>
    <w:p>
      <w:pPr>
        <w:pStyle w:val="Heading1"/>
        <w:spacing w:before="320" w:after="120"/>
      </w:pPr>
      <w:r>
        <w:rPr>
          <w:rFonts w:ascii="Calibri" w:hAnsi="Calibri"/>
          <w:b/>
          <w:color w:val="0F172A"/>
          <w:sz w:val="36"/>
        </w:rPr>
        <w:t>1. KHÁCH HÀNG B2B THỰC SỰ CẦN GÌ &amp; TRẢ TIỀN CHO GÌ?</w:t>
      </w:r>
    </w:p>
    <w:p>
      <w:r>
        <w:t>Đối tượng khách hàng B2B (Home Credit, FE Credit, MCredit, Ví điện tử MoMo/ZaloPay, VNPT Money, Ngân hàng số) KHÔNG trả tiền cho một model machine learning đứng riêng lẻ hay một đoạn code Python. Họ sẵn sàng mở ngân sách để giải quyết 3 Nỗi Đau Lớn (Pain Points) mà các hệ thống cũ không đáp ứng được:</w:t>
      </w:r>
    </w:p>
    <w:p>
      <w:pPr>
        <w:pStyle w:val="Heading2"/>
        <w:spacing w:before="240" w:after="80"/>
      </w:pPr>
      <w:r>
        <w:rPr>
          <w:rFonts w:ascii="Calibri" w:hAnsi="Calibri"/>
          <w:b/>
          <w:color w:val="1E3A8A"/>
          <w:sz w:val="28"/>
        </w:rPr>
        <w:t>1.1. Nỗi đau 1: Bỏ sót Khách hàng Thin-file / Unbanked (60% Dân số)</w:t>
      </w:r>
    </w:p>
    <w:p>
      <w:r>
        <w:t>Các hệ thống chấm điểm truyền thống (SAS / FICO) dựa 100% vào dữ liệu Trung tâm Tín dụng Ngân hàng Nhà nước (CIC). Với nhóm khách hàng trẻ, sinh viên, người làm tự do (Gig workers) chưa có nợ cũ, hệ thống cũ sẽ TỪ CHỐI THẲNG 100% hồ sơ. Lenders bỏ lỡ doanh thu khổng lồ. Họ cần một Alternative Credit Engine chấm điểm dựa trên dữ liệu di động, hành vi số, thâm niên cư trú và mạng lưới xã hội.</w:t>
      </w:r>
    </w:p>
    <w:p>
      <w:pPr>
        <w:pStyle w:val="Heading2"/>
        <w:spacing w:before="240" w:after="80"/>
      </w:pPr>
      <w:r>
        <w:rPr>
          <w:rFonts w:ascii="Calibri" w:hAnsi="Calibri"/>
          <w:b/>
          <w:color w:val="1E3A8A"/>
          <w:sz w:val="28"/>
        </w:rPr>
        <w:t>1.2. Nỗi đau 2: Tốc độ Duyệt Chậm &amp; Chi phí Vận hành Cao</w:t>
      </w:r>
    </w:p>
    <w:p>
      <w:r>
        <w:t>Thẩm định viên thủ công mất từ 2 đến 24 giờ để đọc sao kê và gọi điện xác minh. Chi phí nhân sự thẩm định rất lớn. Lenders cần một Instant Decisioning Engine tự động duyệt 70-80% hồ sơ dưới 5 giây thông qua API.</w:t>
      </w:r>
    </w:p>
    <w:p>
      <w:pPr>
        <w:pStyle w:val="Heading2"/>
        <w:spacing w:before="240" w:after="80"/>
      </w:pPr>
      <w:r>
        <w:rPr>
          <w:rFonts w:ascii="Calibri" w:hAnsi="Calibri"/>
          <w:b/>
          <w:color w:val="1E3A8A"/>
          <w:sz w:val="28"/>
        </w:rPr>
        <w:t>1.3. Nỗi đau 3: Yêu cầu Tuân thủ Pháp lý &amp; Minh bạch (XAI)</w:t>
      </w:r>
    </w:p>
    <w:p>
      <w:r>
        <w:t>Ngân hàng Nhà nước và Ban Quản lý Rủi ro (CRO) từ chối mô hình 'Hộp đen' (Black-box AI) vì không giải thích được lý do từ chối (Adverse Action Notice). Lenders cần Explainable AI (SHAP) kết hợp Rule-based Policy Guard giải thích Tiếng Việt minh bạch.</w:t>
      </w:r>
    </w:p>
    <w:p>
      <w:pPr>
        <w:pStyle w:val="Heading1"/>
        <w:spacing w:before="320" w:after="120"/>
      </w:pPr>
      <w:r>
        <w:rPr>
          <w:rFonts w:ascii="Calibri" w:hAnsi="Calibri"/>
          <w:b/>
          <w:color w:val="0F172A"/>
          <w:sz w:val="36"/>
        </w:rPr>
        <w:t>2. BẢN ĐỒ VỊ TRÍ TRONG HỆ SINH THÁI FINTECH (ECOSYSTEM POSITIONING)</w:t>
      </w:r>
    </w:p>
    <w:p>
      <w:r>
        <w:t>Trong hệ sinh thái công nghệ tín dụng tiêu chuẩn, hệ thống được chia làm 4 Tầng Công Nghệ (4-Layer Stack):</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jc w:val="center"/>
            </w:pPr>
            <w:r>
              <w:rPr>
                <w:rFonts w:ascii="Calibri" w:hAnsi="Calibri"/>
                <w:b/>
                <w:color w:val="FFFFFF"/>
                <w:sz w:val="20"/>
              </w:rPr>
              <w:t>Tầng Công Nghệ</w:t>
            </w:r>
          </w:p>
        </w:tc>
        <w:tc>
          <w:tcPr>
            <w:tcW w:type="dxa" w:w="2592"/>
            <w:shd w:fill="1E293B"/>
            <w:tcMar>
              <w:top w:w="120" w:type="dxa"/>
              <w:bottom w:w="120" w:type="dxa"/>
              <w:left w:w="140" w:type="dxa"/>
              <w:right w:w="140" w:type="dxa"/>
            </w:tcMar>
          </w:tcPr>
          <w:p>
            <w:pPr>
              <w:jc w:val="center"/>
            </w:pPr>
            <w:r>
              <w:rPr>
                <w:rFonts w:ascii="Calibri" w:hAnsi="Calibri"/>
                <w:b/>
                <w:color w:val="FFFFFF"/>
                <w:sz w:val="20"/>
              </w:rPr>
              <w:t>Tên Hệ Thống</w:t>
            </w:r>
          </w:p>
        </w:tc>
        <w:tc>
          <w:tcPr>
            <w:tcW w:type="dxa" w:w="4608"/>
            <w:shd w:fill="1E293B"/>
            <w:tcMar>
              <w:top w:w="120" w:type="dxa"/>
              <w:bottom w:w="120" w:type="dxa"/>
              <w:left w:w="140" w:type="dxa"/>
              <w:right w:w="140" w:type="dxa"/>
            </w:tcMar>
          </w:tcPr>
          <w:p>
            <w:pPr>
              <w:jc w:val="center"/>
            </w:pPr>
            <w:r>
              <w:rPr>
                <w:rFonts w:ascii="Calibri" w:hAnsi="Calibri"/>
                <w:b/>
                <w:color w:val="FFFFFF"/>
                <w:sz w:val="20"/>
              </w:rPr>
              <w:t>Chức Năng &amp; Vị Trí Trong Hệ Sinh Thái</w:t>
            </w:r>
          </w:p>
        </w:tc>
      </w:tr>
      <w:tr>
        <w:tc>
          <w:tcPr>
            <w:tcW w:type="dxa" w:w="2160"/>
            <w:shd w:fill="FFFFFF"/>
            <w:tcMar>
              <w:top w:w="100" w:type="dxa"/>
              <w:bottom w:w="100" w:type="dxa"/>
              <w:left w:w="140" w:type="dxa"/>
              <w:right w:w="140" w:type="dxa"/>
            </w:tcMar>
          </w:tcPr>
          <w:p>
            <w:r>
              <w:rPr>
                <w:rFonts w:ascii="Calibri" w:hAnsi="Calibri"/>
                <w:color w:val="1E293B"/>
                <w:sz w:val="19"/>
              </w:rPr>
              <w:t>Tầng 1: Data Layer</w:t>
            </w:r>
          </w:p>
        </w:tc>
        <w:tc>
          <w:tcPr>
            <w:tcW w:type="dxa" w:w="2592"/>
            <w:shd w:fill="FFFFFF"/>
            <w:tcMar>
              <w:top w:w="100" w:type="dxa"/>
              <w:bottom w:w="100" w:type="dxa"/>
              <w:left w:w="140" w:type="dxa"/>
              <w:right w:w="140" w:type="dxa"/>
            </w:tcMar>
          </w:tcPr>
          <w:p>
            <w:r>
              <w:rPr>
                <w:rFonts w:ascii="Calibri" w:hAnsi="Calibri"/>
                <w:color w:val="1E293B"/>
                <w:sz w:val="19"/>
              </w:rPr>
              <w:t>Data Providers</w:t>
            </w:r>
          </w:p>
        </w:tc>
        <w:tc>
          <w:tcPr>
            <w:tcW w:type="dxa" w:w="4608"/>
            <w:shd w:fill="FFFFFF"/>
            <w:tcMar>
              <w:top w:w="100" w:type="dxa"/>
              <w:bottom w:w="100" w:type="dxa"/>
              <w:left w:w="140" w:type="dxa"/>
              <w:right w:w="140" w:type="dxa"/>
            </w:tcMar>
          </w:tcPr>
          <w:p>
            <w:r>
              <w:rPr>
                <w:rFonts w:ascii="Calibri" w:hAnsi="Calibri"/>
                <w:color w:val="1E293B"/>
                <w:sz w:val="19"/>
              </w:rPr>
              <w:t>Cung cấp dữ liệu thô: CIC Bureau, Telco Data (Viettel/Vinaphone), E-wallet, Mobile Behavior.</w:t>
            </w:r>
          </w:p>
        </w:tc>
      </w:tr>
      <w:tr>
        <w:tc>
          <w:tcPr>
            <w:tcW w:type="dxa" w:w="2160"/>
            <w:shd w:fill="F8FAFC"/>
            <w:tcMar>
              <w:top w:w="100" w:type="dxa"/>
              <w:bottom w:w="100" w:type="dxa"/>
              <w:left w:w="140" w:type="dxa"/>
              <w:right w:w="140" w:type="dxa"/>
            </w:tcMar>
          </w:tcPr>
          <w:p>
            <w:r>
              <w:rPr>
                <w:rFonts w:ascii="Calibri" w:hAnsi="Calibri"/>
                <w:color w:val="1E293B"/>
                <w:sz w:val="19"/>
              </w:rPr>
              <w:t>Tầng 2: Application Layer</w:t>
            </w:r>
          </w:p>
        </w:tc>
        <w:tc>
          <w:tcPr>
            <w:tcW w:type="dxa" w:w="2592"/>
            <w:shd w:fill="F8FAFC"/>
            <w:tcMar>
              <w:top w:w="100" w:type="dxa"/>
              <w:bottom w:w="100" w:type="dxa"/>
              <w:left w:w="140" w:type="dxa"/>
              <w:right w:w="140" w:type="dxa"/>
            </w:tcMar>
          </w:tcPr>
          <w:p>
            <w:r>
              <w:rPr>
                <w:rFonts w:ascii="Calibri" w:hAnsi="Calibri"/>
                <w:color w:val="1E293B"/>
                <w:sz w:val="19"/>
              </w:rPr>
              <w:t>Loan Origination System (LOS)</w:t>
            </w:r>
          </w:p>
        </w:tc>
        <w:tc>
          <w:tcPr>
            <w:tcW w:type="dxa" w:w="4608"/>
            <w:shd w:fill="F8FAFC"/>
            <w:tcMar>
              <w:top w:w="100" w:type="dxa"/>
              <w:bottom w:w="100" w:type="dxa"/>
              <w:left w:w="140" w:type="dxa"/>
              <w:right w:w="140" w:type="dxa"/>
            </w:tcMar>
          </w:tcPr>
          <w:p>
            <w:r>
              <w:rPr>
                <w:rFonts w:ascii="Calibri" w:hAnsi="Calibri"/>
                <w:color w:val="1E293B"/>
                <w:sz w:val="19"/>
              </w:rPr>
              <w:t>Hệ thống quản lý hồ sơ vay (Temenos, Mambu, Oracle Flexcube). Quản lý eKYC và tiếp nhận hồ sơ.</w:t>
            </w:r>
          </w:p>
        </w:tc>
      </w:tr>
      <w:tr>
        <w:tc>
          <w:tcPr>
            <w:tcW w:type="dxa" w:w="2160"/>
            <w:shd w:fill="FFFFFF"/>
            <w:tcMar>
              <w:top w:w="100" w:type="dxa"/>
              <w:bottom w:w="100" w:type="dxa"/>
              <w:left w:w="140" w:type="dxa"/>
              <w:right w:w="140" w:type="dxa"/>
            </w:tcMar>
          </w:tcPr>
          <w:p>
            <w:r>
              <w:rPr>
                <w:rFonts w:ascii="Calibri" w:hAnsi="Calibri"/>
                <w:color w:val="1E293B"/>
                <w:sz w:val="19"/>
              </w:rPr>
              <w:t>Tầng 3: Decisioning Layer</w:t>
            </w:r>
          </w:p>
        </w:tc>
        <w:tc>
          <w:tcPr>
            <w:tcW w:type="dxa" w:w="2592"/>
            <w:shd w:fill="FFFFFF"/>
            <w:tcMar>
              <w:top w:w="100" w:type="dxa"/>
              <w:bottom w:w="100" w:type="dxa"/>
              <w:left w:w="140" w:type="dxa"/>
              <w:right w:w="140" w:type="dxa"/>
            </w:tcMar>
          </w:tcPr>
          <w:p>
            <w:r>
              <w:rPr>
                <w:rFonts w:ascii="Calibri" w:hAnsi="Calibri"/>
                <w:color w:val="1E293B"/>
                <w:sz w:val="19"/>
              </w:rPr>
              <w:t>AI Scoring &amp; Decision Engine (SẢN PHẨM CỦA CHÚNG TA)</w:t>
            </w:r>
          </w:p>
        </w:tc>
        <w:tc>
          <w:tcPr>
            <w:tcW w:type="dxa" w:w="4608"/>
            <w:shd w:fill="FFFFFF"/>
            <w:tcMar>
              <w:top w:w="100" w:type="dxa"/>
              <w:bottom w:w="100" w:type="dxa"/>
              <w:left w:w="140" w:type="dxa"/>
              <w:right w:w="140" w:type="dxa"/>
            </w:tcMar>
          </w:tcPr>
          <w:p>
            <w:r>
              <w:rPr>
                <w:rFonts w:ascii="Calibri" w:hAnsi="Calibri"/>
                <w:color w:val="1E293B"/>
                <w:sz w:val="19"/>
              </w:rPr>
              <w:t>Động cơ ra quyết định AI: Tiếp nhận Payload API ──► Auto-Routing (Hybrid/Alt-only) ──► Scoring ──► Sanity Guard ──► SHAP XAI.</w:t>
            </w:r>
          </w:p>
        </w:tc>
      </w:tr>
      <w:tr>
        <w:tc>
          <w:tcPr>
            <w:tcW w:type="dxa" w:w="2160"/>
            <w:shd w:fill="F8FAFC"/>
            <w:tcMar>
              <w:top w:w="100" w:type="dxa"/>
              <w:bottom w:w="100" w:type="dxa"/>
              <w:left w:w="140" w:type="dxa"/>
              <w:right w:w="140" w:type="dxa"/>
            </w:tcMar>
          </w:tcPr>
          <w:p>
            <w:r>
              <w:rPr>
                <w:rFonts w:ascii="Calibri" w:hAnsi="Calibri"/>
                <w:color w:val="1E293B"/>
                <w:sz w:val="19"/>
              </w:rPr>
              <w:t>Tầng 4: Portfolio Layer</w:t>
            </w:r>
          </w:p>
        </w:tc>
        <w:tc>
          <w:tcPr>
            <w:tcW w:type="dxa" w:w="2592"/>
            <w:shd w:fill="F8FAFC"/>
            <w:tcMar>
              <w:top w:w="100" w:type="dxa"/>
              <w:bottom w:w="100" w:type="dxa"/>
              <w:left w:w="140" w:type="dxa"/>
              <w:right w:w="140" w:type="dxa"/>
            </w:tcMar>
          </w:tcPr>
          <w:p>
            <w:r>
              <w:rPr>
                <w:rFonts w:ascii="Calibri" w:hAnsi="Calibri"/>
                <w:color w:val="1E293B"/>
                <w:sz w:val="19"/>
              </w:rPr>
              <w:t>Loan Management System (LMS)</w:t>
            </w:r>
          </w:p>
        </w:tc>
        <w:tc>
          <w:tcPr>
            <w:tcW w:type="dxa" w:w="4608"/>
            <w:shd w:fill="F8FAFC"/>
            <w:tcMar>
              <w:top w:w="100" w:type="dxa"/>
              <w:bottom w:w="100" w:type="dxa"/>
              <w:left w:w="140" w:type="dxa"/>
              <w:right w:w="140" w:type="dxa"/>
            </w:tcMar>
          </w:tcPr>
          <w:p>
            <w:r>
              <w:rPr>
                <w:rFonts w:ascii="Calibri" w:hAnsi="Calibri"/>
                <w:color w:val="1E293B"/>
                <w:sz w:val="19"/>
              </w:rPr>
              <w:t>Quản lý khoản vay sau khi giải ngân, tính lãi, nhắc nợ và thu hồi nợ (Collection Strategy).</w:t>
            </w:r>
          </w:p>
        </w:tc>
      </w:tr>
    </w:tbl>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right w:val="none"/>
              <w:bottom w:val="none"/>
            </w:tcBorders>
          </w:tcPr>
          <w:p>
            <w:pPr>
              <w:spacing w:before="80" w:after="80"/>
            </w:pPr>
            <w:r>
              <w:rPr>
                <w:rFonts w:ascii="Calibri" w:hAnsi="Calibri"/>
                <w:b/>
                <w:color w:val="4F46E5"/>
                <w:sz w:val="22"/>
              </w:rPr>
              <w:t>💡 BẢN CHẤT VỊ TRÍ SẢN PHẨM</w:t>
              <w:br/>
            </w:r>
            <w:r>
              <w:rPr>
                <w:rFonts w:ascii="Calibri" w:hAnsi="Calibri"/>
                <w:color w:val="334155"/>
                <w:sz w:val="21"/>
              </w:rPr>
              <w:t>Định vị chiến lược: Sản phẩm của chúng ta KHÔNG thay thế hệ thống Core Banking hay LOS sẵn có của Ngân hàng. Sản phẩm đóng vai trò là một Plug-and-Play AI Decisioning Microservice cắm trực tiếp vào hệ thống LOS thông qua RESTful API.</w:t>
            </w:r>
          </w:p>
        </w:tc>
      </w:tr>
    </w:tbl>
    <w:p/>
    <w:p>
      <w:pPr>
        <w:pStyle w:val="Heading1"/>
        <w:spacing w:before="320" w:after="120"/>
      </w:pPr>
      <w:r>
        <w:rPr>
          <w:rFonts w:ascii="Calibri" w:hAnsi="Calibri"/>
          <w:b/>
          <w:color w:val="0F172A"/>
          <w:sz w:val="36"/>
        </w:rPr>
        <w:t>3. SO SÁNH BENCHMARK VỚI CÁC GÃ KHỔNG LỒ (ZEST AI, H2O.AI &amp; SAS)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40" w:type="dxa"/>
              <w:right w:w="140" w:type="dxa"/>
            </w:tcMar>
          </w:tcPr>
          <w:p>
            <w:pPr>
              <w:jc w:val="center"/>
            </w:pPr>
            <w:r>
              <w:rPr>
                <w:rFonts w:ascii="Calibri" w:hAnsi="Calibri"/>
                <w:b/>
                <w:color w:val="FFFFFF"/>
                <w:sz w:val="20"/>
              </w:rPr>
              <w:t>Tiêu Chí So Sánh</w:t>
            </w:r>
          </w:p>
        </w:tc>
        <w:tc>
          <w:tcPr>
            <w:tcW w:type="dxa" w:w="1872"/>
            <w:shd w:fill="1E293B"/>
            <w:tcMar>
              <w:top w:w="120" w:type="dxa"/>
              <w:bottom w:w="120" w:type="dxa"/>
              <w:left w:w="140" w:type="dxa"/>
              <w:right w:w="140" w:type="dxa"/>
            </w:tcMar>
          </w:tcPr>
          <w:p>
            <w:pPr>
              <w:jc w:val="center"/>
            </w:pPr>
            <w:r>
              <w:rPr>
                <w:rFonts w:ascii="Calibri" w:hAnsi="Calibri"/>
                <w:b/>
                <w:color w:val="FFFFFF"/>
                <w:sz w:val="20"/>
              </w:rPr>
              <w:t>SAS Risk Solutions</w:t>
            </w:r>
          </w:p>
        </w:tc>
        <w:tc>
          <w:tcPr>
            <w:tcW w:type="dxa" w:w="1728"/>
            <w:shd w:fill="1E293B"/>
            <w:tcMar>
              <w:top w:w="120" w:type="dxa"/>
              <w:bottom w:w="120" w:type="dxa"/>
              <w:left w:w="140" w:type="dxa"/>
              <w:right w:w="140" w:type="dxa"/>
            </w:tcMar>
          </w:tcPr>
          <w:p>
            <w:pPr>
              <w:jc w:val="center"/>
            </w:pPr>
            <w:r>
              <w:rPr>
                <w:rFonts w:ascii="Calibri" w:hAnsi="Calibri"/>
                <w:b/>
                <w:color w:val="FFFFFF"/>
                <w:sz w:val="20"/>
              </w:rPr>
              <w:t>H2O.ai</w:t>
            </w:r>
          </w:p>
        </w:tc>
        <w:tc>
          <w:tcPr>
            <w:tcW w:type="dxa" w:w="1872"/>
            <w:shd w:fill="1E293B"/>
            <w:tcMar>
              <w:top w:w="120" w:type="dxa"/>
              <w:bottom w:w="120" w:type="dxa"/>
              <w:left w:w="140" w:type="dxa"/>
              <w:right w:w="140" w:type="dxa"/>
            </w:tcMar>
          </w:tcPr>
          <w:p>
            <w:pPr>
              <w:jc w:val="center"/>
            </w:pPr>
            <w:r>
              <w:rPr>
                <w:rFonts w:ascii="Calibri" w:hAnsi="Calibri"/>
                <w:b/>
                <w:color w:val="FFFFFF"/>
                <w:sz w:val="20"/>
              </w:rPr>
              <w:t>Zest AI</w:t>
            </w:r>
          </w:p>
        </w:tc>
        <w:tc>
          <w:tcPr>
            <w:tcW w:type="dxa" w:w="2016"/>
            <w:shd w:fill="1E293B"/>
            <w:tcMar>
              <w:top w:w="120" w:type="dxa"/>
              <w:bottom w:w="120" w:type="dxa"/>
              <w:left w:w="140" w:type="dxa"/>
              <w:right w:w="140" w:type="dxa"/>
            </w:tcMar>
          </w:tcPr>
          <w:p>
            <w:pPr>
              <w:jc w:val="center"/>
            </w:pPr>
            <w:r>
              <w:rPr>
                <w:rFonts w:ascii="Calibri" w:hAnsi="Calibri"/>
                <w:b/>
                <w:color w:val="FFFFFF"/>
                <w:sz w:val="20"/>
              </w:rPr>
              <w:t>SẢN PHẨM CỦA CHÚNG TA</w:t>
            </w:r>
          </w:p>
        </w:tc>
      </w:tr>
      <w:tr>
        <w:tc>
          <w:tcPr>
            <w:tcW w:type="dxa" w:w="1872"/>
            <w:shd w:fill="FFFFFF"/>
            <w:tcMar>
              <w:top w:w="100" w:type="dxa"/>
              <w:bottom w:w="100" w:type="dxa"/>
              <w:left w:w="140" w:type="dxa"/>
              <w:right w:w="140" w:type="dxa"/>
            </w:tcMar>
          </w:tcPr>
          <w:p>
            <w:r>
              <w:rPr>
                <w:rFonts w:ascii="Calibri" w:hAnsi="Calibri"/>
                <w:color w:val="1E293B"/>
                <w:sz w:val="19"/>
              </w:rPr>
              <w:t>Vị trí Ecosystem</w:t>
            </w:r>
          </w:p>
        </w:tc>
        <w:tc>
          <w:tcPr>
            <w:tcW w:type="dxa" w:w="1872"/>
            <w:shd w:fill="FFFFFF"/>
            <w:tcMar>
              <w:top w:w="100" w:type="dxa"/>
              <w:bottom w:w="100" w:type="dxa"/>
              <w:left w:w="140" w:type="dxa"/>
              <w:right w:w="140" w:type="dxa"/>
            </w:tcMar>
          </w:tcPr>
          <w:p>
            <w:r>
              <w:rPr>
                <w:rFonts w:ascii="Calibri" w:hAnsi="Calibri"/>
                <w:color w:val="1E293B"/>
                <w:sz w:val="19"/>
              </w:rPr>
              <w:t>Core Enterprise Risk Platform</w:t>
            </w:r>
          </w:p>
        </w:tc>
        <w:tc>
          <w:tcPr>
            <w:tcW w:type="dxa" w:w="1728"/>
            <w:shd w:fill="FFFFFF"/>
            <w:tcMar>
              <w:top w:w="100" w:type="dxa"/>
              <w:bottom w:w="100" w:type="dxa"/>
              <w:left w:w="140" w:type="dxa"/>
              <w:right w:w="140" w:type="dxa"/>
            </w:tcMar>
          </w:tcPr>
          <w:p>
            <w:r>
              <w:rPr>
                <w:rFonts w:ascii="Calibri" w:hAnsi="Calibri"/>
                <w:color w:val="1E293B"/>
                <w:sz w:val="19"/>
              </w:rPr>
              <w:t>General ML/AutoML Engine</w:t>
            </w:r>
          </w:p>
        </w:tc>
        <w:tc>
          <w:tcPr>
            <w:tcW w:type="dxa" w:w="1872"/>
            <w:shd w:fill="FFFFFF"/>
            <w:tcMar>
              <w:top w:w="100" w:type="dxa"/>
              <w:bottom w:w="100" w:type="dxa"/>
              <w:left w:w="140" w:type="dxa"/>
              <w:right w:w="140" w:type="dxa"/>
            </w:tcMar>
          </w:tcPr>
          <w:p>
            <w:r>
              <w:rPr>
                <w:rFonts w:ascii="Calibri" w:hAnsi="Calibri"/>
                <w:color w:val="1E293B"/>
                <w:sz w:val="19"/>
              </w:rPr>
              <w:t>Specialist AI Underwriting Plugin</w:t>
            </w:r>
          </w:p>
        </w:tc>
        <w:tc>
          <w:tcPr>
            <w:tcW w:type="dxa" w:w="2016"/>
            <w:shd w:fill="FFFFFF"/>
            <w:tcMar>
              <w:top w:w="100" w:type="dxa"/>
              <w:bottom w:w="100" w:type="dxa"/>
              <w:left w:w="140" w:type="dxa"/>
              <w:right w:w="140" w:type="dxa"/>
            </w:tcMar>
          </w:tcPr>
          <w:p>
            <w:r>
              <w:rPr>
                <w:rFonts w:ascii="Calibri" w:hAnsi="Calibri"/>
                <w:color w:val="1E293B"/>
                <w:sz w:val="19"/>
              </w:rPr>
              <w:t>Plug-and-Play AI Decisioning Microservice cho LOS/Fintech</w:t>
            </w:r>
          </w:p>
        </w:tc>
      </w:tr>
      <w:tr>
        <w:tc>
          <w:tcPr>
            <w:tcW w:type="dxa" w:w="1872"/>
            <w:shd w:fill="F8FAFC"/>
            <w:tcMar>
              <w:top w:w="100" w:type="dxa"/>
              <w:bottom w:w="100" w:type="dxa"/>
              <w:left w:w="140" w:type="dxa"/>
              <w:right w:w="140" w:type="dxa"/>
            </w:tcMar>
          </w:tcPr>
          <w:p>
            <w:r>
              <w:rPr>
                <w:rFonts w:ascii="Calibri" w:hAnsi="Calibri"/>
                <w:color w:val="1E293B"/>
                <w:sz w:val="19"/>
              </w:rPr>
              <w:t>Khách hàng Mục tiêu</w:t>
            </w:r>
          </w:p>
        </w:tc>
        <w:tc>
          <w:tcPr>
            <w:tcW w:type="dxa" w:w="1872"/>
            <w:shd w:fill="F8FAFC"/>
            <w:tcMar>
              <w:top w:w="100" w:type="dxa"/>
              <w:bottom w:w="100" w:type="dxa"/>
              <w:left w:w="140" w:type="dxa"/>
              <w:right w:w="140" w:type="dxa"/>
            </w:tcMar>
          </w:tcPr>
          <w:p>
            <w:r>
              <w:rPr>
                <w:rFonts w:ascii="Calibri" w:hAnsi="Calibri"/>
                <w:color w:val="1E293B"/>
                <w:sz w:val="19"/>
              </w:rPr>
              <w:t>Ngân hàng thương mại lớn (Tier-1 Banks)</w:t>
            </w:r>
          </w:p>
        </w:tc>
        <w:tc>
          <w:tcPr>
            <w:tcW w:type="dxa" w:w="1728"/>
            <w:shd w:fill="F8FAFC"/>
            <w:tcMar>
              <w:top w:w="100" w:type="dxa"/>
              <w:bottom w:w="100" w:type="dxa"/>
              <w:left w:w="140" w:type="dxa"/>
              <w:right w:w="140" w:type="dxa"/>
            </w:tcMar>
          </w:tcPr>
          <w:p>
            <w:r>
              <w:rPr>
                <w:rFonts w:ascii="Calibri" w:hAnsi="Calibri"/>
                <w:color w:val="1E293B"/>
                <w:sz w:val="19"/>
              </w:rPr>
              <w:t>Đội ngũ Data Science nội bộ</w:t>
            </w:r>
          </w:p>
        </w:tc>
        <w:tc>
          <w:tcPr>
            <w:tcW w:type="dxa" w:w="1872"/>
            <w:shd w:fill="F8FAFC"/>
            <w:tcMar>
              <w:top w:w="100" w:type="dxa"/>
              <w:bottom w:w="100" w:type="dxa"/>
              <w:left w:w="140" w:type="dxa"/>
              <w:right w:w="140" w:type="dxa"/>
            </w:tcMar>
          </w:tcPr>
          <w:p>
            <w:r>
              <w:rPr>
                <w:rFonts w:ascii="Calibri" w:hAnsi="Calibri"/>
                <w:color w:val="1E293B"/>
                <w:sz w:val="19"/>
              </w:rPr>
              <w:t>Credit Unions, Mid-tier Lenders</w:t>
            </w:r>
          </w:p>
        </w:tc>
        <w:tc>
          <w:tcPr>
            <w:tcW w:type="dxa" w:w="2016"/>
            <w:shd w:fill="F8FAFC"/>
            <w:tcMar>
              <w:top w:w="100" w:type="dxa"/>
              <w:bottom w:w="100" w:type="dxa"/>
              <w:left w:w="140" w:type="dxa"/>
              <w:right w:w="140" w:type="dxa"/>
            </w:tcMar>
          </w:tcPr>
          <w:p>
            <w:r>
              <w:rPr>
                <w:rFonts w:ascii="Calibri" w:hAnsi="Calibri"/>
                <w:color w:val="1E293B"/>
                <w:sz w:val="19"/>
              </w:rPr>
              <w:t>Tổ chức Tài chính Tiêu dùng, BNPL, Fintech, Ví điện tử</w:t>
            </w:r>
          </w:p>
        </w:tc>
      </w:tr>
      <w:tr>
        <w:tc>
          <w:tcPr>
            <w:tcW w:type="dxa" w:w="1872"/>
            <w:shd w:fill="FFFFFF"/>
            <w:tcMar>
              <w:top w:w="100" w:type="dxa"/>
              <w:bottom w:w="100" w:type="dxa"/>
              <w:left w:w="140" w:type="dxa"/>
              <w:right w:w="140" w:type="dxa"/>
            </w:tcMar>
          </w:tcPr>
          <w:p>
            <w:r>
              <w:rPr>
                <w:rFonts w:ascii="Calibri" w:hAnsi="Calibri"/>
                <w:color w:val="1E293B"/>
                <w:sz w:val="19"/>
              </w:rPr>
              <w:t>Điểm khác biệt (Moat)</w:t>
            </w:r>
          </w:p>
        </w:tc>
        <w:tc>
          <w:tcPr>
            <w:tcW w:type="dxa" w:w="1872"/>
            <w:shd w:fill="FFFFFF"/>
            <w:tcMar>
              <w:top w:w="100" w:type="dxa"/>
              <w:bottom w:w="100" w:type="dxa"/>
              <w:left w:w="140" w:type="dxa"/>
              <w:right w:w="140" w:type="dxa"/>
            </w:tcMar>
          </w:tcPr>
          <w:p>
            <w:r>
              <w:rPr>
                <w:rFonts w:ascii="Calibri" w:hAnsi="Calibri"/>
                <w:color w:val="1E293B"/>
                <w:sz w:val="19"/>
              </w:rPr>
              <w:t>Hệ thống GRC truyền thống, bảo mật cao</w:t>
            </w:r>
          </w:p>
        </w:tc>
        <w:tc>
          <w:tcPr>
            <w:tcW w:type="dxa" w:w="1728"/>
            <w:shd w:fill="FFFFFF"/>
            <w:tcMar>
              <w:top w:w="100" w:type="dxa"/>
              <w:bottom w:w="100" w:type="dxa"/>
              <w:left w:w="140" w:type="dxa"/>
              <w:right w:w="140" w:type="dxa"/>
            </w:tcMar>
          </w:tcPr>
          <w:p>
            <w:r>
              <w:rPr>
                <w:rFonts w:ascii="Calibri" w:hAnsi="Calibri"/>
                <w:color w:val="1E293B"/>
                <w:sz w:val="19"/>
              </w:rPr>
              <w:t>AutoML đa ngành, không chuyên sâu tín dụng</w:t>
            </w:r>
          </w:p>
        </w:tc>
        <w:tc>
          <w:tcPr>
            <w:tcW w:type="dxa" w:w="1872"/>
            <w:shd w:fill="FFFFFF"/>
            <w:tcMar>
              <w:top w:w="100" w:type="dxa"/>
              <w:bottom w:w="100" w:type="dxa"/>
              <w:left w:w="140" w:type="dxa"/>
              <w:right w:w="140" w:type="dxa"/>
            </w:tcMar>
          </w:tcPr>
          <w:p>
            <w:r>
              <w:rPr>
                <w:rFonts w:ascii="Calibri" w:hAnsi="Calibri"/>
                <w:color w:val="1E293B"/>
                <w:sz w:val="19"/>
              </w:rPr>
              <w:t>AI Underwriting kết hợp FICO Bureau</w:t>
            </w:r>
          </w:p>
        </w:tc>
        <w:tc>
          <w:tcPr>
            <w:tcW w:type="dxa" w:w="2016"/>
            <w:shd w:fill="FFFFFF"/>
            <w:tcMar>
              <w:top w:w="100" w:type="dxa"/>
              <w:bottom w:w="100" w:type="dxa"/>
              <w:left w:w="140" w:type="dxa"/>
              <w:right w:w="140" w:type="dxa"/>
            </w:tcMar>
          </w:tcPr>
          <w:p>
            <w:r>
              <w:rPr>
                <w:rFonts w:ascii="Calibri" w:hAnsi="Calibri"/>
                <w:color w:val="1E293B"/>
                <w:sz w:val="19"/>
              </w:rPr>
              <w:t>Auto-Routing (Hybrid vs Alt-only) + LLM XAI cho Việt Nam/ĐNA</w:t>
            </w:r>
          </w:p>
        </w:tc>
      </w:tr>
      <w:tr>
        <w:tc>
          <w:tcPr>
            <w:tcW w:type="dxa" w:w="1872"/>
            <w:shd w:fill="F8FAFC"/>
            <w:tcMar>
              <w:top w:w="100" w:type="dxa"/>
              <w:bottom w:w="100" w:type="dxa"/>
              <w:left w:w="140" w:type="dxa"/>
              <w:right w:w="140" w:type="dxa"/>
            </w:tcMar>
          </w:tcPr>
          <w:p>
            <w:r>
              <w:rPr>
                <w:rFonts w:ascii="Calibri" w:hAnsi="Calibri"/>
                <w:color w:val="1E293B"/>
                <w:sz w:val="19"/>
              </w:rPr>
              <w:t>Mô hình Thương mại</w:t>
            </w:r>
          </w:p>
        </w:tc>
        <w:tc>
          <w:tcPr>
            <w:tcW w:type="dxa" w:w="1872"/>
            <w:shd w:fill="F8FAFC"/>
            <w:tcMar>
              <w:top w:w="100" w:type="dxa"/>
              <w:bottom w:w="100" w:type="dxa"/>
              <w:left w:w="140" w:type="dxa"/>
              <w:right w:w="140" w:type="dxa"/>
            </w:tcMar>
          </w:tcPr>
          <w:p>
            <w:r>
              <w:rPr>
                <w:rFonts w:ascii="Calibri" w:hAnsi="Calibri"/>
                <w:color w:val="1E293B"/>
                <w:sz w:val="19"/>
              </w:rPr>
              <w:t>Enterprise License đắt đỏ ($1M+)</w:t>
            </w:r>
          </w:p>
        </w:tc>
        <w:tc>
          <w:tcPr>
            <w:tcW w:type="dxa" w:w="1728"/>
            <w:shd w:fill="F8FAFC"/>
            <w:tcMar>
              <w:top w:w="100" w:type="dxa"/>
              <w:bottom w:w="100" w:type="dxa"/>
              <w:left w:w="140" w:type="dxa"/>
              <w:right w:w="140" w:type="dxa"/>
            </w:tcMar>
          </w:tcPr>
          <w:p>
            <w:r>
              <w:rPr>
                <w:rFonts w:ascii="Calibri" w:hAnsi="Calibri"/>
                <w:color w:val="1E293B"/>
                <w:sz w:val="19"/>
              </w:rPr>
              <w:t>Bán platform subscription</w:t>
            </w:r>
          </w:p>
        </w:tc>
        <w:tc>
          <w:tcPr>
            <w:tcW w:type="dxa" w:w="1872"/>
            <w:shd w:fill="F8FAFC"/>
            <w:tcMar>
              <w:top w:w="100" w:type="dxa"/>
              <w:bottom w:w="100" w:type="dxa"/>
              <w:left w:w="140" w:type="dxa"/>
              <w:right w:w="140" w:type="dxa"/>
            </w:tcMar>
          </w:tcPr>
          <w:p>
            <w:r>
              <w:rPr>
                <w:rFonts w:ascii="Calibri" w:hAnsi="Calibri"/>
                <w:color w:val="1E293B"/>
                <w:sz w:val="19"/>
              </w:rPr>
              <w:t>Bán theo lượt chấm (Per-Query Pricing)</w:t>
            </w:r>
          </w:p>
        </w:tc>
        <w:tc>
          <w:tcPr>
            <w:tcW w:type="dxa" w:w="2016"/>
            <w:shd w:fill="F8FAFC"/>
            <w:tcMar>
              <w:top w:w="100" w:type="dxa"/>
              <w:bottom w:w="100" w:type="dxa"/>
              <w:left w:w="140" w:type="dxa"/>
              <w:right w:w="140" w:type="dxa"/>
            </w:tcMar>
          </w:tcPr>
          <w:p>
            <w:r>
              <w:rPr>
                <w:rFonts w:ascii="Calibri" w:hAnsi="Calibri"/>
                <w:color w:val="1E293B"/>
                <w:sz w:val="19"/>
              </w:rPr>
              <w:t>SaaS API Microservice ($0.20/score) + Phí tích hợp LOS</w:t>
            </w:r>
          </w:p>
        </w:tc>
      </w:tr>
    </w:tbl>
    <w:p/>
    <w:p>
      <w:pPr>
        <w:pStyle w:val="Heading2"/>
        <w:spacing w:before="240" w:after="80"/>
      </w:pPr>
      <w:r>
        <w:rPr>
          <w:rFonts w:ascii="Calibri" w:hAnsi="Calibri"/>
          <w:b/>
          <w:color w:val="1E3A8A"/>
          <w:sz w:val="28"/>
        </w:rPr>
        <w:t>3.1. Bài học thành công từ Zest AI</w:t>
      </w:r>
    </w:p>
    <w:p>
      <w:r>
        <w:t>Zest AI (Định giá &gt; $500M) thành công rực rỡ không phải vì tạo ra giải thuật ML mới, mà nhờ tích hợp sẵn API vào các hệ thống LOS phổ biến (Temenos, Origence, Mambu) để các tổ chức tín dụng bật tính năng chỉ với 1-Click.</w:t>
      </w:r>
    </w:p>
    <w:p>
      <w:pPr>
        <w:pStyle w:val="Heading1"/>
        <w:spacing w:before="320" w:after="120"/>
      </w:pPr>
      <w:r>
        <w:rPr>
          <w:rFonts w:ascii="Calibri" w:hAnsi="Calibri"/>
          <w:b/>
          <w:color w:val="0F172A"/>
          <w:sz w:val="36"/>
        </w:rPr>
        <w:t>4. MÔ HÌNH THƯƠNG MẠI HÓA &amp; DOANH THU (REVENUE MODEL)</w:t>
      </w:r>
    </w:p>
    <w:p>
      <w:r>
        <w:t>Khách hàng B2B sẵn sàng trả tiền theo 2 hình thức thương mại chính:</w:t>
      </w:r>
    </w:p>
    <w:p>
      <w:pPr>
        <w:pStyle w:val="Heading2"/>
        <w:spacing w:before="240" w:after="80"/>
      </w:pPr>
      <w:r>
        <w:rPr>
          <w:rFonts w:ascii="Calibri" w:hAnsi="Calibri"/>
          <w:b/>
          <w:color w:val="1E3A8A"/>
          <w:sz w:val="28"/>
        </w:rPr>
        <w:t>4.1. Mô hình SaaS API (Pay-Per-Score)</w:t>
      </w:r>
    </w:p>
    <w:p>
      <w:r>
        <w:t>Thu phí theo lượt gọi API chấm điểm: $0.15 – $0.30 / mỗi hồ sơ. Ví dụ: Một ví điện tử / đơn vị BNPL xử lý 100,000 hồ sơ/tháng ──► Doanh thu ổn định: $15,000 – $30,000 / tháng.</w:t>
      </w:r>
    </w:p>
    <w:p>
      <w:pPr>
        <w:pStyle w:val="Heading2"/>
        <w:spacing w:before="240" w:after="80"/>
      </w:pPr>
      <w:r>
        <w:rPr>
          <w:rFonts w:ascii="Calibri" w:hAnsi="Calibri"/>
          <w:b/>
          <w:color w:val="1E3A8A"/>
          <w:sz w:val="28"/>
        </w:rPr>
        <w:t>4.2. Phí Tích hợp &amp; Nâng cấp (Enterprise Setup &amp; Maintenance Fee)</w:t>
      </w:r>
    </w:p>
    <w:p>
      <w:r>
        <w:t>Phí cài đặt &amp; tích hợp Module vào hệ thống LOS sẵn có của ngân hàng: $25,000 – $40,000 / lần đầu. Phí duy trì, kiểm định định kỳ và re-train mô hình hàng năm: $10,000 / năm.</w:t>
      </w:r>
    </w:p>
    <w:p>
      <w:pPr>
        <w:pStyle w:val="Heading1"/>
        <w:spacing w:before="320" w:after="120"/>
      </w:pPr>
      <w:r>
        <w:rPr>
          <w:rFonts w:ascii="Calibri" w:hAnsi="Calibri"/>
          <w:b/>
          <w:color w:val="0F172A"/>
          <w:sz w:val="36"/>
        </w:rPr>
        <w:t>5. CHỨNG MINH HIỆU QUẢ TÀI CHÍNH (QUANTIFIABLE FINANCIAL ROI FOR LENDERS)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Calibri" w:hAnsi="Calibri"/>
                <w:b/>
                <w:color w:val="FFFFFF"/>
                <w:sz w:val="20"/>
              </w:rPr>
              <w:t>Chỉ Số Hiệu Quả (KPI)</w:t>
            </w:r>
          </w:p>
        </w:tc>
        <w:tc>
          <w:tcPr>
            <w:tcW w:type="dxa" w:w="2592"/>
            <w:shd w:fill="1E293B"/>
            <w:tcMar>
              <w:top w:w="120" w:type="dxa"/>
              <w:bottom w:w="120" w:type="dxa"/>
              <w:left w:w="140" w:type="dxa"/>
              <w:right w:w="140" w:type="dxa"/>
            </w:tcMar>
          </w:tcPr>
          <w:p>
            <w:pPr>
              <w:jc w:val="center"/>
            </w:pPr>
            <w:r>
              <w:rPr>
                <w:rFonts w:ascii="Calibri" w:hAnsi="Calibri"/>
                <w:b/>
                <w:color w:val="FFFFFF"/>
                <w:sz w:val="20"/>
              </w:rPr>
              <w:t>Kết Quả Đạt Được</w:t>
            </w:r>
          </w:p>
        </w:tc>
        <w:tc>
          <w:tcPr>
            <w:tcW w:type="dxa" w:w="4176"/>
            <w:shd w:fill="1E293B"/>
            <w:tcMar>
              <w:top w:w="120" w:type="dxa"/>
              <w:bottom w:w="120" w:type="dxa"/>
              <w:left w:w="140" w:type="dxa"/>
              <w:right w:w="140" w:type="dxa"/>
            </w:tcMar>
          </w:tcPr>
          <w:p>
            <w:pPr>
              <w:jc w:val="center"/>
            </w:pPr>
            <w:r>
              <w:rPr>
                <w:rFonts w:ascii="Calibri" w:hAnsi="Calibri"/>
                <w:b/>
                <w:color w:val="FFFFFF"/>
                <w:sz w:val="20"/>
              </w:rPr>
              <w:t>Tác Động Tài Chính Cho Khách Hàng B2B</w:t>
            </w:r>
          </w:p>
        </w:tc>
      </w:tr>
      <w:tr>
        <w:tc>
          <w:tcPr>
            <w:tcW w:type="dxa" w:w="2592"/>
            <w:shd w:fill="FFFFFF"/>
            <w:tcMar>
              <w:top w:w="100" w:type="dxa"/>
              <w:bottom w:w="100" w:type="dxa"/>
              <w:left w:w="140" w:type="dxa"/>
              <w:right w:w="140" w:type="dxa"/>
            </w:tcMar>
          </w:tcPr>
          <w:p>
            <w:r>
              <w:rPr>
                <w:rFonts w:ascii="Calibri" w:hAnsi="Calibri"/>
                <w:color w:val="1E293B"/>
                <w:sz w:val="19"/>
              </w:rPr>
              <w:t>Tăng Tỷ Lệ Phê Duyệt</w:t>
            </w:r>
          </w:p>
        </w:tc>
        <w:tc>
          <w:tcPr>
            <w:tcW w:type="dxa" w:w="2592"/>
            <w:shd w:fill="FFFFFF"/>
            <w:tcMar>
              <w:top w:w="100" w:type="dxa"/>
              <w:bottom w:w="100" w:type="dxa"/>
              <w:left w:w="140" w:type="dxa"/>
              <w:right w:w="140" w:type="dxa"/>
            </w:tcMar>
          </w:tcPr>
          <w:p>
            <w:r>
              <w:rPr>
                <w:rFonts w:ascii="Calibri" w:hAnsi="Calibri"/>
                <w:color w:val="1E293B"/>
                <w:sz w:val="19"/>
              </w:rPr>
              <w:t>Tăng +18% – 25% lượng hồ sơ duyệt</w:t>
            </w:r>
          </w:p>
        </w:tc>
        <w:tc>
          <w:tcPr>
            <w:tcW w:type="dxa" w:w="4176"/>
            <w:shd w:fill="FFFFFF"/>
            <w:tcMar>
              <w:top w:w="100" w:type="dxa"/>
              <w:bottom w:w="100" w:type="dxa"/>
              <w:left w:w="140" w:type="dxa"/>
              <w:right w:w="140" w:type="dxa"/>
            </w:tcMar>
          </w:tcPr>
          <w:p>
            <w:r>
              <w:rPr>
                <w:rFonts w:ascii="Calibri" w:hAnsi="Calibri"/>
                <w:color w:val="1E293B"/>
                <w:sz w:val="19"/>
              </w:rPr>
              <w:t>Với 50k hồ sơ/tháng ──► Duyệt thêm 7,500 khách hàng mới ──► Tăng doanh thu giải ngân hàng chục tỷ đồng.</w:t>
            </w:r>
          </w:p>
        </w:tc>
      </w:tr>
      <w:tr>
        <w:tc>
          <w:tcPr>
            <w:tcW w:type="dxa" w:w="2592"/>
            <w:shd w:fill="F8FAFC"/>
            <w:tcMar>
              <w:top w:w="100" w:type="dxa"/>
              <w:bottom w:w="100" w:type="dxa"/>
              <w:left w:w="140" w:type="dxa"/>
              <w:right w:w="140" w:type="dxa"/>
            </w:tcMar>
          </w:tcPr>
          <w:p>
            <w:r>
              <w:rPr>
                <w:rFonts w:ascii="Calibri" w:hAnsi="Calibri"/>
                <w:color w:val="1E293B"/>
                <w:sz w:val="19"/>
              </w:rPr>
              <w:t>Tiết Kiệm Chi Phí Vận Hành</w:t>
            </w:r>
          </w:p>
        </w:tc>
        <w:tc>
          <w:tcPr>
            <w:tcW w:type="dxa" w:w="2592"/>
            <w:shd w:fill="F8FAFC"/>
            <w:tcMar>
              <w:top w:w="100" w:type="dxa"/>
              <w:bottom w:w="100" w:type="dxa"/>
              <w:left w:w="140" w:type="dxa"/>
              <w:right w:w="140" w:type="dxa"/>
            </w:tcMar>
          </w:tcPr>
          <w:p>
            <w:r>
              <w:rPr>
                <w:rFonts w:ascii="Calibri" w:hAnsi="Calibri"/>
                <w:color w:val="1E293B"/>
                <w:sz w:val="19"/>
              </w:rPr>
              <w:t>Tự động hóa 70-80% hồ sơ &lt; 5s</w:t>
            </w:r>
          </w:p>
        </w:tc>
        <w:tc>
          <w:tcPr>
            <w:tcW w:type="dxa" w:w="4176"/>
            <w:shd w:fill="F8FAFC"/>
            <w:tcMar>
              <w:top w:w="100" w:type="dxa"/>
              <w:bottom w:w="100" w:type="dxa"/>
              <w:left w:w="140" w:type="dxa"/>
              <w:right w:w="140" w:type="dxa"/>
            </w:tcMar>
          </w:tcPr>
          <w:p>
            <w:r>
              <w:rPr>
                <w:rFonts w:ascii="Calibri" w:hAnsi="Calibri"/>
                <w:color w:val="1E293B"/>
                <w:sz w:val="19"/>
              </w:rPr>
              <w:t>Giảm 80% thời gian &amp; chi phí nhân sự phòng thẩm định tín dụng gọi điện xác minh.</w:t>
            </w:r>
          </w:p>
        </w:tc>
      </w:tr>
      <w:tr>
        <w:tc>
          <w:tcPr>
            <w:tcW w:type="dxa" w:w="2592"/>
            <w:shd w:fill="FFFFFF"/>
            <w:tcMar>
              <w:top w:w="100" w:type="dxa"/>
              <w:bottom w:w="100" w:type="dxa"/>
              <w:left w:w="140" w:type="dxa"/>
              <w:right w:w="140" w:type="dxa"/>
            </w:tcMar>
          </w:tcPr>
          <w:p>
            <w:r>
              <w:rPr>
                <w:rFonts w:ascii="Calibri" w:hAnsi="Calibri"/>
                <w:color w:val="1E293B"/>
                <w:sz w:val="19"/>
              </w:rPr>
              <w:t>Kiểm Soát Nợ Xấu (NPL)</w:t>
            </w:r>
          </w:p>
        </w:tc>
        <w:tc>
          <w:tcPr>
            <w:tcW w:type="dxa" w:w="2592"/>
            <w:shd w:fill="FFFFFF"/>
            <w:tcMar>
              <w:top w:w="100" w:type="dxa"/>
              <w:bottom w:w="100" w:type="dxa"/>
              <w:left w:w="140" w:type="dxa"/>
              <w:right w:w="140" w:type="dxa"/>
            </w:tcMar>
          </w:tcPr>
          <w:p>
            <w:r>
              <w:rPr>
                <w:rFonts w:ascii="Calibri" w:hAnsi="Calibri"/>
                <w:color w:val="1E293B"/>
                <w:sz w:val="19"/>
              </w:rPr>
              <w:t>Duy trì NPL &lt; 3.5% cho tập mới</w:t>
            </w:r>
          </w:p>
        </w:tc>
        <w:tc>
          <w:tcPr>
            <w:tcW w:type="dxa" w:w="4176"/>
            <w:shd w:fill="FFFFFF"/>
            <w:tcMar>
              <w:top w:w="100" w:type="dxa"/>
              <w:bottom w:w="100" w:type="dxa"/>
              <w:left w:w="140" w:type="dxa"/>
              <w:right w:w="140" w:type="dxa"/>
            </w:tcMar>
          </w:tcPr>
          <w:p>
            <w:r>
              <w:rPr>
                <w:rFonts w:ascii="Calibri" w:hAnsi="Calibri"/>
                <w:color w:val="1E293B"/>
                <w:sz w:val="19"/>
              </w:rPr>
              <w:t>Bộ lọc Sanity Guard (DTI &amp; Leverage Floor) ngăn chặn vỡ nợ dây chuyền và tổn thất tín dụng.</w:t>
            </w:r>
          </w:p>
        </w:tc>
      </w:tr>
    </w:tbl>
    <w:p/>
    <w:p>
      <w:pPr>
        <w:pStyle w:val="Heading1"/>
        <w:spacing w:before="320" w:after="120"/>
      </w:pPr>
      <w:r>
        <w:rPr>
          <w:rFonts w:ascii="Calibri" w:hAnsi="Calibri"/>
          <w:b/>
          <w:color w:val="0F172A"/>
          <w:sz w:val="36"/>
        </w:rPr>
        <w:t>6. KHUNG BÀI PITCH TRÌNH BÀY CHO MENTOR &amp; NHÀ ĐẦU TƯ</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F46E5"/>
              <w:top w:val="none"/>
              <w:right w:val="none"/>
              <w:bottom w:val="none"/>
            </w:tcBorders>
          </w:tcPr>
          <w:p>
            <w:pPr>
              <w:spacing w:before="80" w:after="80"/>
            </w:pPr>
            <w:r>
              <w:rPr>
                <w:rFonts w:ascii="Calibri" w:hAnsi="Calibri"/>
                <w:b/>
                <w:color w:val="4F46E5"/>
                <w:sz w:val="22"/>
              </w:rPr>
              <w:t>🎯 KHUNG 4 BƯỚC THUYẾT PHỤC MENTOR</w:t>
              <w:br/>
            </w:r>
            <w:r>
              <w:rPr>
                <w:rFonts w:ascii="Calibri" w:hAnsi="Calibri"/>
                <w:color w:val="334155"/>
                <w:sz w:val="21"/>
              </w:rPr>
              <w:t>1. PROBLEM: 60% người dân ĐNA là Thin-file/Unbanked ──► Mô hình truyền thống từ chối do thiếu CIC.</w:t>
              <w:br/>
              <w:t>2. SOLUTION: Một Plug-and-Play AI Credit Scoring Engine cắm trực tiếp vào LOS qua RESTful API.</w:t>
              <w:br/>
              <w:t>3. MOAT (Lợi thế): Auto-Routing (Hybrid AUC ~0.76 vs Alt-only AUC ~0.64) + Sanity Guard + SHAP XAI &amp; LLM Tiếng Việt.</w:t>
              <w:br/>
              <w:t>4. BUSINESS MODEL: SaaS API ($0.20/score), mang lại ROI dương ngay tháng đầu tiên nhờ tăng 20% lượng duyệt hồ sơ mới.</w:t>
            </w:r>
          </w:p>
        </w:tc>
      </w:tr>
    </w:tbl>
    <w:p/>
    <w:p>
      <w:pPr>
        <w:pStyle w:val="Heading2"/>
        <w:spacing w:before="240" w:after="80"/>
      </w:pPr>
      <w:r>
        <w:rPr>
          <w:rFonts w:ascii="Calibri" w:hAnsi="Calibri"/>
          <w:b/>
          <w:color w:val="1E3A8A"/>
          <w:sz w:val="28"/>
        </w:rPr>
        <w:t>Nguồn Tham Khảo Học Thuật &amp; Thị Trường (Citations)</w:t>
      </w:r>
    </w:p>
    <w:p>
      <w:r>
        <w:t>1. World Bank Group &amp; CGAP (2017) — Alternative Data Assessing Credit Risk for Financial Inclusion.</w:t>
        <w:br/>
        <w:t>2. Óskarsdóttir et al. (2019) — The value of big data for credit scoring: Enhancing financial inclusion using mobile phone data (ScienceDirect / IEEE TKDE, DOI: 10.1016/j.eswa.2019.02.029).</w:t>
        <w:br/>
        <w:t>3. Zest AI Platform Architecture Documentation (2024) — LOS Native Integration &amp; AI Automated Underwriting Framework.</w:t>
        <w:br/>
        <w:t>4. Siddiqi, N. (2012) — Credit Risk Scorecards: Developing and Implementing Intelligent Credit Scoring.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