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Revision R2 — description of new data files</w:t>
      </w:r>
    </w:p>
    <w:p>
      <w:pPr>
        <w:spacing w:after="120"/>
      </w:pPr>
      <w:r>
        <w:t xml:space="preserve">This document describes every data file created or downloaded for revision R2, how it was constructed, and how do_10.6.do uses it. All files are in the folder revision_R2/data/ (repository hoanglong-nguyen/patent-instruments, branch claude/wizardly-babbage-73c5ft). Copy the CSV files into the folder set as $raw_data in do_10.6.do. Country codes are ISO 3166-1 alpha-2 (country_2d) and alpha-3 (country_3d); Namibia's alpha-2 code "NA" is text, not a missing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rPr>
          <w:tblHeader/>
        </w:trPr>
        <w:tc>
          <w:tcPr>
            <w:tcW w:type="dxa" w:w="2700"/>
            <w:shd w:fill="D9E2EC" w:color="auto" w:val="clear"/>
            <w:tcMar>
              <w:top w:type="dxa" w:w="40"/>
              <w:left w:type="dxa" w:w="80"/>
              <w:bottom w:type="dxa" w:w="40"/>
              <w:right w:type="dxa" w:w="80"/>
            </w:tcMar>
          </w:tcPr>
          <w:p>
            <w:r>
              <w:rPr>
                <w:b/>
                <w:bCs/>
                <w:sz w:val="17"/>
                <w:szCs w:val="17"/>
              </w:rPr>
              <w:t xml:space="preserve">File</w:t>
            </w:r>
          </w:p>
        </w:tc>
        <w:tc>
          <w:tcPr>
            <w:tcW w:type="dxa" w:w="3800"/>
            <w:shd w:fill="D9E2EC" w:color="auto" w:val="clear"/>
            <w:tcMar>
              <w:top w:type="dxa" w:w="40"/>
              <w:left w:type="dxa" w:w="80"/>
              <w:bottom w:type="dxa" w:w="40"/>
              <w:right w:type="dxa" w:w="80"/>
            </w:tcMar>
          </w:tcPr>
          <w:p>
            <w:r>
              <w:rPr>
                <w:b/>
                <w:bCs/>
                <w:sz w:val="17"/>
                <w:szCs w:val="17"/>
              </w:rPr>
              <w:t xml:space="preserve">Content</w:t>
            </w:r>
          </w:p>
        </w:tc>
        <w:tc>
          <w:tcPr>
            <w:tcW w:type="dxa" w:w="2860"/>
            <w:shd w:fill="D9E2EC" w:color="auto" w:val="clear"/>
            <w:tcMar>
              <w:top w:type="dxa" w:w="40"/>
              <w:left w:type="dxa" w:w="80"/>
              <w:bottom w:type="dxa" w:w="40"/>
              <w:right w:type="dxa" w:w="80"/>
            </w:tcMar>
          </w:tcPr>
          <w:p>
            <w:r>
              <w:rPr>
                <w:b/>
                <w:bCs/>
                <w:sz w:val="17"/>
                <w:szCs w:val="17"/>
              </w:rPr>
              <w:t xml:space="preserve">Used in do_10.6.do</w:t>
            </w:r>
          </w:p>
        </w:tc>
      </w:tr>
      <w:tr>
        <w:trPr>
          <w:tblHeader w:val="false"/>
        </w:trPr>
        <w:tc>
          <w:tcPr>
            <w:tcW w:type="dxa" w:w="2700"/>
            <w:tcMar>
              <w:top w:type="dxa" w:w="40"/>
              <w:left w:type="dxa" w:w="80"/>
              <w:bottom w:type="dxa" w:w="40"/>
              <w:right w:type="dxa" w:w="80"/>
            </w:tcMar>
          </w:tcPr>
          <w:p>
            <w:r>
              <w:rPr>
                <w:b w:val="false"/>
                <w:bCs w:val="false"/>
                <w:sz w:val="17"/>
                <w:szCs w:val="17"/>
              </w:rPr>
              <w:t xml:space="preserve">wipo_shiftshare_instrument.csv</w:t>
            </w:r>
          </w:p>
        </w:tc>
        <w:tc>
          <w:tcPr>
            <w:tcW w:type="dxa" w:w="3800"/>
            <w:tcMar>
              <w:top w:type="dxa" w:w="40"/>
              <w:left w:type="dxa" w:w="80"/>
              <w:bottom w:type="dxa" w:w="40"/>
              <w:right w:type="dxa" w:w="80"/>
            </w:tcMar>
          </w:tcPr>
          <w:p>
            <w:r>
              <w:rPr>
                <w:b w:val="false"/>
                <w:bCs w:val="false"/>
                <w:sz w:val="17"/>
                <w:szCs w:val="17"/>
              </w:rPr>
              <w:t xml:space="preserve">Shift-share instrument for patenting, 43 countries × 2000–2023</w:t>
            </w:r>
          </w:p>
        </w:tc>
        <w:tc>
          <w:tcPr>
            <w:tcW w:type="dxa" w:w="2860"/>
            <w:tcMar>
              <w:top w:type="dxa" w:w="40"/>
              <w:left w:type="dxa" w:w="80"/>
              <w:bottom w:type="dxa" w:w="40"/>
              <w:right w:type="dxa" w:w="80"/>
            </w:tcMar>
          </w:tcPr>
          <w:p>
            <w:r>
              <w:rPr>
                <w:b w:val="false"/>
                <w:bCs w:val="false"/>
                <w:sz w:val="17"/>
                <w:szCs w:val="17"/>
              </w:rPr>
              <w:t xml:space="preserve">Block [R2-4] Shift-share instrument; Sections R2.1 and R2.8</w:t>
            </w:r>
          </w:p>
        </w:tc>
      </w:tr>
      <w:tr>
        <w:trPr>
          <w:tblHeader w:val="false"/>
        </w:trPr>
        <w:tc>
          <w:tcPr>
            <w:tcW w:type="dxa" w:w="2700"/>
            <w:tcMar>
              <w:top w:type="dxa" w:w="40"/>
              <w:left w:type="dxa" w:w="80"/>
              <w:bottom w:type="dxa" w:w="40"/>
              <w:right w:type="dxa" w:w="80"/>
            </w:tcMar>
          </w:tcPr>
          <w:p>
            <w:r>
              <w:rPr>
                <w:b w:val="false"/>
                <w:bCs w:val="false"/>
                <w:sz w:val="17"/>
                <w:szCs w:val="17"/>
              </w:rPr>
              <w:t xml:space="preserve">wipo_shiftshare_shares.csv</w:t>
            </w:r>
          </w:p>
        </w:tc>
        <w:tc>
          <w:tcPr>
            <w:tcW w:type="dxa" w:w="3800"/>
            <w:tcMar>
              <w:top w:type="dxa" w:w="40"/>
              <w:left w:type="dxa" w:w="80"/>
              <w:bottom w:type="dxa" w:w="40"/>
              <w:right w:type="dxa" w:w="80"/>
            </w:tcMar>
          </w:tcPr>
          <w:p>
            <w:r>
              <w:rPr>
                <w:b w:val="false"/>
                <w:bCs w:val="false"/>
                <w:sz w:val="17"/>
                <w:szCs w:val="17"/>
              </w:rPr>
              <w:t xml:space="preserve">The 1990–1999 shares behind the instrument (one row per origin × source country)</w:t>
            </w:r>
          </w:p>
        </w:tc>
        <w:tc>
          <w:tcPr>
            <w:tcW w:type="dxa" w:w="2860"/>
            <w:tcMar>
              <w:top w:type="dxa" w:w="40"/>
              <w:left w:type="dxa" w:w="80"/>
              <w:bottom w:type="dxa" w:w="40"/>
              <w:right w:type="dxa" w:w="80"/>
            </w:tcMar>
          </w:tcPr>
          <w:p>
            <w:r>
              <w:rPr>
                <w:b w:val="false"/>
                <w:bCs w:val="false"/>
                <w:sz w:val="17"/>
                <w:szCs w:val="17"/>
              </w:rPr>
              <w:t xml:space="preserve">Not read; documentation of the instrument</w:t>
            </w:r>
          </w:p>
        </w:tc>
      </w:tr>
      <w:tr>
        <w:trPr>
          <w:tblHeader w:val="false"/>
        </w:trPr>
        <w:tc>
          <w:tcPr>
            <w:tcW w:type="dxa" w:w="2700"/>
            <w:tcMar>
              <w:top w:type="dxa" w:w="40"/>
              <w:left w:type="dxa" w:w="80"/>
              <w:bottom w:type="dxa" w:w="40"/>
              <w:right w:type="dxa" w:w="80"/>
            </w:tcMar>
          </w:tcPr>
          <w:p>
            <w:r>
              <w:rPr>
                <w:b w:val="false"/>
                <w:bCs w:val="false"/>
                <w:sz w:val="17"/>
                <w:szCs w:val="17"/>
              </w:rPr>
              <w:t xml:space="preserve">wipo_patent_by_origin.csv</w:t>
            </w:r>
          </w:p>
        </w:tc>
        <w:tc>
          <w:tcPr>
            <w:tcW w:type="dxa" w:w="3800"/>
            <w:tcMar>
              <w:top w:type="dxa" w:w="40"/>
              <w:left w:type="dxa" w:w="80"/>
              <w:bottom w:type="dxa" w:w="40"/>
              <w:right w:type="dxa" w:w="80"/>
            </w:tcMar>
          </w:tcPr>
          <w:p>
            <w:r>
              <w:rPr>
                <w:b w:val="false"/>
                <w:bCs w:val="false"/>
                <w:sz w:val="17"/>
                <w:szCs w:val="17"/>
              </w:rPr>
              <w:t xml:space="preserve">Annual patent applications by applicant origin: filed abroad and total, 43 countries × 2000–2023</w:t>
            </w:r>
          </w:p>
        </w:tc>
        <w:tc>
          <w:tcPr>
            <w:tcW w:type="dxa" w:w="2860"/>
            <w:tcMar>
              <w:top w:type="dxa" w:w="40"/>
              <w:left w:type="dxa" w:w="80"/>
              <w:bottom w:type="dxa" w:w="40"/>
              <w:right w:type="dxa" w:w="80"/>
            </w:tcMar>
          </w:tcPr>
          <w:p>
            <w:r>
              <w:rPr>
                <w:b w:val="false"/>
                <w:bCs w:val="false"/>
                <w:sz w:val="17"/>
                <w:szCs w:val="17"/>
              </w:rPr>
              <w:t xml:space="preserve">Not read; cross-check of patent_raw.xlsx</w:t>
            </w:r>
          </w:p>
        </w:tc>
      </w:tr>
      <w:tr>
        <w:trPr>
          <w:tblHeader w:val="false"/>
        </w:trPr>
        <w:tc>
          <w:tcPr>
            <w:tcW w:type="dxa" w:w="2700"/>
            <w:tcMar>
              <w:top w:type="dxa" w:w="40"/>
              <w:left w:type="dxa" w:w="80"/>
              <w:bottom w:type="dxa" w:w="40"/>
              <w:right w:type="dxa" w:w="80"/>
            </w:tcMar>
          </w:tcPr>
          <w:p>
            <w:r>
              <w:rPr>
                <w:b w:val="false"/>
                <w:bCs w:val="false"/>
                <w:sz w:val="17"/>
                <w:szCs w:val="17"/>
              </w:rPr>
              <w:t xml:space="preserve">imf_ctot.csv</w:t>
            </w:r>
          </w:p>
        </w:tc>
        <w:tc>
          <w:tcPr>
            <w:tcW w:type="dxa" w:w="3800"/>
            <w:tcMar>
              <w:top w:type="dxa" w:w="40"/>
              <w:left w:type="dxa" w:w="80"/>
              <w:bottom w:type="dxa" w:w="40"/>
              <w:right w:type="dxa" w:w="80"/>
            </w:tcMar>
          </w:tcPr>
          <w:p>
            <w:r>
              <w:rPr>
                <w:b w:val="false"/>
                <w:bCs w:val="false"/>
                <w:sz w:val="17"/>
                <w:szCs w:val="17"/>
              </w:rPr>
              <w:t xml:space="preserve">IMF commodity price indices (export, net export), 180 economies × 1980–2023</w:t>
            </w:r>
          </w:p>
        </w:tc>
        <w:tc>
          <w:tcPr>
            <w:tcW w:type="dxa" w:w="2860"/>
            <w:tcMar>
              <w:top w:type="dxa" w:w="40"/>
              <w:left w:type="dxa" w:w="80"/>
              <w:bottom w:type="dxa" w:w="40"/>
              <w:right w:type="dxa" w:w="80"/>
            </w:tcMar>
          </w:tcPr>
          <w:p>
            <w:r>
              <w:rPr>
                <w:b w:val="false"/>
                <w:bCs w:val="false"/>
                <w:sz w:val="17"/>
                <w:szCs w:val="17"/>
              </w:rPr>
              <w:t xml:space="preserve">Block [cepi], only if clear.dta lacks cepi</w:t>
            </w:r>
          </w:p>
        </w:tc>
      </w:tr>
      <w:tr>
        <w:trPr>
          <w:tblHeader w:val="false"/>
        </w:trPr>
        <w:tc>
          <w:tcPr>
            <w:tcW w:type="dxa" w:w="2700"/>
            <w:tcMar>
              <w:top w:type="dxa" w:w="40"/>
              <w:left w:type="dxa" w:w="80"/>
              <w:bottom w:type="dxa" w:w="40"/>
              <w:right w:type="dxa" w:w="80"/>
            </w:tcMar>
          </w:tcPr>
          <w:p>
            <w:r>
              <w:rPr>
                <w:b w:val="false"/>
                <w:bCs w:val="false"/>
                <w:sz w:val="17"/>
                <w:szCs w:val="17"/>
              </w:rPr>
              <w:t xml:space="preserve">pwt110_cap_national_prices.csv</w:t>
            </w:r>
          </w:p>
        </w:tc>
        <w:tc>
          <w:tcPr>
            <w:tcW w:type="dxa" w:w="3800"/>
            <w:tcMar>
              <w:top w:type="dxa" w:w="40"/>
              <w:left w:type="dxa" w:w="80"/>
              <w:bottom w:type="dxa" w:w="40"/>
              <w:right w:type="dxa" w:w="80"/>
            </w:tcMar>
          </w:tcPr>
          <w:p>
            <w:r>
              <w:rPr>
                <w:b w:val="false"/>
                <w:bCs w:val="false"/>
                <w:sz w:val="17"/>
                <w:szCs w:val="17"/>
              </w:rPr>
              <w:t xml:space="preserve">Gross capital formation share of GDP at current national prices, PWT 11.0, 1990–2023</w:t>
            </w:r>
          </w:p>
        </w:tc>
        <w:tc>
          <w:tcPr>
            <w:tcW w:type="dxa" w:w="2860"/>
            <w:tcMar>
              <w:top w:type="dxa" w:w="40"/>
              <w:left w:type="dxa" w:w="80"/>
              <w:bottom w:type="dxa" w:w="40"/>
              <w:right w:type="dxa" w:w="80"/>
            </w:tcMar>
          </w:tcPr>
          <w:p>
            <w:r>
              <w:rPr>
                <w:b w:val="false"/>
                <w:bCs w:val="false"/>
                <w:sz w:val="17"/>
                <w:szCs w:val="17"/>
              </w:rPr>
              <w:t xml:space="preserve">Block [R2-17] CAP gap-fill (Ethiopia 2000–2010)</w:t>
            </w:r>
          </w:p>
        </w:tc>
      </w:tr>
      <w:tr>
        <w:trPr>
          <w:tblHeader w:val="false"/>
        </w:trPr>
        <w:tc>
          <w:tcPr>
            <w:tcW w:type="dxa" w:w="2700"/>
            <w:tcMar>
              <w:top w:type="dxa" w:w="40"/>
              <w:left w:type="dxa" w:w="80"/>
              <w:bottom w:type="dxa" w:w="40"/>
              <w:right w:type="dxa" w:w="80"/>
            </w:tcMar>
          </w:tcPr>
          <w:p>
            <w:r>
              <w:rPr>
                <w:b w:val="false"/>
                <w:bCs w:val="false"/>
                <w:sz w:val="17"/>
                <w:szCs w:val="17"/>
              </w:rPr>
              <w:t xml:space="preserve">analysis_replica.csv</w:t>
            </w:r>
          </w:p>
        </w:tc>
        <w:tc>
          <w:tcPr>
            <w:tcW w:type="dxa" w:w="3800"/>
            <w:tcMar>
              <w:top w:type="dxa" w:w="40"/>
              <w:left w:type="dxa" w:w="80"/>
              <w:bottom w:type="dxa" w:w="40"/>
              <w:right w:type="dxa" w:w="80"/>
            </w:tcMar>
          </w:tcPr>
          <w:p>
            <w:r>
              <w:rPr>
                <w:b w:val="false"/>
                <w:bCs w:val="false"/>
                <w:sz w:val="17"/>
                <w:szCs w:val="17"/>
              </w:rPr>
              <w:t xml:space="preserve">Python replication of analysis.dta (43 countries, 2000–2023)</w:t>
            </w:r>
          </w:p>
        </w:tc>
        <w:tc>
          <w:tcPr>
            <w:tcW w:type="dxa" w:w="2860"/>
            <w:tcMar>
              <w:top w:type="dxa" w:w="40"/>
              <w:left w:type="dxa" w:w="80"/>
              <w:bottom w:type="dxa" w:w="40"/>
              <w:right w:type="dxa" w:w="80"/>
            </w:tcMar>
          </w:tcPr>
          <w:p>
            <w:r>
              <w:rPr>
                <w:b w:val="false"/>
                <w:bCs w:val="false"/>
                <w:sz w:val="17"/>
                <w:szCs w:val="17"/>
              </w:rPr>
              <w:t xml:space="preserve">Not read; used for the numbers in the revision guidance</w:t>
            </w:r>
          </w:p>
        </w:tc>
      </w:tr>
      <w:tr>
        <w:trPr>
          <w:tblHeader w:val="false"/>
        </w:trPr>
        <w:tc>
          <w:tcPr>
            <w:tcW w:type="dxa" w:w="2700"/>
            <w:tcMar>
              <w:top w:type="dxa" w:w="40"/>
              <w:left w:type="dxa" w:w="80"/>
              <w:bottom w:type="dxa" w:w="40"/>
              <w:right w:type="dxa" w:w="80"/>
            </w:tcMar>
          </w:tcPr>
          <w:p>
            <w:r>
              <w:rPr>
                <w:b w:val="false"/>
                <w:bCs w:val="false"/>
                <w:sz w:val="17"/>
                <w:szCs w:val="17"/>
              </w:rPr>
              <w:t xml:space="preserve">analysis_3yr_replica.csv</w:t>
            </w:r>
          </w:p>
        </w:tc>
        <w:tc>
          <w:tcPr>
            <w:tcW w:type="dxa" w:w="3800"/>
            <w:tcMar>
              <w:top w:type="dxa" w:w="40"/>
              <w:left w:type="dxa" w:w="80"/>
              <w:bottom w:type="dxa" w:w="40"/>
              <w:right w:type="dxa" w:w="80"/>
            </w:tcMar>
          </w:tcPr>
          <w:p>
            <w:r>
              <w:rPr>
                <w:b w:val="false"/>
                <w:bCs w:val="false"/>
                <w:sz w:val="17"/>
                <w:szCs w:val="17"/>
              </w:rPr>
              <w:t xml:space="preserve">Non-overlapping 3-year averages of the replication panel</w:t>
            </w:r>
          </w:p>
        </w:tc>
        <w:tc>
          <w:tcPr>
            <w:tcW w:type="dxa" w:w="2860"/>
            <w:tcMar>
              <w:top w:type="dxa" w:w="40"/>
              <w:left w:type="dxa" w:w="80"/>
              <w:bottom w:type="dxa" w:w="40"/>
              <w:right w:type="dxa" w:w="80"/>
            </w:tcMar>
          </w:tcPr>
          <w:p>
            <w:r>
              <w:rPr>
                <w:b w:val="false"/>
                <w:bCs w:val="false"/>
                <w:sz w:val="17"/>
                <w:szCs w:val="17"/>
              </w:rPr>
              <w:t xml:space="preserve">Not read; Section R2.8 rebuilds it in Stata</w:t>
            </w:r>
          </w:p>
        </w:tc>
      </w:tr>
    </w:tbl>
    <w:p>
      <w:pPr>
        <w:pStyle w:val="Heading2"/>
        <w:spacing w:after="120" w:before="240"/>
      </w:pPr>
      <w:r>
        <w:t xml:space="preserve">1. Source data</w:t>
      </w:r>
    </w:p>
    <w:p>
      <w:pPr>
        <w:pStyle w:val="ListParagraph"/>
        <w:numPr>
          <w:ilvl w:val="0"/>
          <w:numId w:val="2"/>
        </w:numPr>
        <w:spacing w:after="60"/>
      </w:pPr>
      <w:r>
        <w:rPr>
          <w:b/>
          <w:bCs/>
        </w:rPr>
        <w:t xml:space="preserve">WIPO office × origin table</w:t>
      </w:r>
      <w:r>
        <w:t xml:space="preserve"> (wipo_patent_office_origin.csv, supplied by the researcher): WIPO IP Statistics Data Center, indicator 1 "Total patent applications (direct and PCT national phase entries)", by filing office and applicant origin, 1980–2023, data updated May 2026. Blank cells mean that the office did not report the count (or reported zero) for that year. Origin names were mapped to ISO codes with pycountry plus a manual table for WIPO names (e.g. "Republic of Korea" → KR, "Zaire" → CD); historical entities keep their own codes (Soviet Union SU, Czechoslovakia CS, German Democratic Republic DD, Yugoslavia YU). Rows with origin "Unknown" (7.6 percent of all applications, mostly at the US, Canadian and Japanese offices) are dropped.</w:t>
      </w:r>
    </w:p>
    <w:p>
      <w:pPr>
        <w:pStyle w:val="ListParagraph"/>
        <w:numPr>
          <w:ilvl w:val="0"/>
          <w:numId w:val="2"/>
        </w:numPr>
        <w:spacing w:after="60"/>
      </w:pPr>
      <w:r>
        <w:rPr>
          <w:b/>
          <w:bCs/>
        </w:rPr>
        <w:t xml:space="preserve">IMF Commodity Terms of Trade database</w:t>
      </w:r>
      <w:r>
        <w:t xml:space="preserve"> (dataflow IMF.RES:CTOT, version 5.0.1, updated 15 June 2026), downloaded on 11 October 2026 through the IMF SDMX 2.1 API. Query: https://api.imf.org/external/sdmx/2.1/data/IMF.RES,CTOT,5.0.1/.CEPI_CTOTX_GDP+CEPI_CTOTX_TX+CEMPI_CTOTXM_GDP.H_FW_IX+H_RW_IX.A (header Accept: application/vnd.sdmx.data+csv). Reference: Gruss and Kebhaj (2019); suggested citation: International Monetary Fund, Commodity Terms of Trade (CTOT), https://data.imf.org/en/datasets/IMF.RES:CTOT.</w:t>
      </w:r>
    </w:p>
    <w:p>
      <w:pPr>
        <w:pStyle w:val="ListParagraph"/>
        <w:numPr>
          <w:ilvl w:val="0"/>
          <w:numId w:val="2"/>
        </w:numPr>
        <w:spacing w:after="60"/>
      </w:pPr>
      <w:r>
        <w:rPr>
          <w:b/>
          <w:bCs/>
        </w:rPr>
        <w:t xml:space="preserve">Penn World Table 11.0</w:t>
      </w:r>
      <w:r>
        <w:t xml:space="preserve"> (Feenstra, Inklaar and Timmer, 2015; Groningen Growth and Development Centre, released 10 October 2025), DataverseNL, doi:10.34894/FABVLR. Files pwt110.dta and pwt110_na_data.dta downloaded on 11 October 2026 from https://dataverse.nl/api/access/datafile/554030 and /554024. Licence: CC BY 4.0.</w:t>
      </w:r>
    </w:p>
    <w:p>
      <w:pPr>
        <w:pStyle w:val="ListParagraph"/>
        <w:numPr>
          <w:ilvl w:val="0"/>
          <w:numId w:val="2"/>
        </w:numPr>
        <w:spacing w:after="60"/>
      </w:pPr>
      <w:r>
        <w:rPr>
          <w:b/>
          <w:bCs/>
        </w:rPr>
        <w:t xml:space="preserve">Researcher's files</w:t>
      </w:r>
      <w:r>
        <w:t xml:space="preserve"> (wdi.dta, pwt.dta, income.dta, gfn.dta) for the replication panel only.</w:t>
      </w:r>
    </w:p>
    <w:p>
      <w:pPr>
        <w:pStyle w:val="Heading2"/>
        <w:spacing w:after="120" w:before="240"/>
      </w:pPr>
      <w:r>
        <w:t xml:space="preserve">2. wipo_shiftshare_instrument.csv — construction</w:t>
      </w:r>
    </w:p>
    <w:p>
      <w:pPr>
        <w:spacing w:after="120"/>
      </w:pPr>
      <w:r>
        <w:t xml:space="preserve">The instrument predicts how much foreign patenting enters each country's patent offices, using pre-sample (1990–1999) exposure shares and later foreign patenting trends that the country does not determine. It follows the shift-share logic (Goldsmith-Pinkham et al., 2020; Borusyak et al., 2022).</w:t>
      </w:r>
    </w:p>
    <w:p>
      <w:pPr>
        <w:pStyle w:val="ListParagraph"/>
        <w:numPr>
          <w:ilvl w:val="0"/>
          <w:numId w:val="3"/>
        </w:numPr>
        <w:spacing w:after="60"/>
      </w:pPr>
      <w:r>
        <w:rPr>
          <w:b/>
          <w:bCs/>
        </w:rPr>
        <w:t xml:space="preserve">Offices acting for a country.</w:t>
      </w:r>
      <w:r>
        <w:t xml:space="preserve"> For each country c: its national office plus every regional office of which c is currently a member: OAPI (OA), ARIPO (AP), Eurasian Patent Organization (EA), GCC Patent Office (GC) and the European Patent Office (EP). Membership is current, not historical.</w:t>
      </w:r>
    </w:p>
    <w:p>
      <w:pPr>
        <w:pStyle w:val="ListParagraph"/>
        <w:numPr>
          <w:ilvl w:val="0"/>
          <w:numId w:val="3"/>
        </w:numPr>
        <w:spacing w:after="60"/>
      </w:pPr>
      <w:r>
        <w:rPr>
          <w:b/>
          <w:bCs/>
        </w:rPr>
        <w:t xml:space="preserve">Filings abroad.</w:t>
      </w:r>
      <w:r>
        <w:t xml:space="preserve"> A_c,t = applications by applicants from c at all offices not acting for c, in year t. This follows WIPO's resident/abroad distinction.</w:t>
      </w:r>
    </w:p>
    <w:p>
      <w:pPr>
        <w:pStyle w:val="ListParagraph"/>
        <w:numPr>
          <w:ilvl w:val="0"/>
          <w:numId w:val="3"/>
        </w:numPr>
        <w:spacing w:after="60"/>
      </w:pPr>
      <w:r>
        <w:rPr>
          <w:b/>
          <w:bCs/>
        </w:rPr>
        <w:t xml:space="preserve">Shares (1990–1999).</w:t>
      </w:r>
      <w:r>
        <w:t xml:space="preserve"> For origin o and source country d ≠ o: s_od = F_od / Σ_{t=1990..1999} A_d,t, where F_od is the number of 1990–1999 applications by applicants from d at offices acting for o, counting only filings that are abroad for d. A filing by one member state at a shared regional office is resident for that member and is excluded.</w:t>
      </w:r>
    </w:p>
    <w:p>
      <w:pPr>
        <w:pStyle w:val="ListParagraph"/>
        <w:numPr>
          <w:ilvl w:val="0"/>
          <w:numId w:val="3"/>
        </w:numPr>
        <w:spacing w:after="60"/>
      </w:pPr>
      <w:r>
        <w:rPr>
          <w:b/>
          <w:bCs/>
        </w:rPr>
        <w:t xml:space="preserve">Leave-out shift.</w:t>
      </w:r>
      <w:r>
        <w:t xml:space="preserve"> A^(−o)_d,t = A_d,t minus d's applications at offices acting for o in year t, so that the country's own market does not enter its shift.</w:t>
      </w:r>
    </w:p>
    <w:p>
      <w:pPr>
        <w:pStyle w:val="ListParagraph"/>
        <w:numPr>
          <w:ilvl w:val="0"/>
          <w:numId w:val="3"/>
        </w:numPr>
        <w:spacing w:after="60"/>
      </w:pPr>
      <w:r>
        <w:rPr>
          <w:b/>
          <w:bCs/>
        </w:rPr>
        <w:t xml:space="preserve">Instrument.</w:t>
      </w:r>
      <w:r>
        <w:t xml:space="preserve"> Z_o,t = Σ_d s_od × A^(−o)_d,t−ℓ for ℓ = 1 (z_lag1), ℓ = 5 (z_lag5) and the mean over ℓ = 1, …, 10 (z_mean_lag1_10, used in the revision). do_10.6.do uses lnz = ln(1 + z_mean_lag1_10) and lnz_inc = lnz × INC.</w:t>
      </w:r>
    </w:p>
    <w:p>
      <w:pPr>
        <w:spacing w:after="120"/>
      </w:pPr>
      <w: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EC" w:color="auto" w:val="clear"/>
            <w:tcMar>
              <w:top w:type="dxa" w:w="40"/>
              <w:left w:type="dxa" w:w="80"/>
              <w:bottom w:type="dxa" w:w="40"/>
              <w:right w:type="dxa" w:w="80"/>
            </w:tcMar>
          </w:tcPr>
          <w:p>
            <w:r>
              <w:rPr>
                <w:b/>
                <w:bCs/>
                <w:sz w:val="17"/>
                <w:szCs w:val="17"/>
              </w:rPr>
              <w:t xml:space="preserve">Variable</w:t>
            </w:r>
          </w:p>
        </w:tc>
        <w:tc>
          <w:tcPr>
            <w:tcW w:type="dxa" w:w="6360"/>
            <w:shd w:fill="D9E2EC" w:color="auto" w:val="clear"/>
            <w:tcMar>
              <w:top w:type="dxa" w:w="40"/>
              <w:left w:type="dxa" w:w="80"/>
              <w:bottom w:type="dxa" w:w="40"/>
              <w:right w:type="dxa" w:w="80"/>
            </w:tcMar>
          </w:tcPr>
          <w:p>
            <w:r>
              <w:rPr>
                <w:b/>
                <w:bCs/>
                <w:sz w:val="17"/>
                <w:szCs w:val="17"/>
              </w:rPr>
              <w:t xml:space="preserve">Definition</w:t>
            </w:r>
          </w:p>
        </w:tc>
      </w:tr>
      <w:tr>
        <w:trPr>
          <w:tblHeader w:val="false"/>
        </w:trPr>
        <w:tc>
          <w:tcPr>
            <w:tcW w:type="dxa" w:w="3000"/>
            <w:tcMar>
              <w:top w:type="dxa" w:w="40"/>
              <w:left w:type="dxa" w:w="80"/>
              <w:bottom w:type="dxa" w:w="40"/>
              <w:right w:type="dxa" w:w="80"/>
            </w:tcMar>
          </w:tcPr>
          <w:p>
            <w:r>
              <w:rPr>
                <w:b w:val="false"/>
                <w:bCs w:val="false"/>
                <w:sz w:val="17"/>
                <w:szCs w:val="17"/>
              </w:rPr>
              <w:t xml:space="preserve">country_2d, country_3d, year</w:t>
            </w:r>
          </w:p>
        </w:tc>
        <w:tc>
          <w:tcPr>
            <w:tcW w:type="dxa" w:w="6360"/>
            <w:tcMar>
              <w:top w:type="dxa" w:w="40"/>
              <w:left w:type="dxa" w:w="80"/>
              <w:bottom w:type="dxa" w:w="40"/>
              <w:right w:type="dxa" w:w="80"/>
            </w:tcMar>
          </w:tcPr>
          <w:p>
            <w:r>
              <w:rPr>
                <w:b w:val="false"/>
                <w:bCs w:val="false"/>
                <w:sz w:val="17"/>
                <w:szCs w:val="17"/>
              </w:rPr>
              <w:t xml:space="preserve">Country codes; year 2000–2023</w:t>
            </w:r>
          </w:p>
        </w:tc>
      </w:tr>
      <w:tr>
        <w:trPr>
          <w:tblHeader w:val="false"/>
        </w:trPr>
        <w:tc>
          <w:tcPr>
            <w:tcW w:type="dxa" w:w="3000"/>
            <w:tcMar>
              <w:top w:type="dxa" w:w="40"/>
              <w:left w:type="dxa" w:w="80"/>
              <w:bottom w:type="dxa" w:w="40"/>
              <w:right w:type="dxa" w:w="80"/>
            </w:tcMar>
          </w:tcPr>
          <w:p>
            <w:r>
              <w:rPr>
                <w:b w:val="false"/>
                <w:bCs w:val="false"/>
                <w:sz w:val="17"/>
                <w:szCs w:val="17"/>
              </w:rPr>
              <w:t xml:space="preserve">z_lag1, z_lag5</w:t>
            </w:r>
          </w:p>
        </w:tc>
        <w:tc>
          <w:tcPr>
            <w:tcW w:type="dxa" w:w="6360"/>
            <w:tcMar>
              <w:top w:type="dxa" w:w="40"/>
              <w:left w:type="dxa" w:w="80"/>
              <w:bottom w:type="dxa" w:w="40"/>
              <w:right w:type="dxa" w:w="80"/>
            </w:tcMar>
          </w:tcPr>
          <w:p>
            <w:r>
              <w:rPr>
                <w:b w:val="false"/>
                <w:bCs w:val="false"/>
                <w:sz w:val="17"/>
                <w:szCs w:val="17"/>
              </w:rPr>
              <w:t xml:space="preserve">Instrument with a 1-year or 5-year lag of the shift</w:t>
            </w:r>
          </w:p>
        </w:tc>
      </w:tr>
      <w:tr>
        <w:trPr>
          <w:tblHeader w:val="false"/>
        </w:trPr>
        <w:tc>
          <w:tcPr>
            <w:tcW w:type="dxa" w:w="3000"/>
            <w:tcMar>
              <w:top w:type="dxa" w:w="40"/>
              <w:left w:type="dxa" w:w="80"/>
              <w:bottom w:type="dxa" w:w="40"/>
              <w:right w:type="dxa" w:w="80"/>
            </w:tcMar>
          </w:tcPr>
          <w:p>
            <w:r>
              <w:rPr>
                <w:b w:val="false"/>
                <w:bCs w:val="false"/>
                <w:sz w:val="17"/>
                <w:szCs w:val="17"/>
              </w:rPr>
              <w:t xml:space="preserve">z_mean_lag1_10</w:t>
            </w:r>
          </w:p>
        </w:tc>
        <w:tc>
          <w:tcPr>
            <w:tcW w:type="dxa" w:w="6360"/>
            <w:tcMar>
              <w:top w:type="dxa" w:w="40"/>
              <w:left w:type="dxa" w:w="80"/>
              <w:bottom w:type="dxa" w:w="40"/>
              <w:right w:type="dxa" w:w="80"/>
            </w:tcMar>
          </w:tcPr>
          <w:p>
            <w:r>
              <w:rPr>
                <w:b w:val="false"/>
                <w:bCs w:val="false"/>
                <w:sz w:val="17"/>
                <w:szCs w:val="17"/>
              </w:rPr>
              <w:t xml:space="preserve">Instrument, mean over lags 1–10 (main version)</w:t>
            </w:r>
          </w:p>
        </w:tc>
      </w:tr>
      <w:tr>
        <w:trPr>
          <w:tblHeader w:val="false"/>
        </w:trPr>
        <w:tc>
          <w:tcPr>
            <w:tcW w:type="dxa" w:w="3000"/>
            <w:tcMar>
              <w:top w:type="dxa" w:w="40"/>
              <w:left w:type="dxa" w:w="80"/>
              <w:bottom w:type="dxa" w:w="40"/>
              <w:right w:type="dxa" w:w="80"/>
            </w:tcMar>
          </w:tcPr>
          <w:p>
            <w:r>
              <w:rPr>
                <w:b w:val="false"/>
                <w:bCs w:val="false"/>
                <w:sz w:val="17"/>
                <w:szCs w:val="17"/>
              </w:rPr>
              <w:t xml:space="preserve">inflow_90_99</w:t>
            </w:r>
          </w:p>
        </w:tc>
        <w:tc>
          <w:tcPr>
            <w:tcW w:type="dxa" w:w="6360"/>
            <w:tcMar>
              <w:top w:type="dxa" w:w="40"/>
              <w:left w:type="dxa" w:w="80"/>
              <w:bottom w:type="dxa" w:w="40"/>
              <w:right w:type="dxa" w:w="80"/>
            </w:tcMar>
          </w:tcPr>
          <w:p>
            <w:r>
              <w:rPr>
                <w:b w:val="false"/>
                <w:bCs w:val="false"/>
                <w:sz w:val="17"/>
                <w:szCs w:val="17"/>
              </w:rPr>
              <w:t xml:space="preserve">Total 1990–1999 foreign filings into the country's offices (base of the shares)</w:t>
            </w:r>
          </w:p>
        </w:tc>
      </w:tr>
      <w:tr>
        <w:trPr>
          <w:tblHeader w:val="false"/>
        </w:trPr>
        <w:tc>
          <w:tcPr>
            <w:tcW w:type="dxa" w:w="3000"/>
            <w:tcMar>
              <w:top w:type="dxa" w:w="40"/>
              <w:left w:type="dxa" w:w="80"/>
              <w:bottom w:type="dxa" w:w="40"/>
              <w:right w:type="dxa" w:w="80"/>
            </w:tcMar>
          </w:tcPr>
          <w:p>
            <w:r>
              <w:rPr>
                <w:b w:val="false"/>
                <w:bCs w:val="false"/>
                <w:sz w:val="17"/>
                <w:szCs w:val="17"/>
              </w:rPr>
              <w:t xml:space="preserve">n_source_countries</w:t>
            </w:r>
          </w:p>
        </w:tc>
        <w:tc>
          <w:tcPr>
            <w:tcW w:type="dxa" w:w="6360"/>
            <w:tcMar>
              <w:top w:type="dxa" w:w="40"/>
              <w:left w:type="dxa" w:w="80"/>
              <w:bottom w:type="dxa" w:w="40"/>
              <w:right w:type="dxa" w:w="80"/>
            </w:tcMar>
          </w:tcPr>
          <w:p>
            <w:r>
              <w:rPr>
                <w:b w:val="false"/>
                <w:bCs w:val="false"/>
                <w:sz w:val="17"/>
                <w:szCs w:val="17"/>
              </w:rPr>
              <w:t xml:space="preserve">Number of source countries with a positive share</w:t>
            </w:r>
          </w:p>
        </w:tc>
      </w:tr>
      <w:tr>
        <w:trPr>
          <w:tblHeader w:val="false"/>
        </w:trPr>
        <w:tc>
          <w:tcPr>
            <w:tcW w:type="dxa" w:w="3000"/>
            <w:tcMar>
              <w:top w:type="dxa" w:w="40"/>
              <w:left w:type="dxa" w:w="80"/>
              <w:bottom w:type="dxa" w:w="40"/>
              <w:right w:type="dxa" w:w="80"/>
            </w:tcMar>
          </w:tcPr>
          <w:p>
            <w:r>
              <w:rPr>
                <w:b w:val="false"/>
                <w:bCs w:val="false"/>
                <w:sz w:val="17"/>
                <w:szCs w:val="17"/>
              </w:rPr>
              <w:t xml:space="preserve">office_years_reported_90_99</w:t>
            </w:r>
          </w:p>
        </w:tc>
        <w:tc>
          <w:tcPr>
            <w:tcW w:type="dxa" w:w="6360"/>
            <w:tcMar>
              <w:top w:type="dxa" w:w="40"/>
              <w:left w:type="dxa" w:w="80"/>
              <w:bottom w:type="dxa" w:w="40"/>
              <w:right w:type="dxa" w:w="80"/>
            </w:tcMar>
          </w:tcPr>
          <w:p>
            <w:r>
              <w:rPr>
                <w:b w:val="false"/>
                <w:bCs w:val="false"/>
                <w:sz w:val="17"/>
                <w:szCs w:val="17"/>
              </w:rPr>
              <w:t xml:space="preserve">Number of years 1990–1999 in which at least one office acting for the country reported data</w:t>
            </w:r>
          </w:p>
        </w:tc>
      </w:tr>
      <w:tr>
        <w:trPr>
          <w:tblHeader w:val="false"/>
        </w:trPr>
        <w:tc>
          <w:tcPr>
            <w:tcW w:type="dxa" w:w="3000"/>
            <w:tcMar>
              <w:top w:type="dxa" w:w="40"/>
              <w:left w:type="dxa" w:w="80"/>
              <w:bottom w:type="dxa" w:w="40"/>
              <w:right w:type="dxa" w:w="80"/>
            </w:tcMar>
          </w:tcPr>
          <w:p>
            <w:r>
              <w:rPr>
                <w:b w:val="false"/>
                <w:bCs w:val="false"/>
                <w:sz w:val="17"/>
                <w:szCs w:val="17"/>
              </w:rPr>
              <w:t xml:space="preserve">regional_office</w:t>
            </w:r>
          </w:p>
        </w:tc>
        <w:tc>
          <w:tcPr>
            <w:tcW w:type="dxa" w:w="6360"/>
            <w:tcMar>
              <w:top w:type="dxa" w:w="40"/>
              <w:left w:type="dxa" w:w="80"/>
              <w:bottom w:type="dxa" w:w="40"/>
              <w:right w:type="dxa" w:w="80"/>
            </w:tcMar>
          </w:tcPr>
          <w:p>
            <w:r>
              <w:rPr>
                <w:b w:val="false"/>
                <w:bCs w:val="false"/>
                <w:sz w:val="17"/>
                <w:szCs w:val="17"/>
              </w:rPr>
              <w:t xml:space="preserve">Regional offices counted as acting for the country</w:t>
            </w:r>
          </w:p>
        </w:tc>
      </w:tr>
    </w:tbl>
    <w:p>
      <w:pPr>
        <w:spacing w:after="120"/>
      </w:pPr>
      <w:r>
        <w:t xml:space="preserve">Known limits (disclose in Appendix D1):</w:t>
      </w:r>
    </w:p>
    <w:p>
      <w:pPr>
        <w:pStyle w:val="ListParagraph"/>
        <w:numPr>
          <w:ilvl w:val="0"/>
          <w:numId w:val="2"/>
        </w:numPr>
        <w:spacing w:after="60"/>
      </w:pPr>
      <w:r>
        <w:t xml:space="preserve">No instrument (empty) for DR Congo, Cambodia and the Philippines: their offices reported no foreign filings by origin in 1990–1999.</w:t>
      </w:r>
    </w:p>
    <w:p>
      <w:pPr>
        <w:pStyle w:val="ListParagraph"/>
        <w:numPr>
          <w:ilvl w:val="0"/>
          <w:numId w:val="2"/>
        </w:numPr>
        <w:spacing w:after="60"/>
      </w:pPr>
      <w:r>
        <w:t xml:space="preserve">The ten OAPI members in the sample share one office and therefore have identical shares; the ARIPO members largely share one office as well. Their instruments are close to identical.</w:t>
      </w:r>
    </w:p>
    <w:p>
      <w:pPr>
        <w:pStyle w:val="ListParagraph"/>
        <w:numPr>
          <w:ilvl w:val="0"/>
          <w:numId w:val="2"/>
        </w:numPr>
        <w:spacing w:after="60"/>
      </w:pPr>
      <w:r>
        <w:t xml:space="preserve">Thin share bases (fewer than 100 foreign filings in 1990–1999): Madagascar, Nepal, Ethiopia, Mauritius, Mongolia and Iraq.</w:t>
      </w:r>
    </w:p>
    <w:p>
      <w:pPr>
        <w:pStyle w:val="ListParagraph"/>
        <w:numPr>
          <w:ilvl w:val="0"/>
          <w:numId w:val="2"/>
        </w:numPr>
        <w:spacing w:after="60"/>
      </w:pPr>
      <w:r>
        <w:t xml:space="preserve">The EPO breakdown by origin starts in 1991, so 1990 European filings at the EPO are missing from the 1990 shift.</w:t>
      </w:r>
    </w:p>
    <w:p>
      <w:pPr>
        <w:pStyle w:val="ListParagraph"/>
        <w:numPr>
          <w:ilvl w:val="0"/>
          <w:numId w:val="2"/>
        </w:numPr>
        <w:spacing w:after="60"/>
      </w:pPr>
      <w:r>
        <w:t xml:space="preserve">In the manuscript's sample the instrument is weak for the total patent stock (Appendix D1 of the guidance), which is why the revision treats patent coefficients as conditional associations.</w:t>
      </w:r>
    </w:p>
    <w:p>
      <w:pPr>
        <w:pStyle w:val="Heading2"/>
        <w:spacing w:after="120" w:before="240"/>
      </w:pPr>
      <w:r>
        <w:t xml:space="preserve">3. wipo_shiftshare_shares.csv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EC" w:color="auto" w:val="clear"/>
            <w:tcMar>
              <w:top w:type="dxa" w:w="40"/>
              <w:left w:type="dxa" w:w="80"/>
              <w:bottom w:type="dxa" w:w="40"/>
              <w:right w:type="dxa" w:w="80"/>
            </w:tcMar>
          </w:tcPr>
          <w:p>
            <w:r>
              <w:rPr>
                <w:b/>
                <w:bCs/>
                <w:sz w:val="17"/>
                <w:szCs w:val="17"/>
              </w:rPr>
              <w:t xml:space="preserve">Variable</w:t>
            </w:r>
          </w:p>
        </w:tc>
        <w:tc>
          <w:tcPr>
            <w:tcW w:type="dxa" w:w="6360"/>
            <w:shd w:fill="D9E2EC" w:color="auto" w:val="clear"/>
            <w:tcMar>
              <w:top w:type="dxa" w:w="40"/>
              <w:left w:type="dxa" w:w="80"/>
              <w:bottom w:type="dxa" w:w="40"/>
              <w:right w:type="dxa" w:w="80"/>
            </w:tcMar>
          </w:tcPr>
          <w:p>
            <w:r>
              <w:rPr>
                <w:b/>
                <w:bCs/>
                <w:sz w:val="17"/>
                <w:szCs w:val="17"/>
              </w:rPr>
              <w:t xml:space="preserve">Definition</w:t>
            </w:r>
          </w:p>
        </w:tc>
      </w:tr>
      <w:tr>
        <w:trPr>
          <w:tblHeader w:val="false"/>
        </w:trPr>
        <w:tc>
          <w:tcPr>
            <w:tcW w:type="dxa" w:w="3000"/>
            <w:tcMar>
              <w:top w:type="dxa" w:w="40"/>
              <w:left w:type="dxa" w:w="80"/>
              <w:bottom w:type="dxa" w:w="40"/>
              <w:right w:type="dxa" w:w="80"/>
            </w:tcMar>
          </w:tcPr>
          <w:p>
            <w:r>
              <w:rPr>
                <w:b w:val="false"/>
                <w:bCs w:val="false"/>
                <w:sz w:val="17"/>
                <w:szCs w:val="17"/>
              </w:rPr>
              <w:t xml:space="preserve">origin</w:t>
            </w:r>
          </w:p>
        </w:tc>
        <w:tc>
          <w:tcPr>
            <w:tcW w:type="dxa" w:w="6360"/>
            <w:tcMar>
              <w:top w:type="dxa" w:w="40"/>
              <w:left w:type="dxa" w:w="80"/>
              <w:bottom w:type="dxa" w:w="40"/>
              <w:right w:type="dxa" w:w="80"/>
            </w:tcMar>
          </w:tcPr>
          <w:p>
            <w:r>
              <w:rPr>
                <w:b w:val="false"/>
                <w:bCs w:val="false"/>
                <w:sz w:val="17"/>
                <w:szCs w:val="17"/>
              </w:rPr>
              <w:t xml:space="preserve">Country whose instrument is built (ISO alpha-2)</w:t>
            </w:r>
          </w:p>
        </w:tc>
      </w:tr>
      <w:tr>
        <w:trPr>
          <w:tblHeader w:val="false"/>
        </w:trPr>
        <w:tc>
          <w:tcPr>
            <w:tcW w:type="dxa" w:w="3000"/>
            <w:tcMar>
              <w:top w:type="dxa" w:w="40"/>
              <w:left w:type="dxa" w:w="80"/>
              <w:bottom w:type="dxa" w:w="40"/>
              <w:right w:type="dxa" w:w="80"/>
            </w:tcMar>
          </w:tcPr>
          <w:p>
            <w:r>
              <w:rPr>
                <w:b w:val="false"/>
                <w:bCs w:val="false"/>
                <w:sz w:val="17"/>
                <w:szCs w:val="17"/>
              </w:rPr>
              <w:t xml:space="preserve">dest</w:t>
            </w:r>
          </w:p>
        </w:tc>
        <w:tc>
          <w:tcPr>
            <w:tcW w:type="dxa" w:w="6360"/>
            <w:tcMar>
              <w:top w:type="dxa" w:w="40"/>
              <w:left w:type="dxa" w:w="80"/>
              <w:bottom w:type="dxa" w:w="40"/>
              <w:right w:type="dxa" w:w="80"/>
            </w:tcMar>
          </w:tcPr>
          <w:p>
            <w:r>
              <w:rPr>
                <w:b w:val="false"/>
                <w:bCs w:val="false"/>
                <w:sz w:val="17"/>
                <w:szCs w:val="17"/>
              </w:rPr>
              <w:t xml:space="preserve">Source country of the foreign filings (ISO alpha-2; historical codes SU, CS, DD, YU possible)</w:t>
            </w:r>
          </w:p>
        </w:tc>
      </w:tr>
      <w:tr>
        <w:trPr>
          <w:tblHeader w:val="false"/>
        </w:trPr>
        <w:tc>
          <w:tcPr>
            <w:tcW w:type="dxa" w:w="3000"/>
            <w:tcMar>
              <w:top w:type="dxa" w:w="40"/>
              <w:left w:type="dxa" w:w="80"/>
              <w:bottom w:type="dxa" w:w="40"/>
              <w:right w:type="dxa" w:w="80"/>
            </w:tcMar>
          </w:tcPr>
          <w:p>
            <w:r>
              <w:rPr>
                <w:b w:val="false"/>
                <w:bCs w:val="false"/>
                <w:sz w:val="17"/>
                <w:szCs w:val="17"/>
              </w:rPr>
              <w:t xml:space="preserve">inflow_90_99</w:t>
            </w:r>
          </w:p>
        </w:tc>
        <w:tc>
          <w:tcPr>
            <w:tcW w:type="dxa" w:w="6360"/>
            <w:tcMar>
              <w:top w:type="dxa" w:w="40"/>
              <w:left w:type="dxa" w:w="80"/>
              <w:bottom w:type="dxa" w:w="40"/>
              <w:right w:type="dxa" w:w="80"/>
            </w:tcMar>
          </w:tcPr>
          <w:p>
            <w:r>
              <w:rPr>
                <w:b w:val="false"/>
                <w:bCs w:val="false"/>
                <w:sz w:val="17"/>
                <w:szCs w:val="17"/>
              </w:rPr>
              <w:t xml:space="preserve">F_od: 1990–1999 filings by applicants from dest at offices acting for origin</w:t>
            </w:r>
          </w:p>
        </w:tc>
      </w:tr>
      <w:tr>
        <w:trPr>
          <w:tblHeader w:val="false"/>
        </w:trPr>
        <w:tc>
          <w:tcPr>
            <w:tcW w:type="dxa" w:w="3000"/>
            <w:tcMar>
              <w:top w:type="dxa" w:w="40"/>
              <w:left w:type="dxa" w:w="80"/>
              <w:bottom w:type="dxa" w:w="40"/>
              <w:right w:type="dxa" w:w="80"/>
            </w:tcMar>
          </w:tcPr>
          <w:p>
            <w:r>
              <w:rPr>
                <w:b w:val="false"/>
                <w:bCs w:val="false"/>
                <w:sz w:val="17"/>
                <w:szCs w:val="17"/>
              </w:rPr>
              <w:t xml:space="preserve">dest_abroad_90_99</w:t>
            </w:r>
          </w:p>
        </w:tc>
        <w:tc>
          <w:tcPr>
            <w:tcW w:type="dxa" w:w="6360"/>
            <w:tcMar>
              <w:top w:type="dxa" w:w="40"/>
              <w:left w:type="dxa" w:w="80"/>
              <w:bottom w:type="dxa" w:w="40"/>
              <w:right w:type="dxa" w:w="80"/>
            </w:tcMar>
          </w:tcPr>
          <w:p>
            <w:r>
              <w:rPr>
                <w:b w:val="false"/>
                <w:bCs w:val="false"/>
                <w:sz w:val="17"/>
                <w:szCs w:val="17"/>
              </w:rPr>
              <w:t xml:space="preserve">Σ A_dest,t over 1990–1999: all filings abroad by applicants from dest</w:t>
            </w:r>
          </w:p>
        </w:tc>
      </w:tr>
      <w:tr>
        <w:trPr>
          <w:tblHeader w:val="false"/>
        </w:trPr>
        <w:tc>
          <w:tcPr>
            <w:tcW w:type="dxa" w:w="3000"/>
            <w:tcMar>
              <w:top w:type="dxa" w:w="40"/>
              <w:left w:type="dxa" w:w="80"/>
              <w:bottom w:type="dxa" w:w="40"/>
              <w:right w:type="dxa" w:w="80"/>
            </w:tcMar>
          </w:tcPr>
          <w:p>
            <w:r>
              <w:rPr>
                <w:b w:val="false"/>
                <w:bCs w:val="false"/>
                <w:sz w:val="17"/>
                <w:szCs w:val="17"/>
              </w:rPr>
              <w:t xml:space="preserve">share</w:t>
            </w:r>
          </w:p>
        </w:tc>
        <w:tc>
          <w:tcPr>
            <w:tcW w:type="dxa" w:w="6360"/>
            <w:tcMar>
              <w:top w:type="dxa" w:w="40"/>
              <w:left w:type="dxa" w:w="80"/>
              <w:bottom w:type="dxa" w:w="40"/>
              <w:right w:type="dxa" w:w="80"/>
            </w:tcMar>
          </w:tcPr>
          <w:p>
            <w:r>
              <w:rPr>
                <w:b w:val="false"/>
                <w:bCs w:val="false"/>
                <w:sz w:val="17"/>
                <w:szCs w:val="17"/>
              </w:rPr>
              <w:t xml:space="preserve">s_od = inflow_90_99 / dest_abroad_90_99</w:t>
            </w:r>
          </w:p>
        </w:tc>
      </w:tr>
    </w:tbl>
    <w:p>
      <w:pPr>
        <w:pStyle w:val="Heading2"/>
        <w:spacing w:after="120" w:before="240"/>
      </w:pPr>
      <w:r>
        <w:t xml:space="preserve">4. wipo_patent_by_origin.csv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EC" w:color="auto" w:val="clear"/>
            <w:tcMar>
              <w:top w:type="dxa" w:w="40"/>
              <w:left w:type="dxa" w:w="80"/>
              <w:bottom w:type="dxa" w:w="40"/>
              <w:right w:type="dxa" w:w="80"/>
            </w:tcMar>
          </w:tcPr>
          <w:p>
            <w:r>
              <w:rPr>
                <w:b/>
                <w:bCs/>
                <w:sz w:val="17"/>
                <w:szCs w:val="17"/>
              </w:rPr>
              <w:t xml:space="preserve">Variable</w:t>
            </w:r>
          </w:p>
        </w:tc>
        <w:tc>
          <w:tcPr>
            <w:tcW w:type="dxa" w:w="6360"/>
            <w:shd w:fill="D9E2EC" w:color="auto" w:val="clear"/>
            <w:tcMar>
              <w:top w:type="dxa" w:w="40"/>
              <w:left w:type="dxa" w:w="80"/>
              <w:bottom w:type="dxa" w:w="40"/>
              <w:right w:type="dxa" w:w="80"/>
            </w:tcMar>
          </w:tcPr>
          <w:p>
            <w:r>
              <w:rPr>
                <w:b/>
                <w:bCs/>
                <w:sz w:val="17"/>
                <w:szCs w:val="17"/>
              </w:rPr>
              <w:t xml:space="preserve">Definition</w:t>
            </w:r>
          </w:p>
        </w:tc>
      </w:tr>
      <w:tr>
        <w:trPr>
          <w:tblHeader w:val="false"/>
        </w:trPr>
        <w:tc>
          <w:tcPr>
            <w:tcW w:type="dxa" w:w="3000"/>
            <w:tcMar>
              <w:top w:type="dxa" w:w="40"/>
              <w:left w:type="dxa" w:w="80"/>
              <w:bottom w:type="dxa" w:w="40"/>
              <w:right w:type="dxa" w:w="80"/>
            </w:tcMar>
          </w:tcPr>
          <w:p>
            <w:r>
              <w:rPr>
                <w:b w:val="false"/>
                <w:bCs w:val="false"/>
                <w:sz w:val="17"/>
                <w:szCs w:val="17"/>
              </w:rPr>
              <w:t xml:space="preserve">pat_abroad</w:t>
            </w:r>
          </w:p>
        </w:tc>
        <w:tc>
          <w:tcPr>
            <w:tcW w:type="dxa" w:w="6360"/>
            <w:tcMar>
              <w:top w:type="dxa" w:w="40"/>
              <w:left w:type="dxa" w:w="80"/>
              <w:bottom w:type="dxa" w:w="40"/>
              <w:right w:type="dxa" w:w="80"/>
            </w:tcMar>
          </w:tcPr>
          <w:p>
            <w:r>
              <w:rPr>
                <w:b w:val="false"/>
                <w:bCs w:val="false"/>
                <w:sz w:val="17"/>
                <w:szCs w:val="17"/>
              </w:rPr>
              <w:t xml:space="preserve">Applications filed by applicants from the country at offices not acting for it (A_c,t)</w:t>
            </w:r>
          </w:p>
        </w:tc>
      </w:tr>
      <w:tr>
        <w:trPr>
          <w:tblHeader w:val="false"/>
        </w:trPr>
        <w:tc>
          <w:tcPr>
            <w:tcW w:type="dxa" w:w="3000"/>
            <w:tcMar>
              <w:top w:type="dxa" w:w="40"/>
              <w:left w:type="dxa" w:w="80"/>
              <w:bottom w:type="dxa" w:w="40"/>
              <w:right w:type="dxa" w:w="80"/>
            </w:tcMar>
          </w:tcPr>
          <w:p>
            <w:r>
              <w:rPr>
                <w:b w:val="false"/>
                <w:bCs w:val="false"/>
                <w:sz w:val="17"/>
                <w:szCs w:val="17"/>
              </w:rPr>
              <w:t xml:space="preserve">pat_total_wipo</w:t>
            </w:r>
          </w:p>
        </w:tc>
        <w:tc>
          <w:tcPr>
            <w:tcW w:type="dxa" w:w="6360"/>
            <w:tcMar>
              <w:top w:type="dxa" w:w="40"/>
              <w:left w:type="dxa" w:w="80"/>
              <w:bottom w:type="dxa" w:w="40"/>
              <w:right w:type="dxa" w:w="80"/>
            </w:tcMar>
          </w:tcPr>
          <w:p>
            <w:r>
              <w:rPr>
                <w:b w:val="false"/>
                <w:bCs w:val="false"/>
                <w:sz w:val="17"/>
                <w:szCs w:val="17"/>
              </w:rPr>
              <w:t xml:space="preserve">Applications by applicants from the country at all reporting offices; equals the WIPO "Total" by origin and the do-file's pat_total (filled with filings abroad when the home office did not report)</w:t>
            </w:r>
          </w:p>
        </w:tc>
      </w:tr>
      <w:tr>
        <w:trPr>
          <w:tblHeader w:val="false"/>
        </w:trPr>
        <w:tc>
          <w:tcPr>
            <w:tcW w:type="dxa" w:w="3000"/>
            <w:tcMar>
              <w:top w:type="dxa" w:w="40"/>
              <w:left w:type="dxa" w:w="80"/>
              <w:bottom w:type="dxa" w:w="40"/>
              <w:right w:type="dxa" w:w="80"/>
            </w:tcMar>
          </w:tcPr>
          <w:p>
            <w:r>
              <w:rPr>
                <w:b w:val="false"/>
                <w:bCs w:val="false"/>
                <w:sz w:val="17"/>
                <w:szCs w:val="17"/>
              </w:rPr>
              <w:t xml:space="preserve">home_office_reported</w:t>
            </w:r>
          </w:p>
        </w:tc>
        <w:tc>
          <w:tcPr>
            <w:tcW w:type="dxa" w:w="6360"/>
            <w:tcMar>
              <w:top w:type="dxa" w:w="40"/>
              <w:left w:type="dxa" w:w="80"/>
              <w:bottom w:type="dxa" w:w="40"/>
              <w:right w:type="dxa" w:w="80"/>
            </w:tcMar>
          </w:tcPr>
          <w:p>
            <w:r>
              <w:rPr>
                <w:b w:val="false"/>
                <w:bCs w:val="false"/>
                <w:sz w:val="17"/>
                <w:szCs w:val="17"/>
              </w:rPr>
              <w:t xml:space="preserve">1 if at least one office acting for the country reported data in that year</w:t>
            </w:r>
          </w:p>
        </w:tc>
      </w:tr>
    </w:tbl>
    <w:p>
      <w:pPr>
        <w:spacing w:after="120"/>
      </w:pPr>
      <w:r>
        <w:t xml:space="preserve">Use: cross-check of patent_raw.xlsx. In the replication the perpetual-inventory stock built from pat_total_wipo reproduces Table 3 (mean of lnPAT 2.179 vs 2.168; same maximum 10.338).</w:t>
      </w:r>
    </w:p>
    <w:p>
      <w:pPr>
        <w:pStyle w:val="Heading2"/>
        <w:spacing w:after="120" w:before="240"/>
      </w:pPr>
      <w:r>
        <w:t xml:space="preserve">5. imf_ctot.csv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shd w:fill="D9E2EC" w:color="auto" w:val="clear"/>
            <w:tcMar>
              <w:top w:type="dxa" w:w="40"/>
              <w:left w:type="dxa" w:w="80"/>
              <w:bottom w:type="dxa" w:w="40"/>
              <w:right w:type="dxa" w:w="80"/>
            </w:tcMar>
          </w:tcPr>
          <w:p>
            <w:r>
              <w:rPr>
                <w:b/>
                <w:bCs/>
                <w:sz w:val="17"/>
                <w:szCs w:val="17"/>
              </w:rPr>
              <w:t xml:space="preserve">Variable</w:t>
            </w:r>
          </w:p>
        </w:tc>
        <w:tc>
          <w:tcPr>
            <w:tcW w:type="dxa" w:w="2500"/>
            <w:shd w:fill="D9E2EC" w:color="auto" w:val="clear"/>
            <w:tcMar>
              <w:top w:type="dxa" w:w="40"/>
              <w:left w:type="dxa" w:w="80"/>
              <w:bottom w:type="dxa" w:w="40"/>
              <w:right w:type="dxa" w:w="80"/>
            </w:tcMar>
          </w:tcPr>
          <w:p>
            <w:r>
              <w:rPr>
                <w:b/>
                <w:bCs/>
                <w:sz w:val="17"/>
                <w:szCs w:val="17"/>
              </w:rPr>
              <w:t xml:space="preserve">IMF code</w:t>
            </w:r>
          </w:p>
        </w:tc>
        <w:tc>
          <w:tcPr>
            <w:tcW w:type="dxa" w:w="4660"/>
            <w:shd w:fill="D9E2EC" w:color="auto" w:val="clear"/>
            <w:tcMar>
              <w:top w:type="dxa" w:w="40"/>
              <w:left w:type="dxa" w:w="80"/>
              <w:bottom w:type="dxa" w:w="40"/>
              <w:right w:type="dxa" w:w="80"/>
            </w:tcMar>
          </w:tcPr>
          <w:p>
            <w:r>
              <w:rPr>
                <w:b/>
                <w:bCs/>
                <w:sz w:val="17"/>
                <w:szCs w:val="17"/>
              </w:rPr>
              <w:t xml:space="preserve">Definition (index, 2012 = 100)</w:t>
            </w:r>
          </w:p>
        </w:tc>
      </w:tr>
      <w:tr>
        <w:trPr>
          <w:tblHeader w:val="false"/>
        </w:trPr>
        <w:tc>
          <w:tcPr>
            <w:tcW w:type="dxa" w:w="2200"/>
            <w:tcMar>
              <w:top w:type="dxa" w:w="40"/>
              <w:left w:type="dxa" w:w="80"/>
              <w:bottom w:type="dxa" w:w="40"/>
              <w:right w:type="dxa" w:w="80"/>
            </w:tcMar>
          </w:tcPr>
          <w:p>
            <w:r>
              <w:rPr>
                <w:b w:val="false"/>
                <w:bCs w:val="false"/>
                <w:sz w:val="17"/>
                <w:szCs w:val="17"/>
              </w:rPr>
              <w:t xml:space="preserve">cepi_gdp_fw</w:t>
            </w:r>
          </w:p>
        </w:tc>
        <w:tc>
          <w:tcPr>
            <w:tcW w:type="dxa" w:w="2500"/>
            <w:tcMar>
              <w:top w:type="dxa" w:w="40"/>
              <w:left w:type="dxa" w:w="80"/>
              <w:bottom w:type="dxa" w:w="40"/>
              <w:right w:type="dxa" w:w="80"/>
            </w:tcMar>
          </w:tcPr>
          <w:p>
            <w:r>
              <w:rPr>
                <w:b w:val="false"/>
                <w:bCs w:val="false"/>
                <w:sz w:val="17"/>
                <w:szCs w:val="17"/>
              </w:rPr>
              <w:t xml:space="preserve">CEPI_CTOTX_GDP, H_FW_IX</w:t>
            </w:r>
          </w:p>
        </w:tc>
        <w:tc>
          <w:tcPr>
            <w:tcW w:type="dxa" w:w="4660"/>
            <w:tcMar>
              <w:top w:type="dxa" w:w="40"/>
              <w:left w:type="dxa" w:w="80"/>
              <w:bottom w:type="dxa" w:w="40"/>
              <w:right w:type="dxa" w:w="80"/>
            </w:tcMar>
          </w:tcPr>
          <w:p>
            <w:r>
              <w:rPr>
                <w:b w:val="false"/>
                <w:bCs w:val="false"/>
                <w:sz w:val="17"/>
                <w:szCs w:val="17"/>
              </w:rPr>
              <w:t xml:space="preserve">Commodity export price index; commodities weighted by exports/GDP; fixed weights (average trade flows over several decades)</w:t>
            </w:r>
          </w:p>
        </w:tc>
      </w:tr>
      <w:tr>
        <w:trPr>
          <w:tblHeader w:val="false"/>
        </w:trPr>
        <w:tc>
          <w:tcPr>
            <w:tcW w:type="dxa" w:w="2200"/>
            <w:tcMar>
              <w:top w:type="dxa" w:w="40"/>
              <w:left w:type="dxa" w:w="80"/>
              <w:bottom w:type="dxa" w:w="40"/>
              <w:right w:type="dxa" w:w="80"/>
            </w:tcMar>
          </w:tcPr>
          <w:p>
            <w:r>
              <w:rPr>
                <w:b w:val="false"/>
                <w:bCs w:val="false"/>
                <w:sz w:val="17"/>
                <w:szCs w:val="17"/>
              </w:rPr>
              <w:t xml:space="preserve">cepi_gdp_rw</w:t>
            </w:r>
          </w:p>
        </w:tc>
        <w:tc>
          <w:tcPr>
            <w:tcW w:type="dxa" w:w="2500"/>
            <w:tcMar>
              <w:top w:type="dxa" w:w="40"/>
              <w:left w:type="dxa" w:w="80"/>
              <w:bottom w:type="dxa" w:w="40"/>
              <w:right w:type="dxa" w:w="80"/>
            </w:tcMar>
          </w:tcPr>
          <w:p>
            <w:r>
              <w:rPr>
                <w:b w:val="false"/>
                <w:bCs w:val="false"/>
                <w:sz w:val="17"/>
                <w:szCs w:val="17"/>
              </w:rPr>
              <w:t xml:space="preserve">CEPI_CTOTX_GDP, H_RW_IX</w:t>
            </w:r>
          </w:p>
        </w:tc>
        <w:tc>
          <w:tcPr>
            <w:tcW w:type="dxa" w:w="4660"/>
            <w:tcMar>
              <w:top w:type="dxa" w:w="40"/>
              <w:left w:type="dxa" w:w="80"/>
              <w:bottom w:type="dxa" w:w="40"/>
              <w:right w:type="dxa" w:w="80"/>
            </w:tcMar>
          </w:tcPr>
          <w:p>
            <w:r>
              <w:rPr>
                <w:b w:val="false"/>
                <w:bCs w:val="false"/>
                <w:sz w:val="17"/>
                <w:szCs w:val="17"/>
              </w:rPr>
              <w:t xml:space="preserve">Same, rolling weights (average of the preceding three years)</w:t>
            </w:r>
          </w:p>
        </w:tc>
      </w:tr>
      <w:tr>
        <w:trPr>
          <w:tblHeader w:val="false"/>
        </w:trPr>
        <w:tc>
          <w:tcPr>
            <w:tcW w:type="dxa" w:w="2200"/>
            <w:tcMar>
              <w:top w:type="dxa" w:w="40"/>
              <w:left w:type="dxa" w:w="80"/>
              <w:bottom w:type="dxa" w:w="40"/>
              <w:right w:type="dxa" w:w="80"/>
            </w:tcMar>
          </w:tcPr>
          <w:p>
            <w:r>
              <w:rPr>
                <w:b w:val="false"/>
                <w:bCs w:val="false"/>
                <w:sz w:val="17"/>
                <w:szCs w:val="17"/>
              </w:rPr>
              <w:t xml:space="preserve">cepi_tx_fw / cepi_tx_rw</w:t>
            </w:r>
          </w:p>
        </w:tc>
        <w:tc>
          <w:tcPr>
            <w:tcW w:type="dxa" w:w="2500"/>
            <w:tcMar>
              <w:top w:type="dxa" w:w="40"/>
              <w:left w:type="dxa" w:w="80"/>
              <w:bottom w:type="dxa" w:w="40"/>
              <w:right w:type="dxa" w:w="80"/>
            </w:tcMar>
          </w:tcPr>
          <w:p>
            <w:r>
              <w:rPr>
                <w:b w:val="false"/>
                <w:bCs w:val="false"/>
                <w:sz w:val="17"/>
                <w:szCs w:val="17"/>
              </w:rPr>
              <w:t xml:space="preserve">CEPI_CTOTX_TX</w:t>
            </w:r>
          </w:p>
        </w:tc>
        <w:tc>
          <w:tcPr>
            <w:tcW w:type="dxa" w:w="4660"/>
            <w:tcMar>
              <w:top w:type="dxa" w:w="40"/>
              <w:left w:type="dxa" w:w="80"/>
              <w:bottom w:type="dxa" w:w="40"/>
              <w:right w:type="dxa" w:w="80"/>
            </w:tcMar>
          </w:tcPr>
          <w:p>
            <w:r>
              <w:rPr>
                <w:b w:val="false"/>
                <w:bCs w:val="false"/>
                <w:sz w:val="17"/>
                <w:szCs w:val="17"/>
              </w:rPr>
              <w:t xml:space="preserve">Commodity export price index; weights = exports / total commodity exports</w:t>
            </w:r>
          </w:p>
        </w:tc>
      </w:tr>
      <w:tr>
        <w:trPr>
          <w:tblHeader w:val="false"/>
        </w:trPr>
        <w:tc>
          <w:tcPr>
            <w:tcW w:type="dxa" w:w="2200"/>
            <w:tcMar>
              <w:top w:type="dxa" w:w="40"/>
              <w:left w:type="dxa" w:w="80"/>
              <w:bottom w:type="dxa" w:w="40"/>
              <w:right w:type="dxa" w:w="80"/>
            </w:tcMar>
          </w:tcPr>
          <w:p>
            <w:r>
              <w:rPr>
                <w:b w:val="false"/>
                <w:bCs w:val="false"/>
                <w:sz w:val="17"/>
                <w:szCs w:val="17"/>
              </w:rPr>
              <w:t xml:space="preserve">ctot_gdp_fw / ctot_gdp_rw</w:t>
            </w:r>
          </w:p>
        </w:tc>
        <w:tc>
          <w:tcPr>
            <w:tcW w:type="dxa" w:w="2500"/>
            <w:tcMar>
              <w:top w:type="dxa" w:w="40"/>
              <w:left w:type="dxa" w:w="80"/>
              <w:bottom w:type="dxa" w:w="40"/>
              <w:right w:type="dxa" w:w="80"/>
            </w:tcMar>
          </w:tcPr>
          <w:p>
            <w:r>
              <w:rPr>
                <w:b w:val="false"/>
                <w:bCs w:val="false"/>
                <w:sz w:val="17"/>
                <w:szCs w:val="17"/>
              </w:rPr>
              <w:t xml:space="preserve">CEMPI_CTOTXM_GDP</w:t>
            </w:r>
          </w:p>
        </w:tc>
        <w:tc>
          <w:tcPr>
            <w:tcW w:type="dxa" w:w="4660"/>
            <w:tcMar>
              <w:top w:type="dxa" w:w="40"/>
              <w:left w:type="dxa" w:w="80"/>
              <w:bottom w:type="dxa" w:w="40"/>
              <w:right w:type="dxa" w:w="80"/>
            </w:tcMar>
          </w:tcPr>
          <w:p>
            <w:r>
              <w:rPr>
                <w:b w:val="false"/>
                <w:bCs w:val="false"/>
                <w:sz w:val="17"/>
                <w:szCs w:val="17"/>
              </w:rPr>
              <w:t xml:space="preserve">Commodity net export price index (commodity terms of trade); weights = net exports / GDP</w:t>
            </w:r>
          </w:p>
        </w:tc>
      </w:tr>
    </w:tbl>
    <w:p>
      <w:pPr>
        <w:spacing w:after="120"/>
      </w:pPr>
      <w:r>
        <w:t xml:space="preserve">Coverage: 180 economies, 1980–2023 in this file (the source runs 1962–2025). Of the 102 Asian and African economies, 97 are covered; North Korea, Macao, Somalia, South Sudan and Uzbekistan are missing. Common deflators (for example the MUV index) are absorbed by year fixed effects. do_10.6.do sets cepi = cepi_gdp_fw by default; change it if the series used for comments 1–3 differs.</w:t>
      </w:r>
    </w:p>
    <w:p>
      <w:pPr>
        <w:pStyle w:val="Heading2"/>
        <w:spacing w:after="120" w:before="240"/>
      </w:pPr>
      <w:r>
        <w:t xml:space="preserve">6. pwt110_cap_national_prices.csv</w:t>
      </w:r>
    </w:p>
    <w:p>
      <w:pPr>
        <w:spacing w:after="120"/>
      </w:pPr>
      <w:r>
        <w:t xml:space="preserve">Purpose: WDI records gross capital formation (NE.GDI.TOTL.ZS) as 0 for Ethiopia in 2000–2010. The PWT 11.0 national-accounts file reports gross capital formation (v_i) and GDP (v_gdp) at current national prices, so cap_pwt = 100 × v_i / v_gdp is the same concept as the WDI indicator. Check: for Ethiopia in 2011–2023 the WDI/PWT ratio averages 1.002; across all sample countries and years the correlation with WDI is 0.93 (mean absolute difference 1.3 percentage points). The PPP-based PWT share (csh_i) is a different concept (correlation 0.81) and is not used. do_10.6.do replaces only WDI values equal to zero, which affects Ethiopia 2000–2010 (11 observations; filled values 22.2–29.0 percent of GDP).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EC" w:color="auto" w:val="clear"/>
            <w:tcMar>
              <w:top w:type="dxa" w:w="40"/>
              <w:left w:type="dxa" w:w="80"/>
              <w:bottom w:type="dxa" w:w="40"/>
              <w:right w:type="dxa" w:w="80"/>
            </w:tcMar>
          </w:tcPr>
          <w:p>
            <w:r>
              <w:rPr>
                <w:b/>
                <w:bCs/>
                <w:sz w:val="17"/>
                <w:szCs w:val="17"/>
              </w:rPr>
              <w:t xml:space="preserve">Variable</w:t>
            </w:r>
          </w:p>
        </w:tc>
        <w:tc>
          <w:tcPr>
            <w:tcW w:type="dxa" w:w="6360"/>
            <w:shd w:fill="D9E2EC" w:color="auto" w:val="clear"/>
            <w:tcMar>
              <w:top w:type="dxa" w:w="40"/>
              <w:left w:type="dxa" w:w="80"/>
              <w:bottom w:type="dxa" w:w="40"/>
              <w:right w:type="dxa" w:w="80"/>
            </w:tcMar>
          </w:tcPr>
          <w:p>
            <w:r>
              <w:rPr>
                <w:b/>
                <w:bCs/>
                <w:sz w:val="17"/>
                <w:szCs w:val="17"/>
              </w:rPr>
              <w:t xml:space="preserve">Definition</w:t>
            </w:r>
          </w:p>
        </w:tc>
      </w:tr>
      <w:tr>
        <w:trPr>
          <w:tblHeader w:val="false"/>
        </w:trPr>
        <w:tc>
          <w:tcPr>
            <w:tcW w:type="dxa" w:w="3000"/>
            <w:tcMar>
              <w:top w:type="dxa" w:w="40"/>
              <w:left w:type="dxa" w:w="80"/>
              <w:bottom w:type="dxa" w:w="40"/>
              <w:right w:type="dxa" w:w="80"/>
            </w:tcMar>
          </w:tcPr>
          <w:p>
            <w:r>
              <w:rPr>
                <w:b w:val="false"/>
                <w:bCs w:val="false"/>
                <w:sz w:val="17"/>
                <w:szCs w:val="17"/>
              </w:rPr>
              <w:t xml:space="preserve">country_3d, country_2d, year</w:t>
            </w:r>
          </w:p>
        </w:tc>
        <w:tc>
          <w:tcPr>
            <w:tcW w:type="dxa" w:w="6360"/>
            <w:tcMar>
              <w:top w:type="dxa" w:w="40"/>
              <w:left w:type="dxa" w:w="80"/>
              <w:bottom w:type="dxa" w:w="40"/>
              <w:right w:type="dxa" w:w="80"/>
            </w:tcMar>
          </w:tcPr>
          <w:p>
            <w:r>
              <w:rPr>
                <w:b w:val="false"/>
                <w:bCs w:val="false"/>
                <w:sz w:val="17"/>
                <w:szCs w:val="17"/>
              </w:rPr>
              <w:t xml:space="preserve">Country codes (PWT countrycode); year 1990–2023</w:t>
            </w:r>
          </w:p>
        </w:tc>
      </w:tr>
      <w:tr>
        <w:trPr>
          <w:tblHeader w:val="false"/>
        </w:trPr>
        <w:tc>
          <w:tcPr>
            <w:tcW w:type="dxa" w:w="3000"/>
            <w:tcMar>
              <w:top w:type="dxa" w:w="40"/>
              <w:left w:type="dxa" w:w="80"/>
              <w:bottom w:type="dxa" w:w="40"/>
              <w:right w:type="dxa" w:w="80"/>
            </w:tcMar>
          </w:tcPr>
          <w:p>
            <w:r>
              <w:rPr>
                <w:b w:val="false"/>
                <w:bCs w:val="false"/>
                <w:sz w:val="17"/>
                <w:szCs w:val="17"/>
              </w:rPr>
              <w:t xml:space="preserve">v_i</w:t>
            </w:r>
          </w:p>
        </w:tc>
        <w:tc>
          <w:tcPr>
            <w:tcW w:type="dxa" w:w="6360"/>
            <w:tcMar>
              <w:top w:type="dxa" w:w="40"/>
              <w:left w:type="dxa" w:w="80"/>
              <w:bottom w:type="dxa" w:w="40"/>
              <w:right w:type="dxa" w:w="80"/>
            </w:tcMar>
          </w:tcPr>
          <w:p>
            <w:r>
              <w:rPr>
                <w:b w:val="false"/>
                <w:bCs w:val="false"/>
                <w:sz w:val="17"/>
                <w:szCs w:val="17"/>
              </w:rPr>
              <w:t xml:space="preserve">Gross capital formation at current national prices (PWT 11.0 national accounts)</w:t>
            </w:r>
          </w:p>
        </w:tc>
      </w:tr>
      <w:tr>
        <w:trPr>
          <w:tblHeader w:val="false"/>
        </w:trPr>
        <w:tc>
          <w:tcPr>
            <w:tcW w:type="dxa" w:w="3000"/>
            <w:tcMar>
              <w:top w:type="dxa" w:w="40"/>
              <w:left w:type="dxa" w:w="80"/>
              <w:bottom w:type="dxa" w:w="40"/>
              <w:right w:type="dxa" w:w="80"/>
            </w:tcMar>
          </w:tcPr>
          <w:p>
            <w:r>
              <w:rPr>
                <w:b w:val="false"/>
                <w:bCs w:val="false"/>
                <w:sz w:val="17"/>
                <w:szCs w:val="17"/>
              </w:rPr>
              <w:t xml:space="preserve">v_gdp</w:t>
            </w:r>
          </w:p>
        </w:tc>
        <w:tc>
          <w:tcPr>
            <w:tcW w:type="dxa" w:w="6360"/>
            <w:tcMar>
              <w:top w:type="dxa" w:w="40"/>
              <w:left w:type="dxa" w:w="80"/>
              <w:bottom w:type="dxa" w:w="40"/>
              <w:right w:type="dxa" w:w="80"/>
            </w:tcMar>
          </w:tcPr>
          <w:p>
            <w:r>
              <w:rPr>
                <w:b w:val="false"/>
                <w:bCs w:val="false"/>
                <w:sz w:val="17"/>
                <w:szCs w:val="17"/>
              </w:rPr>
              <w:t xml:space="preserve">GDP at current national prices</w:t>
            </w:r>
          </w:p>
        </w:tc>
      </w:tr>
      <w:tr>
        <w:trPr>
          <w:tblHeader w:val="false"/>
        </w:trPr>
        <w:tc>
          <w:tcPr>
            <w:tcW w:type="dxa" w:w="3000"/>
            <w:tcMar>
              <w:top w:type="dxa" w:w="40"/>
              <w:left w:type="dxa" w:w="80"/>
              <w:bottom w:type="dxa" w:w="40"/>
              <w:right w:type="dxa" w:w="80"/>
            </w:tcMar>
          </w:tcPr>
          <w:p>
            <w:r>
              <w:rPr>
                <w:b w:val="false"/>
                <w:bCs w:val="false"/>
                <w:sz w:val="17"/>
                <w:szCs w:val="17"/>
              </w:rPr>
              <w:t xml:space="preserve">cap_pwt</w:t>
            </w:r>
          </w:p>
        </w:tc>
        <w:tc>
          <w:tcPr>
            <w:tcW w:type="dxa" w:w="6360"/>
            <w:tcMar>
              <w:top w:type="dxa" w:w="40"/>
              <w:left w:type="dxa" w:w="80"/>
              <w:bottom w:type="dxa" w:w="40"/>
              <w:right w:type="dxa" w:w="80"/>
            </w:tcMar>
          </w:tcPr>
          <w:p>
            <w:r>
              <w:rPr>
                <w:b w:val="false"/>
                <w:bCs w:val="false"/>
                <w:sz w:val="17"/>
                <w:szCs w:val="17"/>
              </w:rPr>
              <w:t xml:space="preserve">100 × v_i / v_gdp, percent of GDP</w:t>
            </w:r>
          </w:p>
        </w:tc>
      </w:tr>
    </w:tbl>
    <w:p>
      <w:pPr>
        <w:pStyle w:val="Heading2"/>
        <w:spacing w:after="120" w:before="240"/>
      </w:pPr>
      <w:r>
        <w:t xml:space="preserve">7. Replication panels and scripts</w:t>
      </w:r>
    </w:p>
    <w:p>
      <w:pPr>
        <w:pStyle w:val="ListParagraph"/>
        <w:numPr>
          <w:ilvl w:val="0"/>
          <w:numId w:val="2"/>
        </w:numPr>
        <w:spacing w:after="60"/>
      </w:pPr>
      <w:r>
        <w:rPr>
          <w:b/>
          <w:bCs/>
        </w:rPr>
        <w:t xml:space="preserve">analysis_replica.csv</w:t>
      </w:r>
      <w:r>
        <w:t xml:space="preserve"> — built by revision_R2/build_analysis.py with the same rules as do_10.5.do: WDI (gdp, cap, urb), PWT 11.0 (hci, pop), World Bank income classes, GFN (ef, bio), the WIPO patent series with the perpetual inventory (δ = 0.15; S_1980 = P_1980/(g0 + δ), g0 = 1980–1985 growth, 5 percent fallback), Ethiopia's 2000–2010 CAP filled from cap_pwt (columns cap_wdi and cap_filled keep the original series and the flag), countries with any missing value dropped, Cyprus and Turkey treated as Europe (as in iso.dta). Result: 43 countries (17 Asian, 26 African), 1,032 observations; lnGDP, lnEF and lnBIO match Table 3 exactly. Extra columns: patstock_abr and lnpat_abr (stock of filings abroad).</w:t>
      </w:r>
    </w:p>
    <w:p>
      <w:pPr>
        <w:pStyle w:val="ListParagraph"/>
        <w:numPr>
          <w:ilvl w:val="0"/>
          <w:numId w:val="2"/>
        </w:numPr>
        <w:spacing w:after="60"/>
      </w:pPr>
      <w:r>
        <w:rPr>
          <w:b/>
          <w:bCs/>
        </w:rPr>
        <w:t xml:space="preserve">analysis_3yr_replica.csv</w:t>
      </w:r>
      <w:r>
        <w:t xml:space="preserve"> — non-overlapping 3-year averages (2000–02, …, 2021–23; the year column holds the first year of the period). Levels are averaged and then logged; INC stays fixed at 2000; z_mean_lag1_10 is averaged.</w:t>
      </w:r>
    </w:p>
    <w:p>
      <w:pPr>
        <w:pStyle w:val="ListParagraph"/>
        <w:numPr>
          <w:ilvl w:val="0"/>
          <w:numId w:val="2"/>
        </w:numPr>
        <w:spacing w:after="60"/>
      </w:pPr>
      <w:r>
        <w:rPr>
          <w:b/>
          <w:bCs/>
        </w:rPr>
        <w:t xml:space="preserve">figures_R2.R</w:t>
      </w:r>
      <w:r>
        <w:t xml:space="preserve"> — the researcher's figure script with tagged changes: the estimation sample (analysis.dta) instead of ready.dta, ggrepel loaded, and captions that define the shaded band as the cross-country range (minimum to maximum). Requires the R package countrycode for country names.</w:t>
      </w:r>
    </w:p>
    <w:p>
      <w:pPr>
        <w:pStyle w:val="ListParagraph"/>
        <w:numPr>
          <w:ilvl w:val="0"/>
          <w:numId w:val="2"/>
        </w:numPr>
        <w:spacing w:after="60"/>
      </w:pPr>
      <w:r>
        <w:rPr>
          <w:b/>
          <w:bCs/>
        </w:rPr>
        <w:t xml:space="preserve">Scripts</w:t>
      </w:r>
      <w:r>
        <w:t xml:space="preserve"> (repository root unless stated): wipo_shift_share.py (instrument, shares, patents by origin), fetch_ctot.py (IMF API download), revision_R2/build_analysis.py (replication panel), revision_R2/r2_analyses.py (all revision analyses; results in revision_R2/results/*.csv).</w:t>
      </w:r>
    </w:p>
    <w:p>
      <w:pPr>
        <w:pStyle w:val="Heading2"/>
        <w:spacing w:after="120" w:before="240"/>
      </w:pPr>
      <w:r>
        <w:t xml:space="preserve">References</w:t>
      </w:r>
    </w:p>
    <w:p>
      <w:pPr>
        <w:pStyle w:val="ListParagraph"/>
        <w:numPr>
          <w:ilvl w:val="0"/>
          <w:numId w:val="2"/>
        </w:numPr>
        <w:spacing w:after="60"/>
      </w:pPr>
      <w:r>
        <w:t xml:space="preserve">Borusyak K, Hull P and Jaravel X (2022) Quasi-experimental shift-share research designs. Review of Economic Studies 89(1): 181–213.</w:t>
      </w:r>
    </w:p>
    <w:p>
      <w:pPr>
        <w:pStyle w:val="ListParagraph"/>
        <w:numPr>
          <w:ilvl w:val="0"/>
          <w:numId w:val="2"/>
        </w:numPr>
        <w:spacing w:after="60"/>
      </w:pPr>
      <w:r>
        <w:t xml:space="preserve">Goldsmith-Pinkham P, Sorkin I and Swift H (2020) Bartik instruments: What, when, why, and how. American Economic Review 110(8): 2586–2624.</w:t>
      </w:r>
    </w:p>
    <w:p>
      <w:pPr>
        <w:pStyle w:val="ListParagraph"/>
        <w:numPr>
          <w:ilvl w:val="0"/>
          <w:numId w:val="2"/>
        </w:numPr>
        <w:spacing w:after="60"/>
      </w:pPr>
      <w:r>
        <w:t xml:space="preserve">Feenstra RC, Inklaar R and Timmer MP (2015) The next generation of the Penn World Table. American Economic Review 105(10): 3150–3182.</w:t>
      </w:r>
    </w:p>
    <w:p>
      <w:pPr>
        <w:pStyle w:val="ListParagraph"/>
        <w:numPr>
          <w:ilvl w:val="0"/>
          <w:numId w:val="2"/>
        </w:numPr>
        <w:spacing w:after="60"/>
      </w:pPr>
      <w:r>
        <w:t xml:space="preserve">Gruss B and Kebhaj S (2019) Commodity terms of trade: A new database. IMF Working Paper 19/21.</w:t>
      </w:r>
    </w:p>
    <w:p>
      <w:pPr>
        <w:pStyle w:val="ListParagraph"/>
        <w:numPr>
          <w:ilvl w:val="0"/>
          <w:numId w:val="2"/>
        </w:numPr>
        <w:spacing w:after="60"/>
      </w:pPr>
      <w:r>
        <w:t xml:space="preserve">World Intellectual Property Organization (2026) WIPO IP Statistics Data Center. Geneva: WIPO.</w:t>
      </w:r>
    </w:p>
    <w:p>
      <w:pPr>
        <w:spacing w:after="120"/>
      </w:pPr>
      <w:r>
        <w:rPr>
          <w:i/>
          <w:iCs/>
        </w:rPr>
        <w:t xml:space="preserve">Reference details were written from memory; automatic verification was unavailable in this session. Check them before citing.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 data description</dc:title>
  <dc:creator>Claude Code</dc:creator>
  <cp:lastModifiedBy>Un-named</cp:lastModifiedBy>
  <cp:revision>1</cp:revision>
  <dcterms:created xsi:type="dcterms:W3CDTF">2026-10-11T21:01:03.663Z</dcterms:created>
  <dcterms:modified xsi:type="dcterms:W3CDTF">2026-10-11T21:01:03.663Z</dcterms:modified>
</cp:coreProperties>
</file>

<file path=docProps/custom.xml><?xml version="1.0" encoding="utf-8"?>
<Properties xmlns="http://schemas.openxmlformats.org/officeDocument/2006/custom-properties" xmlns:vt="http://schemas.openxmlformats.org/officeDocument/2006/docPropsVTypes"/>
</file>