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E946" w14:textId="77777777" w:rsidR="00BB19C4" w:rsidRPr="00FC5F1F" w:rsidRDefault="00BB19C4" w:rsidP="009E75B4">
      <w:pPr>
        <w:pStyle w:val="Technical4"/>
        <w:widowControl w:val="0"/>
        <w:tabs>
          <w:tab w:val="clear" w:pos="-720"/>
        </w:tabs>
        <w:suppressAutoHyphens w:val="0"/>
        <w:spacing w:before="120" w:after="120" w:line="264" w:lineRule="auto"/>
        <w:ind w:firstLine="567"/>
        <w:jc w:val="right"/>
        <w:outlineLvl w:val="1"/>
        <w:rPr>
          <w:rFonts w:ascii="Times New Roman" w:hAnsi="Times New Roman"/>
          <w:spacing w:val="-2"/>
          <w:sz w:val="28"/>
          <w:szCs w:val="28"/>
          <w:lang w:val="nl-NL"/>
        </w:rPr>
      </w:pPr>
      <w:r w:rsidRPr="00FC5F1F">
        <w:rPr>
          <w:rFonts w:ascii="Times New Roman" w:hAnsi="Times New Roman"/>
          <w:spacing w:val="-2"/>
          <w:sz w:val="28"/>
          <w:szCs w:val="28"/>
          <w:lang w:val="nl-NL"/>
        </w:rPr>
        <w:t>Mẫu số 08B (Webform trên Hệ thống)</w:t>
      </w:r>
    </w:p>
    <w:p w14:paraId="6170F9B8" w14:textId="77777777" w:rsidR="00BB19C4" w:rsidRPr="00FC5F1F" w:rsidRDefault="00BB19C4" w:rsidP="00026B25">
      <w:pPr>
        <w:widowControl w:val="0"/>
        <w:spacing w:before="120" w:after="120" w:line="264" w:lineRule="auto"/>
        <w:jc w:val="center"/>
        <w:rPr>
          <w:b/>
          <w:spacing w:val="-2"/>
          <w:sz w:val="28"/>
          <w:szCs w:val="28"/>
          <w:lang w:val="nl-NL"/>
        </w:rPr>
      </w:pPr>
    </w:p>
    <w:p w14:paraId="4628F923" w14:textId="77777777" w:rsidR="00BB19C4" w:rsidRPr="00FC5F1F" w:rsidRDefault="00BB19C4" w:rsidP="00026B25">
      <w:pPr>
        <w:widowControl w:val="0"/>
        <w:spacing w:before="120" w:after="120" w:line="264" w:lineRule="auto"/>
        <w:jc w:val="center"/>
        <w:rPr>
          <w:b/>
          <w:spacing w:val="-2"/>
          <w:sz w:val="28"/>
          <w:szCs w:val="28"/>
          <w:vertAlign w:val="superscript"/>
          <w:lang w:val="nl-NL"/>
        </w:rPr>
      </w:pPr>
      <w:r w:rsidRPr="00FC5F1F">
        <w:rPr>
          <w:b/>
          <w:spacing w:val="-2"/>
          <w:sz w:val="28"/>
          <w:szCs w:val="28"/>
          <w:lang w:val="nl-NL"/>
        </w:rPr>
        <w:t xml:space="preserve">NGUỒN LỰC TÀI CHÍNH </w:t>
      </w:r>
      <w:r w:rsidRPr="00FC5F1F">
        <w:rPr>
          <w:b/>
          <w:spacing w:val="-2"/>
          <w:sz w:val="28"/>
          <w:szCs w:val="28"/>
          <w:vertAlign w:val="superscript"/>
          <w:lang w:val="nl-NL"/>
        </w:rPr>
        <w:t>(1)</w:t>
      </w:r>
    </w:p>
    <w:p w14:paraId="2CEA7FC5" w14:textId="77777777" w:rsidR="00BB19C4" w:rsidRPr="00FC5F1F" w:rsidRDefault="00BB19C4" w:rsidP="00026B25">
      <w:pPr>
        <w:widowControl w:val="0"/>
        <w:spacing w:before="120" w:after="120" w:line="264" w:lineRule="auto"/>
        <w:jc w:val="center"/>
        <w:rPr>
          <w:b/>
          <w:spacing w:val="-2"/>
          <w:sz w:val="14"/>
          <w:szCs w:val="14"/>
          <w:vertAlign w:val="superscript"/>
          <w:lang w:val="nl-NL"/>
        </w:rPr>
      </w:pPr>
    </w:p>
    <w:p w14:paraId="3B346A0E" w14:textId="77777777" w:rsidR="00BB19C4" w:rsidRPr="00FC5F1F" w:rsidRDefault="00BB19C4" w:rsidP="00026B25">
      <w:pPr>
        <w:widowControl w:val="0"/>
        <w:spacing w:before="120" w:after="120" w:line="264" w:lineRule="auto"/>
        <w:ind w:firstLine="567"/>
        <w:rPr>
          <w:spacing w:val="-2"/>
          <w:sz w:val="28"/>
          <w:szCs w:val="28"/>
          <w:lang w:val="nl-NL"/>
        </w:rPr>
      </w:pPr>
      <w:bookmarkStart w:id="157" w:name="_Hlk101099612"/>
      <w:r w:rsidRPr="00FC5F1F">
        <w:rPr>
          <w:spacing w:val="-2"/>
          <w:sz w:val="28"/>
          <w:szCs w:val="28"/>
          <w:lang w:val="nl-NL"/>
        </w:rPr>
        <w:t xml:space="preserve">Nêu rõ các nguồn tài chính dự kiến, chẳng hạn như các tài sản có khả năng thanh khoản cao, </w:t>
      </w:r>
      <w:r w:rsidRPr="00FC5F1F">
        <w:rPr>
          <w:sz w:val="28"/>
          <w:szCs w:val="28"/>
          <w:lang w:val="nl-NL"/>
        </w:rPr>
        <w:t>hạn mức tín dụng khả dụng (hạn mức tín dụng còn được sử dụng)</w:t>
      </w:r>
      <w:r w:rsidRPr="00FC5F1F">
        <w:rPr>
          <w:sz w:val="28"/>
          <w:szCs w:val="28"/>
          <w:vertAlign w:val="superscript"/>
          <w:lang w:val="nl-NL"/>
        </w:rPr>
        <w:t>(*)</w:t>
      </w:r>
      <w:r w:rsidRPr="00FC5F1F">
        <w:rPr>
          <w:spacing w:val="-2"/>
          <w:sz w:val="28"/>
          <w:szCs w:val="28"/>
          <w:lang w:val="nl-NL"/>
        </w:rPr>
        <w:t xml:space="preserve"> hoặc các nguồn tài chính khác (</w:t>
      </w:r>
      <w:r w:rsidRPr="00FC5F1F">
        <w:rPr>
          <w:sz w:val="28"/>
          <w:szCs w:val="28"/>
          <w:lang w:val="nl-NL"/>
        </w:rPr>
        <w:t>không bao gồm các khoản tạm ứng thanh toán theo hợp đồng</w:t>
      </w:r>
      <w:r w:rsidRPr="00FC5F1F">
        <w:rPr>
          <w:spacing w:val="-2"/>
          <w:sz w:val="28"/>
          <w:szCs w:val="28"/>
          <w:lang w:val="nl-NL"/>
        </w:rPr>
        <w:t>) có sẵn để đáp ứng yêu cầu về nguồn lực tài chính được nêu trong Mẫu số 08C Chương này</w:t>
      </w:r>
      <w:bookmarkEnd w:id="157"/>
      <w:r w:rsidRPr="00FC5F1F">
        <w:rPr>
          <w:spacing w:val="-2"/>
          <w:sz w:val="28"/>
          <w:szCs w:val="28"/>
          <w:lang w:val="nl-NL"/>
        </w:rPr>
        <w:t>.</w:t>
      </w:r>
    </w:p>
    <w:p w14:paraId="64D56B7B" w14:textId="77777777" w:rsidR="00BB19C4" w:rsidRPr="00FC5F1F" w:rsidRDefault="00BB19C4" w:rsidP="00026B25">
      <w:pPr>
        <w:widowControl w:val="0"/>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FC5F1F" w:rsidRPr="004D167E" w14:paraId="2FEB35BC" w14:textId="77777777">
        <w:trPr>
          <w:cantSplit/>
          <w:jc w:val="center"/>
        </w:trPr>
        <w:tc>
          <w:tcPr>
            <w:tcW w:w="9194" w:type="dxa"/>
            <w:gridSpan w:val="3"/>
            <w:vAlign w:val="center"/>
          </w:tcPr>
          <w:p w14:paraId="6A894A10" w14:textId="77777777" w:rsidR="00BB19C4" w:rsidRPr="00FC5F1F" w:rsidRDefault="00BB19C4" w:rsidP="00026B25">
            <w:pPr>
              <w:widowControl w:val="0"/>
              <w:spacing w:before="120" w:after="120" w:line="264" w:lineRule="auto"/>
              <w:jc w:val="center"/>
              <w:rPr>
                <w:b/>
                <w:bCs/>
                <w:spacing w:val="-2"/>
                <w:sz w:val="26"/>
                <w:szCs w:val="26"/>
                <w:lang w:val="nl-NL"/>
              </w:rPr>
            </w:pPr>
            <w:r w:rsidRPr="00FC5F1F">
              <w:rPr>
                <w:b/>
                <w:sz w:val="26"/>
                <w:szCs w:val="26"/>
                <w:lang w:val="nl-NL"/>
              </w:rPr>
              <w:t>Nguồn lực tài chính của nhà thầu</w:t>
            </w:r>
          </w:p>
        </w:tc>
      </w:tr>
      <w:tr w:rsidR="00FC5F1F" w:rsidRPr="00FC5F1F" w14:paraId="7A994FCC" w14:textId="77777777">
        <w:trPr>
          <w:cantSplit/>
          <w:trHeight w:val="597"/>
          <w:jc w:val="center"/>
        </w:trPr>
        <w:tc>
          <w:tcPr>
            <w:tcW w:w="675" w:type="dxa"/>
            <w:vAlign w:val="center"/>
          </w:tcPr>
          <w:p w14:paraId="6D7932AE"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STT</w:t>
            </w:r>
          </w:p>
        </w:tc>
        <w:tc>
          <w:tcPr>
            <w:tcW w:w="5433" w:type="dxa"/>
            <w:vAlign w:val="center"/>
          </w:tcPr>
          <w:p w14:paraId="5D9A1EB1" w14:textId="77777777" w:rsidR="00BB19C4" w:rsidRPr="00FC5F1F" w:rsidRDefault="00BB19C4" w:rsidP="00026B25">
            <w:pPr>
              <w:widowControl w:val="0"/>
              <w:spacing w:before="120" w:after="120" w:line="264" w:lineRule="auto"/>
              <w:jc w:val="center"/>
              <w:rPr>
                <w:b/>
                <w:bCs/>
                <w:spacing w:val="-2"/>
                <w:sz w:val="26"/>
                <w:szCs w:val="26"/>
              </w:rPr>
            </w:pPr>
            <w:r w:rsidRPr="00FC5F1F">
              <w:rPr>
                <w:b/>
                <w:spacing w:val="-2"/>
                <w:sz w:val="26"/>
                <w:szCs w:val="26"/>
              </w:rPr>
              <w:t>Nguồn tài chính</w:t>
            </w:r>
          </w:p>
        </w:tc>
        <w:tc>
          <w:tcPr>
            <w:tcW w:w="3086" w:type="dxa"/>
            <w:vAlign w:val="center"/>
          </w:tcPr>
          <w:p w14:paraId="7C985246" w14:textId="77777777" w:rsidR="00BB19C4" w:rsidRPr="00FC5F1F" w:rsidRDefault="00BB19C4" w:rsidP="00026B25">
            <w:pPr>
              <w:widowControl w:val="0"/>
              <w:spacing w:before="120" w:after="120" w:line="264" w:lineRule="auto"/>
              <w:jc w:val="center"/>
              <w:rPr>
                <w:b/>
                <w:bCs/>
                <w:spacing w:val="-2"/>
                <w:sz w:val="26"/>
                <w:szCs w:val="26"/>
              </w:rPr>
            </w:pPr>
            <w:r w:rsidRPr="00FC5F1F">
              <w:rPr>
                <w:b/>
                <w:spacing w:val="-2"/>
                <w:sz w:val="26"/>
                <w:szCs w:val="26"/>
              </w:rPr>
              <w:t>Số tiền (VND)</w:t>
            </w:r>
          </w:p>
        </w:tc>
      </w:tr>
      <w:tr w:rsidR="00FC5F1F" w:rsidRPr="00FC5F1F" w14:paraId="194C1512" w14:textId="77777777">
        <w:trPr>
          <w:cantSplit/>
          <w:jc w:val="center"/>
        </w:trPr>
        <w:tc>
          <w:tcPr>
            <w:tcW w:w="675" w:type="dxa"/>
            <w:vAlign w:val="center"/>
          </w:tcPr>
          <w:p w14:paraId="6697356D"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1</w:t>
            </w:r>
          </w:p>
        </w:tc>
        <w:tc>
          <w:tcPr>
            <w:tcW w:w="5433" w:type="dxa"/>
          </w:tcPr>
          <w:p w14:paraId="51E97B3A" w14:textId="77777777" w:rsidR="00BB19C4" w:rsidRPr="00FC5F1F" w:rsidRDefault="00BB19C4" w:rsidP="00026B25">
            <w:pPr>
              <w:widowControl w:val="0"/>
              <w:spacing w:before="120" w:after="120" w:line="264" w:lineRule="auto"/>
              <w:rPr>
                <w:spacing w:val="-2"/>
                <w:sz w:val="26"/>
                <w:szCs w:val="26"/>
              </w:rPr>
            </w:pPr>
          </w:p>
        </w:tc>
        <w:tc>
          <w:tcPr>
            <w:tcW w:w="3086" w:type="dxa"/>
          </w:tcPr>
          <w:p w14:paraId="052937BE" w14:textId="77777777" w:rsidR="00BB19C4" w:rsidRPr="00FC5F1F" w:rsidRDefault="00BB19C4" w:rsidP="00026B25">
            <w:pPr>
              <w:widowControl w:val="0"/>
              <w:spacing w:before="120" w:after="120" w:line="264" w:lineRule="auto"/>
              <w:rPr>
                <w:spacing w:val="-2"/>
                <w:sz w:val="26"/>
                <w:szCs w:val="26"/>
              </w:rPr>
            </w:pPr>
          </w:p>
        </w:tc>
      </w:tr>
      <w:tr w:rsidR="00FC5F1F" w:rsidRPr="00FC5F1F" w14:paraId="3CD6196D" w14:textId="77777777">
        <w:trPr>
          <w:cantSplit/>
          <w:jc w:val="center"/>
        </w:trPr>
        <w:tc>
          <w:tcPr>
            <w:tcW w:w="675" w:type="dxa"/>
            <w:vAlign w:val="center"/>
          </w:tcPr>
          <w:p w14:paraId="16D10AFD"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2</w:t>
            </w:r>
          </w:p>
        </w:tc>
        <w:tc>
          <w:tcPr>
            <w:tcW w:w="5433" w:type="dxa"/>
          </w:tcPr>
          <w:p w14:paraId="6C9F4F45" w14:textId="77777777" w:rsidR="00BB19C4" w:rsidRPr="00FC5F1F" w:rsidRDefault="00BB19C4" w:rsidP="00026B25">
            <w:pPr>
              <w:widowControl w:val="0"/>
              <w:spacing w:before="120" w:after="120" w:line="264" w:lineRule="auto"/>
              <w:rPr>
                <w:spacing w:val="-2"/>
                <w:sz w:val="26"/>
                <w:szCs w:val="26"/>
              </w:rPr>
            </w:pPr>
          </w:p>
        </w:tc>
        <w:tc>
          <w:tcPr>
            <w:tcW w:w="3086" w:type="dxa"/>
          </w:tcPr>
          <w:p w14:paraId="36B0EF38" w14:textId="77777777" w:rsidR="00BB19C4" w:rsidRPr="00FC5F1F" w:rsidRDefault="00BB19C4" w:rsidP="00026B25">
            <w:pPr>
              <w:widowControl w:val="0"/>
              <w:spacing w:before="120" w:after="120" w:line="264" w:lineRule="auto"/>
              <w:rPr>
                <w:spacing w:val="-2"/>
                <w:sz w:val="26"/>
                <w:szCs w:val="26"/>
              </w:rPr>
            </w:pPr>
          </w:p>
        </w:tc>
      </w:tr>
      <w:tr w:rsidR="00FC5F1F" w:rsidRPr="00FC5F1F" w14:paraId="6A81A987" w14:textId="77777777">
        <w:trPr>
          <w:cantSplit/>
          <w:jc w:val="center"/>
        </w:trPr>
        <w:tc>
          <w:tcPr>
            <w:tcW w:w="675" w:type="dxa"/>
            <w:vAlign w:val="center"/>
          </w:tcPr>
          <w:p w14:paraId="7C9A3B84"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3</w:t>
            </w:r>
          </w:p>
        </w:tc>
        <w:tc>
          <w:tcPr>
            <w:tcW w:w="5433" w:type="dxa"/>
          </w:tcPr>
          <w:p w14:paraId="43EA3DC0" w14:textId="77777777" w:rsidR="00BB19C4" w:rsidRPr="00FC5F1F" w:rsidRDefault="00BB19C4" w:rsidP="00026B25">
            <w:pPr>
              <w:widowControl w:val="0"/>
              <w:spacing w:before="120" w:after="120" w:line="264" w:lineRule="auto"/>
              <w:rPr>
                <w:spacing w:val="-2"/>
                <w:sz w:val="26"/>
                <w:szCs w:val="26"/>
              </w:rPr>
            </w:pPr>
          </w:p>
        </w:tc>
        <w:tc>
          <w:tcPr>
            <w:tcW w:w="3086" w:type="dxa"/>
          </w:tcPr>
          <w:p w14:paraId="0C4FBFE7" w14:textId="77777777" w:rsidR="00BB19C4" w:rsidRPr="00FC5F1F" w:rsidRDefault="00BB19C4" w:rsidP="00026B25">
            <w:pPr>
              <w:widowControl w:val="0"/>
              <w:spacing w:before="120" w:after="120" w:line="264" w:lineRule="auto"/>
              <w:rPr>
                <w:spacing w:val="-2"/>
                <w:sz w:val="26"/>
                <w:szCs w:val="26"/>
              </w:rPr>
            </w:pPr>
          </w:p>
        </w:tc>
      </w:tr>
      <w:tr w:rsidR="00FC5F1F" w:rsidRPr="00FC5F1F" w14:paraId="39D33BA7" w14:textId="77777777">
        <w:trPr>
          <w:cantSplit/>
          <w:trHeight w:val="567"/>
          <w:jc w:val="center"/>
        </w:trPr>
        <w:tc>
          <w:tcPr>
            <w:tcW w:w="675" w:type="dxa"/>
            <w:vAlign w:val="center"/>
          </w:tcPr>
          <w:p w14:paraId="0B518B1E"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4</w:t>
            </w:r>
          </w:p>
        </w:tc>
        <w:tc>
          <w:tcPr>
            <w:tcW w:w="5433" w:type="dxa"/>
          </w:tcPr>
          <w:p w14:paraId="5252C707" w14:textId="77777777" w:rsidR="00BB19C4" w:rsidRPr="00FC5F1F" w:rsidRDefault="00BB19C4" w:rsidP="00026B25">
            <w:pPr>
              <w:widowControl w:val="0"/>
              <w:spacing w:before="120" w:after="120" w:line="264" w:lineRule="auto"/>
              <w:jc w:val="center"/>
              <w:rPr>
                <w:spacing w:val="-2"/>
                <w:sz w:val="26"/>
                <w:szCs w:val="26"/>
              </w:rPr>
            </w:pPr>
          </w:p>
        </w:tc>
        <w:tc>
          <w:tcPr>
            <w:tcW w:w="3086" w:type="dxa"/>
          </w:tcPr>
          <w:p w14:paraId="4CAA3C2C" w14:textId="77777777" w:rsidR="00BB19C4" w:rsidRPr="00FC5F1F" w:rsidRDefault="00BB19C4" w:rsidP="00026B25">
            <w:pPr>
              <w:widowControl w:val="0"/>
              <w:spacing w:before="120" w:after="120" w:line="264" w:lineRule="auto"/>
              <w:jc w:val="center"/>
              <w:rPr>
                <w:spacing w:val="-2"/>
                <w:sz w:val="26"/>
                <w:szCs w:val="26"/>
              </w:rPr>
            </w:pPr>
          </w:p>
        </w:tc>
      </w:tr>
      <w:tr w:rsidR="00FC5F1F" w:rsidRPr="00FC5F1F" w14:paraId="7F514754" w14:textId="77777777">
        <w:trPr>
          <w:cantSplit/>
          <w:trHeight w:val="567"/>
          <w:jc w:val="center"/>
        </w:trPr>
        <w:tc>
          <w:tcPr>
            <w:tcW w:w="675" w:type="dxa"/>
            <w:vAlign w:val="center"/>
          </w:tcPr>
          <w:p w14:paraId="77A43D12"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5</w:t>
            </w:r>
          </w:p>
        </w:tc>
        <w:tc>
          <w:tcPr>
            <w:tcW w:w="5433" w:type="dxa"/>
          </w:tcPr>
          <w:p w14:paraId="72C7DFB6" w14:textId="77777777" w:rsidR="00BB19C4" w:rsidRPr="00FC5F1F" w:rsidRDefault="00BB19C4" w:rsidP="00026B25">
            <w:pPr>
              <w:widowControl w:val="0"/>
              <w:spacing w:before="120" w:after="120" w:line="264" w:lineRule="auto"/>
              <w:jc w:val="center"/>
              <w:rPr>
                <w:spacing w:val="-2"/>
                <w:sz w:val="26"/>
                <w:szCs w:val="26"/>
              </w:rPr>
            </w:pPr>
          </w:p>
        </w:tc>
        <w:tc>
          <w:tcPr>
            <w:tcW w:w="3086" w:type="dxa"/>
          </w:tcPr>
          <w:p w14:paraId="78DE32D6" w14:textId="77777777" w:rsidR="00BB19C4" w:rsidRPr="00FC5F1F" w:rsidRDefault="00BB19C4" w:rsidP="00026B25">
            <w:pPr>
              <w:widowControl w:val="0"/>
              <w:spacing w:before="120" w:after="120" w:line="264" w:lineRule="auto"/>
              <w:jc w:val="center"/>
              <w:rPr>
                <w:spacing w:val="-2"/>
                <w:sz w:val="26"/>
                <w:szCs w:val="26"/>
              </w:rPr>
            </w:pPr>
          </w:p>
        </w:tc>
      </w:tr>
      <w:tr w:rsidR="00FC5F1F" w:rsidRPr="00FC5F1F" w14:paraId="491A1752" w14:textId="77777777">
        <w:trPr>
          <w:cantSplit/>
          <w:jc w:val="center"/>
        </w:trPr>
        <w:tc>
          <w:tcPr>
            <w:tcW w:w="675" w:type="dxa"/>
            <w:vAlign w:val="center"/>
          </w:tcPr>
          <w:p w14:paraId="6C2A7100"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w:t>
            </w:r>
          </w:p>
        </w:tc>
        <w:tc>
          <w:tcPr>
            <w:tcW w:w="5433" w:type="dxa"/>
          </w:tcPr>
          <w:p w14:paraId="333E0736" w14:textId="77777777" w:rsidR="00BB19C4" w:rsidRPr="00FC5F1F" w:rsidRDefault="00BB19C4" w:rsidP="00026B25">
            <w:pPr>
              <w:widowControl w:val="0"/>
              <w:spacing w:before="120" w:after="120" w:line="264" w:lineRule="auto"/>
              <w:rPr>
                <w:spacing w:val="-2"/>
                <w:sz w:val="26"/>
                <w:szCs w:val="26"/>
              </w:rPr>
            </w:pPr>
          </w:p>
        </w:tc>
        <w:tc>
          <w:tcPr>
            <w:tcW w:w="3086" w:type="dxa"/>
          </w:tcPr>
          <w:p w14:paraId="6DA75FFB" w14:textId="77777777" w:rsidR="00BB19C4" w:rsidRPr="00FC5F1F" w:rsidRDefault="00BB19C4" w:rsidP="00026B25">
            <w:pPr>
              <w:widowControl w:val="0"/>
              <w:spacing w:before="120" w:after="120" w:line="264" w:lineRule="auto"/>
              <w:rPr>
                <w:spacing w:val="-2"/>
                <w:sz w:val="26"/>
                <w:szCs w:val="26"/>
              </w:rPr>
            </w:pPr>
          </w:p>
        </w:tc>
      </w:tr>
      <w:tr w:rsidR="00FC5F1F" w:rsidRPr="00FC5F1F" w14:paraId="73844CFF" w14:textId="77777777">
        <w:trPr>
          <w:cantSplit/>
          <w:jc w:val="center"/>
        </w:trPr>
        <w:tc>
          <w:tcPr>
            <w:tcW w:w="6108" w:type="dxa"/>
            <w:gridSpan w:val="2"/>
            <w:vAlign w:val="center"/>
          </w:tcPr>
          <w:p w14:paraId="08FD774A" w14:textId="77777777" w:rsidR="00BB19C4" w:rsidRPr="00FC5F1F" w:rsidRDefault="00BB19C4" w:rsidP="00026B25">
            <w:pPr>
              <w:widowControl w:val="0"/>
              <w:spacing w:before="120" w:after="120" w:line="264" w:lineRule="auto"/>
              <w:jc w:val="center"/>
              <w:rPr>
                <w:b/>
                <w:spacing w:val="-2"/>
                <w:sz w:val="26"/>
                <w:szCs w:val="26"/>
              </w:rPr>
            </w:pPr>
            <w:r w:rsidRPr="00FC5F1F">
              <w:rPr>
                <w:b/>
                <w:spacing w:val="-2"/>
                <w:sz w:val="26"/>
                <w:szCs w:val="26"/>
              </w:rPr>
              <w:t>Tổng nguồn lực tài chính của nhà thầu (TNL)</w:t>
            </w:r>
          </w:p>
        </w:tc>
        <w:tc>
          <w:tcPr>
            <w:tcW w:w="3086" w:type="dxa"/>
          </w:tcPr>
          <w:p w14:paraId="7ED604D5" w14:textId="77777777" w:rsidR="00BB19C4" w:rsidRPr="00FC5F1F" w:rsidRDefault="00BB19C4" w:rsidP="00026B25">
            <w:pPr>
              <w:widowControl w:val="0"/>
              <w:spacing w:before="120" w:after="120" w:line="264" w:lineRule="auto"/>
              <w:rPr>
                <w:spacing w:val="-2"/>
                <w:sz w:val="26"/>
                <w:szCs w:val="26"/>
              </w:rPr>
            </w:pPr>
          </w:p>
        </w:tc>
      </w:tr>
    </w:tbl>
    <w:p w14:paraId="358AC8F3" w14:textId="77777777" w:rsidR="00BB19C4" w:rsidRPr="00FC5F1F" w:rsidRDefault="00BB19C4" w:rsidP="00026B25">
      <w:pPr>
        <w:widowControl w:val="0"/>
        <w:spacing w:before="120" w:after="120" w:line="264" w:lineRule="auto"/>
        <w:ind w:firstLine="567"/>
        <w:jc w:val="left"/>
        <w:rPr>
          <w:sz w:val="28"/>
          <w:szCs w:val="28"/>
        </w:rPr>
      </w:pPr>
      <w:r w:rsidRPr="00FC5F1F">
        <w:rPr>
          <w:sz w:val="28"/>
          <w:szCs w:val="28"/>
        </w:rPr>
        <w:t>Ghi chú:</w:t>
      </w:r>
    </w:p>
    <w:p w14:paraId="284BE4ED" w14:textId="77777777" w:rsidR="00BB19C4" w:rsidRPr="00FC5F1F" w:rsidRDefault="00BB19C4" w:rsidP="00026B25">
      <w:pPr>
        <w:widowControl w:val="0"/>
        <w:spacing w:before="120" w:after="120" w:line="264" w:lineRule="auto"/>
        <w:ind w:firstLine="567"/>
        <w:rPr>
          <w:spacing w:val="-2"/>
          <w:sz w:val="28"/>
          <w:szCs w:val="28"/>
        </w:rPr>
      </w:pPr>
      <w:r w:rsidRPr="00FC5F1F">
        <w:rPr>
          <w:sz w:val="28"/>
          <w:szCs w:val="28"/>
        </w:rPr>
        <w:t>(1) Từng nhà thầu hoặc thành viên liên danh phải</w:t>
      </w:r>
      <w:r w:rsidRPr="00FC5F1F">
        <w:rPr>
          <w:b/>
          <w:sz w:val="28"/>
          <w:szCs w:val="28"/>
        </w:rPr>
        <w:t xml:space="preserve"> </w:t>
      </w:r>
      <w:r w:rsidRPr="00FC5F1F">
        <w:rPr>
          <w:spacing w:val="-2"/>
          <w:sz w:val="28"/>
          <w:szCs w:val="28"/>
        </w:rPr>
        <w:t>cung cấp thông tin về nguồn lực tài chính của mình, kèm theo tài liệu chứng minh.</w:t>
      </w:r>
    </w:p>
    <w:p w14:paraId="029A18FD"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Nguồn lực tài chính mà nhà thầu dự kiến huy động để thực hiện gói thầu được tính theo công thức sau:</w:t>
      </w:r>
    </w:p>
    <w:p w14:paraId="6CBD60EC" w14:textId="77777777" w:rsidR="00BB19C4" w:rsidRPr="00FC5F1F" w:rsidRDefault="00BB19C4" w:rsidP="00026B25">
      <w:pPr>
        <w:widowControl w:val="0"/>
        <w:spacing w:before="120" w:after="120" w:line="264" w:lineRule="auto"/>
        <w:ind w:firstLine="567"/>
        <w:jc w:val="center"/>
        <w:rPr>
          <w:b/>
          <w:spacing w:val="-2"/>
          <w:sz w:val="28"/>
          <w:szCs w:val="28"/>
        </w:rPr>
      </w:pPr>
      <w:r w:rsidRPr="00FC5F1F">
        <w:rPr>
          <w:b/>
          <w:spacing w:val="-2"/>
          <w:sz w:val="28"/>
          <w:szCs w:val="28"/>
        </w:rPr>
        <w:t>NLTC = TNL – ĐTH</w:t>
      </w:r>
    </w:p>
    <w:p w14:paraId="383C34B9"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Trong đó:</w:t>
      </w:r>
    </w:p>
    <w:p w14:paraId="78BF78B1"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NLTC là nguồn lực tài chính mà nhà thầu dự kiến huy động để thực hiện gói thầu;</w:t>
      </w:r>
    </w:p>
    <w:p w14:paraId="6486162F"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TNL là tổng nguồn lực tài chính của nhà thầu (nêu tại Mẫu này);</w:t>
      </w:r>
    </w:p>
    <w:p w14:paraId="070DFAE5"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ĐTH là tổng yêu cầu về nguồn lực tài chính hàng tháng cho các hợp đồng đang thực hiện (nêu tại Mẫu số 08C).</w:t>
      </w:r>
    </w:p>
    <w:p w14:paraId="3E5ED34C"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lastRenderedPageBreak/>
        <w:t>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Mục 2.1 Chương III.</w:t>
      </w:r>
    </w:p>
    <w:p w14:paraId="56DCD59D" w14:textId="77777777" w:rsidR="00BB19C4" w:rsidRPr="00FC5F1F" w:rsidRDefault="00BB19C4" w:rsidP="00026B25">
      <w:pPr>
        <w:widowControl w:val="0"/>
        <w:spacing w:before="120" w:after="120" w:line="264" w:lineRule="auto"/>
        <w:ind w:firstLine="567"/>
        <w:rPr>
          <w:sz w:val="28"/>
          <w:szCs w:val="28"/>
          <w:lang w:val="nl-NL"/>
        </w:rPr>
      </w:pPr>
      <w:r w:rsidRPr="00FC5F1F">
        <w:rPr>
          <w:spacing w:val="-2"/>
          <w:sz w:val="28"/>
          <w:szCs w:val="28"/>
        </w:rPr>
        <w:t>Trường hợp trong E-HSDT,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w:t>
      </w:r>
      <w:r w:rsidRPr="00FC5F1F">
        <w:rPr>
          <w:sz w:val="28"/>
          <w:szCs w:val="28"/>
          <w:lang w:val="nl-NL"/>
        </w:rPr>
        <w:t>; bên cạnh việc sử dụng cam kết cung cấp tín dụng, nhà thầu vẫn phải kê khai thông tin theo Mẫu này và Mẫu số 08C.</w:t>
      </w:r>
    </w:p>
    <w:p w14:paraId="70FBBB0E" w14:textId="77777777" w:rsidR="00BB19C4" w:rsidRPr="00FC5F1F" w:rsidRDefault="00BB19C4" w:rsidP="00026B25">
      <w:pPr>
        <w:widowControl w:val="0"/>
        <w:spacing w:before="120" w:after="120" w:line="264" w:lineRule="auto"/>
        <w:ind w:firstLine="567"/>
        <w:rPr>
          <w:sz w:val="28"/>
          <w:szCs w:val="28"/>
          <w:lang w:val="nl-NL"/>
        </w:rPr>
      </w:pPr>
      <w:r w:rsidRPr="00FC5F1F">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0443EBD2" w14:textId="77777777" w:rsidR="00BB19C4" w:rsidRPr="00FC5F1F" w:rsidRDefault="00BB19C4" w:rsidP="00026B25">
      <w:pPr>
        <w:widowControl w:val="0"/>
        <w:spacing w:before="120" w:after="120" w:line="264" w:lineRule="auto"/>
        <w:ind w:firstLine="567"/>
        <w:rPr>
          <w:spacing w:val="2"/>
          <w:sz w:val="28"/>
          <w:szCs w:val="28"/>
          <w:lang w:val="nl-NL"/>
        </w:rPr>
      </w:pPr>
      <w:r w:rsidRPr="00FC5F1F">
        <w:rPr>
          <w:spacing w:val="2"/>
          <w:sz w:val="28"/>
          <w:szCs w:val="28"/>
          <w:lang w:val="nl-NL"/>
        </w:rPr>
        <w:t>(*) Hạn mức tín dụng khả dụng (hạn mức còn được sử dụng) là tổng hạn mức tín dụng còn lại trong tất cả Hợp đồng tín dụng mà Nhà thầu được phép sử dụng.</w:t>
      </w:r>
    </w:p>
    <w:p w14:paraId="3CBA81C6" w14:textId="77777777" w:rsidR="00BB19C4" w:rsidRPr="00FC5F1F" w:rsidRDefault="00BB19C4" w:rsidP="00026B25">
      <w:pPr>
        <w:widowControl w:val="0"/>
        <w:spacing w:before="120" w:after="120" w:line="264" w:lineRule="auto"/>
        <w:ind w:firstLine="567"/>
        <w:rPr>
          <w:spacing w:val="-2"/>
          <w:sz w:val="28"/>
          <w:szCs w:val="28"/>
          <w:lang w:val="nl-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