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NGUYÊN TẮC – BẢN GỐC</w:t>
      </w:r>
    </w:p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p/>
    <w:p>
      <w:r>
        <w:t>CỘNG HÒA XÃ HỘI CHỦ NGHĨA VIỆT NAM</w:t>
      </w:r>
    </w:p>
    <w:p>
      <w:r>
        <w:t>Độc lập – Tự do – Hạnh phúc</w:t>
      </w:r>
    </w:p>
    <w:p/>
    <w:p>
      <w:r>
        <w:t>HỢP ĐỒNG NGUYÊN TẮC</w:t>
      </w:r>
    </w:p>
    <w:p/>
    <w:p>
      <w:r>
        <w:t>Căn cứ Bộ luật Dân sự 2015;</w:t>
      </w:r>
    </w:p>
    <w:p>
      <w:r>
        <w:t>Căn cứ Luật Thương mại 2005;</w:t>
      </w:r>
    </w:p>
    <w:p>
      <w:r>
        <w:t>Căn cứ nhu cầu và khả năng của các bên.</w:t>
      </w:r>
    </w:p>
    <w:p/>
    <w:p>
      <w:r>
        <w:t>Điều 1. Phạm vi hợp tác</w:t>
      </w:r>
    </w:p>
    <w:p>
      <w:r>
        <w:t>Hai bên thống nhất hợp tác trong lĩnh vực cung ứng và mua bán hàng hóa, dịch vụ theo các đơn hàng cụ thể được ký kết từng thời kỳ.</w:t>
      </w:r>
    </w:p>
    <w:p/>
    <w:p>
      <w:r>
        <w:t>Điều 2. Giá trị hợp đồng và thanh toán</w:t>
      </w:r>
    </w:p>
    <w:p>
      <w:r>
        <w:t>Giá trị hợp đồng được xác định theo khối lượng nghiệm thu thực tế.</w:t>
      </w:r>
    </w:p>
    <w:p>
      <w:r>
        <w:t>Thời hạn thanh toán là 30 ngày kể từ ngày nhận đủ hồ sơ.</w:t>
      </w:r>
    </w:p>
    <w:p/>
    <w:p>
      <w:r>
        <w:t>Điều 3. Thời hạn hợp đồng</w:t>
      </w:r>
    </w:p>
    <w:p>
      <w:r>
        <w:t>Hợp đồng có hiệu lực 12 tháng kể từ ngày ký.</w:t>
      </w:r>
    </w:p>
    <w:p/>
    <w:p>
      <w:r>
        <w:t>Điều 4. Quyền và nghĩa vụ của Bên A</w:t>
      </w:r>
    </w:p>
    <w:p>
      <w:r>
        <w:t>Bên A có trách nhiệm cung cấp hàng hóa đúng chất lượng, số lượng.</w:t>
      </w:r>
    </w:p>
    <w:p/>
    <w:p>
      <w:r>
        <w:t>Điều 5. Quyền và nghĩa vụ của Bên B</w:t>
      </w:r>
    </w:p>
    <w:p>
      <w:r>
        <w:t>Bên B có trách nhiệm thanh toán đầy đủ, đúng hạn.</w:t>
      </w:r>
    </w:p>
    <w:p/>
    <w:p>
      <w:r>
        <w:t>Điều 6. Bảo mật thông tin</w:t>
      </w:r>
    </w:p>
    <w:p>
      <w:r>
        <w:t>Các bên có trách nhiệm bảo mật thông tin liên quan đến hợp đồng.</w:t>
      </w:r>
    </w:p>
    <w:p/>
    <w:p>
      <w:r>
        <w:t>Điều 7. Bồi thường và phạt vi phạm</w:t>
      </w:r>
    </w:p>
    <w:p>
      <w:r>
        <w:t>Bên vi phạm phải bồi thường thiệt hại phát sinh.</w:t>
      </w:r>
    </w:p>
    <w:p/>
    <w:p>
      <w:r>
        <w:t>Điều 8. Bất khả kháng</w:t>
      </w:r>
    </w:p>
    <w:p>
      <w:r>
        <w:t>Không bên nào chịu trách nhiệm nếu xảy ra sự kiện bất khả kháng.</w:t>
      </w:r>
    </w:p>
    <w:p/>
    <w:p>
      <w:r>
        <w:t>Điều 9. Sửa đổi và chấm dứt hợp đồng</w:t>
      </w:r>
    </w:p>
    <w:p>
      <w:r>
        <w:t>Mọi sửa đổi phải được lập thành văn bản.</w:t>
      </w:r>
    </w:p>
    <w:p/>
    <w:p>
      <w:r>
        <w:t>Điều 10. Giải quyết tranh chấp</w:t>
      </w:r>
    </w:p>
    <w:p>
      <w:r>
        <w:t>Tranh chấp được giải quyết tại Tòa án có thẩm quyền.</w:t>
      </w:r>
    </w:p>
    <w:p/>
    <w:p>
      <w:r>
        <w:t>Điều 11. Hiệu lực</w:t>
      </w:r>
    </w:p>
    <w:p>
      <w:r>
        <w:t>Hợp đồng được lập thành 02 bản có giá trị pháp lý như nhau.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