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sz w:val="28"/>
        </w:rPr>
        <w:t>HỌC VIỆN NGÂN HÀNG</w:t>
      </w:r>
    </w:p>
    <w:p>
      <w:pPr>
        <w:spacing w:before="0" w:after="400" w:line="312" w:lineRule="auto"/>
        <w:jc w:val="center"/>
      </w:pPr>
      <w:r>
        <w:rPr>
          <w:rFonts w:ascii="Times New Roman" w:hAnsi="Times New Roman"/>
          <w:b/>
          <w:i w:val="0"/>
          <w:sz w:val="28"/>
        </w:rPr>
        <w:t>KHOA CÔNG NGHỆ THÔNG TIN VÀ KINH TẾ SỐ</w:t>
      </w:r>
    </w:p>
    <w:p>
      <w:pPr>
        <w:spacing w:before="0" w:after="560" w:line="312" w:lineRule="auto"/>
        <w:jc w:val="center"/>
      </w:pPr>
      <w:r>
        <w:rPr>
          <w:rFonts w:ascii="Times New Roman" w:hAnsi="Times New Roman"/>
          <w:b/>
          <w:i w:val="0"/>
          <w:sz w:val="32"/>
        </w:rPr>
        <w:t>***</w:t>
      </w:r>
    </w:p>
    <w:p>
      <w:pPr>
        <w:spacing w:before="0" w:after="80" w:line="312" w:lineRule="auto"/>
        <w:jc w:val="center"/>
      </w:pPr>
      <w:r>
        <w:rPr>
          <w:rFonts w:ascii="Times New Roman" w:hAnsi="Times New Roman"/>
          <w:b/>
          <w:i w:val="0"/>
          <w:color w:val="102C57"/>
          <w:sz w:val="32"/>
        </w:rPr>
        <w:t>BÀI BÁO CÁO KỸ THUẬT VÀ NGHIỆP VỤ</w:t>
      </w:r>
    </w:p>
    <w:p>
      <w:pPr>
        <w:spacing w:before="0" w:after="240" w:line="312" w:lineRule="auto"/>
        <w:jc w:val="center"/>
      </w:pPr>
      <w:r>
        <w:rPr>
          <w:rFonts w:ascii="Times New Roman" w:hAnsi="Times New Roman"/>
          <w:b/>
          <w:i w:val="0"/>
          <w:color w:val="102C57"/>
          <w:sz w:val="40"/>
        </w:rPr>
        <w:t>BÀI KIỂM TRA SỐ 2</w:t>
      </w:r>
    </w:p>
    <w:p>
      <w:pPr>
        <w:spacing w:before="0" w:after="80" w:line="312" w:lineRule="auto"/>
        <w:jc w:val="center"/>
      </w:pPr>
      <w:r>
        <w:rPr>
          <w:rFonts w:ascii="Times New Roman" w:hAnsi="Times New Roman"/>
          <w:b/>
          <w:i w:val="0"/>
          <w:sz w:val="26"/>
        </w:rPr>
        <w:t>ĐỀ TÀI:</w:t>
      </w:r>
    </w:p>
    <w:p>
      <w:pPr>
        <w:spacing w:before="0" w:after="960" w:line="312" w:lineRule="auto"/>
        <w:jc w:val="center"/>
      </w:pPr>
      <w:r>
        <w:rPr>
          <w:rFonts w:ascii="Times New Roman" w:hAnsi="Times New Roman"/>
          <w:b/>
          <w:i w:val="0"/>
          <w:color w:val="1F4690"/>
          <w:sz w:val="30"/>
        </w:rPr>
        <w:t>THIẾT KẾ MÔ HÌNH DỊCH VỤ FINTECH VIETQR RECONHUB HỖ TRỢ QUẢN LÝ ĐƠN HÀNG, ĐỐI SOÁT DÒNG TIỀN TỰ ĐỘNG VÀ MINH BẠCH HÓA THANH TOÁN QR CHO HỘ KINH DOANH TẠI VIỆT NAM</w:t>
      </w:r>
    </w:p>
    <w:p>
      <w:pPr>
        <w:spacing w:before="0" w:after="80" w:line="312" w:lineRule="auto"/>
        <w:jc w:val="center"/>
      </w:pPr>
      <w:r>
        <w:rPr>
          <w:rFonts w:ascii="Times New Roman" w:hAnsi="Times New Roman"/>
          <w:b/>
          <w:i w:val="0"/>
          <w:sz w:val="26"/>
        </w:rPr>
        <w:t>Giảng viên hướng dẫn: ThS. Chu Văn Huy</w:t>
      </w:r>
    </w:p>
    <w:p>
      <w:pPr>
        <w:spacing w:before="0" w:after="1200" w:line="312" w:lineRule="auto"/>
        <w:jc w:val="center"/>
      </w:pPr>
      <w:r>
        <w:rPr>
          <w:rFonts w:ascii="Times New Roman" w:hAnsi="Times New Roman"/>
          <w:b w:val="0"/>
          <w:i/>
          <w:sz w:val="26"/>
        </w:rPr>
        <w:t>Nhóm sinh viên thực hiện: Nhóm VietQR ReconHub</w:t>
      </w:r>
    </w:p>
    <w:p>
      <w:pPr>
        <w:spacing w:before="0" w:after="0" w:line="312" w:lineRule="auto"/>
        <w:jc w:val="center"/>
      </w:pPr>
      <w:r>
        <w:rPr>
          <w:rFonts w:ascii="Times New Roman" w:hAnsi="Times New Roman"/>
          <w:b w:val="0"/>
          <w:i/>
          <w:sz w:val="24"/>
        </w:rPr>
        <w:t>Hà Nội, tháng 10 năm 2026</w:t>
      </w:r>
    </w:p>
    <w:p>
      <w:r>
        <w:br w:type="page"/>
      </w:r>
    </w:p>
    <w:p>
      <w:pPr>
        <w:spacing w:before="320" w:after="160" w:line="312" w:lineRule="auto"/>
        <w:jc w:val="left"/>
      </w:pPr>
      <w:r>
        <w:rPr>
          <w:rFonts w:ascii="Times New Roman" w:hAnsi="Times New Roman"/>
          <w:b/>
          <w:i w:val="0"/>
          <w:color w:val="102C57"/>
          <w:sz w:val="28"/>
        </w:rPr>
        <w:t>MỨC ĐỘ ĐÓNG GÓP CỦA CÁC THÀNH VIÊN</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2268"/>
        <w:gridCol w:w="2268"/>
        <w:gridCol w:w="2268"/>
        <w:gridCol w:w="2268"/>
      </w:tblGrid>
      <w:tr>
        <w:tc>
          <w:tcPr>
            <w:tcW w:type="dxa" w:w="2154"/>
            <w:vAlign w:val="center"/>
            <w:shd w:fill="D9E4F5"/>
          </w:tcPr>
          <w:p>
            <w:pPr>
              <w:spacing w:before="40" w:after="40" w:line="276" w:lineRule="auto"/>
              <w:jc w:val="center"/>
            </w:pPr>
            <w:r>
              <w:rPr>
                <w:rFonts w:ascii="Times New Roman" w:hAnsi="Times New Roman"/>
                <w:b/>
                <w:i w:val="0"/>
                <w:sz w:val="22"/>
              </w:rPr>
              <w:t>Họ và tên</w:t>
            </w:r>
          </w:p>
        </w:tc>
        <w:tc>
          <w:tcPr>
            <w:tcW w:type="dxa" w:w="4649"/>
            <w:vAlign w:val="center"/>
            <w:shd w:fill="D9E4F5"/>
          </w:tcPr>
          <w:p>
            <w:pPr>
              <w:spacing w:before="40" w:after="40" w:line="276" w:lineRule="auto"/>
              <w:jc w:val="center"/>
            </w:pPr>
            <w:r>
              <w:rPr>
                <w:rFonts w:ascii="Times New Roman" w:hAnsi="Times New Roman"/>
                <w:b/>
                <w:i w:val="0"/>
                <w:sz w:val="22"/>
              </w:rPr>
              <w:t>Công việc</w:t>
            </w:r>
          </w:p>
        </w:tc>
        <w:tc>
          <w:tcPr>
            <w:tcW w:type="dxa" w:w="1417"/>
            <w:vAlign w:val="center"/>
            <w:shd w:fill="D9E4F5"/>
          </w:tcPr>
          <w:p>
            <w:pPr>
              <w:spacing w:before="40" w:after="40" w:line="276" w:lineRule="auto"/>
              <w:jc w:val="center"/>
            </w:pPr>
            <w:r>
              <w:rPr>
                <w:rFonts w:ascii="Times New Roman" w:hAnsi="Times New Roman"/>
                <w:b/>
                <w:i w:val="0"/>
                <w:sz w:val="22"/>
              </w:rPr>
              <w:t>Tỉ lệ %</w:t>
            </w:r>
          </w:p>
        </w:tc>
        <w:tc>
          <w:tcPr>
            <w:tcW w:type="dxa" w:w="1417"/>
            <w:vAlign w:val="center"/>
            <w:shd w:fill="D9E4F5"/>
          </w:tcPr>
          <w:p>
            <w:pPr>
              <w:spacing w:before="40" w:after="40" w:line="276" w:lineRule="auto"/>
              <w:jc w:val="center"/>
            </w:pPr>
            <w:r>
              <w:rPr>
                <w:rFonts w:ascii="Times New Roman" w:hAnsi="Times New Roman"/>
                <w:b/>
                <w:i w:val="0"/>
                <w:sz w:val="22"/>
              </w:rPr>
              <w:t>Chữ ký</w:t>
            </w:r>
          </w:p>
        </w:tc>
      </w:tr>
      <w:tr>
        <w:tc>
          <w:tcPr>
            <w:tcW w:type="dxa" w:w="2154"/>
            <w:vAlign w:val="center"/>
          </w:tcPr>
          <w:p>
            <w:pPr>
              <w:spacing w:before="40" w:after="40" w:line="276" w:lineRule="auto"/>
              <w:jc w:val="center"/>
            </w:pPr>
            <w:r>
              <w:rPr>
                <w:rFonts w:ascii="Times New Roman" w:hAnsi="Times New Roman"/>
                <w:b w:val="0"/>
                <w:i w:val="0"/>
                <w:sz w:val="21"/>
              </w:rPr>
              <w:t>[Họ và tên 1] (NT)</w:t>
            </w:r>
          </w:p>
        </w:tc>
        <w:tc>
          <w:tcPr>
            <w:tcW w:type="dxa" w:w="4649"/>
            <w:vAlign w:val="center"/>
          </w:tcPr>
          <w:p>
            <w:pPr>
              <w:spacing w:before="40" w:after="40" w:line="276" w:lineRule="auto"/>
              <w:jc w:val="left"/>
            </w:pPr>
            <w:r>
              <w:rPr>
                <w:rFonts w:ascii="Times New Roman" w:hAnsi="Times New Roman"/>
                <w:b w:val="0"/>
                <w:i w:val="0"/>
                <w:sz w:val="21"/>
              </w:rPr>
              <w:t>Xây dựng code Backend chính</w:t>
              <w:br/>
              <w:t>Đề xuất kịch bản thử nghiệm mô hình</w:t>
              <w:br/>
              <w:t>Thiết kế Business Model Canvas</w:t>
              <w:br/>
              <w:t>Đưa ra đề xuất khuyến nghị và đánh giá tính khả thi</w:t>
            </w:r>
          </w:p>
        </w:tc>
        <w:tc>
          <w:tcPr>
            <w:tcW w:type="dxa" w:w="1417"/>
            <w:vAlign w:val="center"/>
          </w:tcPr>
          <w:p>
            <w:pPr>
              <w:spacing w:before="40" w:after="40" w:line="276" w:lineRule="auto"/>
              <w:jc w:val="center"/>
            </w:pPr>
            <w:r>
              <w:rPr>
                <w:rFonts w:ascii="Times New Roman" w:hAnsi="Times New Roman"/>
                <w:b w:val="0"/>
                <w:i w:val="0"/>
                <w:sz w:val="21"/>
              </w:rPr>
              <w:t>21%</w:t>
            </w:r>
          </w:p>
        </w:tc>
        <w:tc>
          <w:tcPr>
            <w:tcW w:type="dxa" w:w="1417"/>
            <w:vAlign w:val="center"/>
          </w:tcPr>
          <w:p>
            <w:pPr>
              <w:spacing w:before="40" w:after="40" w:line="276" w:lineRule="auto"/>
              <w:jc w:val="center"/>
            </w:pPr>
            <w:r>
              <w:rPr>
                <w:rFonts w:ascii="Times New Roman" w:hAnsi="Times New Roman"/>
                <w:b w:val="0"/>
                <w:i w:val="0"/>
                <w:sz w:val="21"/>
              </w:rPr>
            </w:r>
          </w:p>
        </w:tc>
      </w:tr>
      <w:tr>
        <w:tc>
          <w:tcPr>
            <w:tcW w:type="dxa" w:w="2154"/>
            <w:vAlign w:val="center"/>
          </w:tcPr>
          <w:p>
            <w:pPr>
              <w:spacing w:before="40" w:after="40" w:line="276" w:lineRule="auto"/>
              <w:jc w:val="center"/>
            </w:pPr>
            <w:r>
              <w:rPr>
                <w:rFonts w:ascii="Times New Roman" w:hAnsi="Times New Roman"/>
                <w:b w:val="0"/>
                <w:i w:val="0"/>
                <w:sz w:val="21"/>
              </w:rPr>
              <w:t>[Họ và tên 2]</w:t>
            </w:r>
          </w:p>
        </w:tc>
        <w:tc>
          <w:tcPr>
            <w:tcW w:type="dxa" w:w="4649"/>
            <w:vAlign w:val="center"/>
          </w:tcPr>
          <w:p>
            <w:pPr>
              <w:spacing w:before="40" w:after="40" w:line="276" w:lineRule="auto"/>
              <w:jc w:val="left"/>
            </w:pPr>
            <w:r>
              <w:rPr>
                <w:rFonts w:ascii="Times New Roman" w:hAnsi="Times New Roman"/>
                <w:b w:val="0"/>
                <w:i w:val="0"/>
                <w:sz w:val="21"/>
              </w:rPr>
              <w:t>Xây dựng code Backend chính</w:t>
              <w:br/>
              <w:t>Đề xuất kịch bản thử nghiệm mô hình</w:t>
              <w:br/>
              <w:t>Phân tích thị trường</w:t>
              <w:br/>
              <w:t>Thiết kế Business Model Canvas</w:t>
            </w:r>
          </w:p>
        </w:tc>
        <w:tc>
          <w:tcPr>
            <w:tcW w:type="dxa" w:w="1417"/>
            <w:vAlign w:val="center"/>
          </w:tcPr>
          <w:p>
            <w:pPr>
              <w:spacing w:before="40" w:after="40" w:line="276" w:lineRule="auto"/>
              <w:jc w:val="center"/>
            </w:pPr>
            <w:r>
              <w:rPr>
                <w:rFonts w:ascii="Times New Roman" w:hAnsi="Times New Roman"/>
                <w:b w:val="0"/>
                <w:i w:val="0"/>
                <w:sz w:val="21"/>
              </w:rPr>
              <w:t>20%</w:t>
            </w:r>
          </w:p>
        </w:tc>
        <w:tc>
          <w:tcPr>
            <w:tcW w:type="dxa" w:w="1417"/>
            <w:vAlign w:val="center"/>
          </w:tcPr>
          <w:p>
            <w:pPr>
              <w:spacing w:before="40" w:after="40" w:line="276" w:lineRule="auto"/>
              <w:jc w:val="center"/>
            </w:pPr>
            <w:r>
              <w:rPr>
                <w:rFonts w:ascii="Times New Roman" w:hAnsi="Times New Roman"/>
                <w:b w:val="0"/>
                <w:i w:val="0"/>
                <w:sz w:val="21"/>
              </w:rPr>
            </w:r>
          </w:p>
        </w:tc>
      </w:tr>
      <w:tr>
        <w:tc>
          <w:tcPr>
            <w:tcW w:type="dxa" w:w="2154"/>
            <w:vAlign w:val="center"/>
          </w:tcPr>
          <w:p>
            <w:pPr>
              <w:spacing w:before="40" w:after="40" w:line="276" w:lineRule="auto"/>
              <w:jc w:val="center"/>
            </w:pPr>
            <w:r>
              <w:rPr>
                <w:rFonts w:ascii="Times New Roman" w:hAnsi="Times New Roman"/>
                <w:b w:val="0"/>
                <w:i w:val="0"/>
                <w:sz w:val="21"/>
              </w:rPr>
              <w:t>[Họ và tên 3]</w:t>
            </w:r>
          </w:p>
        </w:tc>
        <w:tc>
          <w:tcPr>
            <w:tcW w:type="dxa" w:w="4649"/>
            <w:vAlign w:val="center"/>
          </w:tcPr>
          <w:p>
            <w:pPr>
              <w:spacing w:before="40" w:after="40" w:line="276" w:lineRule="auto"/>
              <w:jc w:val="left"/>
            </w:pPr>
            <w:r>
              <w:rPr>
                <w:rFonts w:ascii="Times New Roman" w:hAnsi="Times New Roman"/>
                <w:b w:val="0"/>
                <w:i w:val="0"/>
                <w:sz w:val="21"/>
              </w:rPr>
              <w:t>Xây dựng code Backend chính</w:t>
              <w:br/>
              <w:t>Thiết kế Business Model Canvas</w:t>
              <w:br/>
              <w:t>Mô tả bài toán</w:t>
              <w:br/>
              <w:t>Đưa ra đề xuất khuyến nghị và đánh giá tính khả thi</w:t>
            </w:r>
          </w:p>
        </w:tc>
        <w:tc>
          <w:tcPr>
            <w:tcW w:type="dxa" w:w="1417"/>
            <w:vAlign w:val="center"/>
          </w:tcPr>
          <w:p>
            <w:pPr>
              <w:spacing w:before="40" w:after="40" w:line="276" w:lineRule="auto"/>
              <w:jc w:val="center"/>
            </w:pPr>
            <w:r>
              <w:rPr>
                <w:rFonts w:ascii="Times New Roman" w:hAnsi="Times New Roman"/>
                <w:b w:val="0"/>
                <w:i w:val="0"/>
                <w:sz w:val="21"/>
              </w:rPr>
              <w:t>20%</w:t>
            </w:r>
          </w:p>
        </w:tc>
        <w:tc>
          <w:tcPr>
            <w:tcW w:type="dxa" w:w="1417"/>
            <w:vAlign w:val="center"/>
          </w:tcPr>
          <w:p>
            <w:pPr>
              <w:spacing w:before="40" w:after="40" w:line="276" w:lineRule="auto"/>
              <w:jc w:val="center"/>
            </w:pPr>
            <w:r>
              <w:rPr>
                <w:rFonts w:ascii="Times New Roman" w:hAnsi="Times New Roman"/>
                <w:b w:val="0"/>
                <w:i w:val="0"/>
                <w:sz w:val="21"/>
              </w:rPr>
            </w:r>
          </w:p>
        </w:tc>
      </w:tr>
      <w:tr>
        <w:tc>
          <w:tcPr>
            <w:tcW w:type="dxa" w:w="2154"/>
            <w:vAlign w:val="center"/>
          </w:tcPr>
          <w:p>
            <w:pPr>
              <w:spacing w:before="40" w:after="40" w:line="276" w:lineRule="auto"/>
              <w:jc w:val="center"/>
            </w:pPr>
            <w:r>
              <w:rPr>
                <w:rFonts w:ascii="Times New Roman" w:hAnsi="Times New Roman"/>
                <w:b w:val="0"/>
                <w:i w:val="0"/>
                <w:sz w:val="21"/>
              </w:rPr>
              <w:t>[Họ và tên 4]</w:t>
            </w:r>
          </w:p>
        </w:tc>
        <w:tc>
          <w:tcPr>
            <w:tcW w:type="dxa" w:w="4649"/>
            <w:vAlign w:val="center"/>
          </w:tcPr>
          <w:p>
            <w:pPr>
              <w:spacing w:before="40" w:after="40" w:line="276" w:lineRule="auto"/>
              <w:jc w:val="left"/>
            </w:pPr>
            <w:r>
              <w:rPr>
                <w:rFonts w:ascii="Times New Roman" w:hAnsi="Times New Roman"/>
                <w:b w:val="0"/>
                <w:i w:val="0"/>
                <w:sz w:val="21"/>
              </w:rPr>
              <w:t>Xây dựng code Backend phụ trợ</w:t>
              <w:br/>
              <w:t>Thiết kế Business Model Canvas</w:t>
              <w:br/>
              <w:t>Phân tích thị trường</w:t>
              <w:br/>
              <w:t>Làm word</w:t>
            </w:r>
          </w:p>
        </w:tc>
        <w:tc>
          <w:tcPr>
            <w:tcW w:type="dxa" w:w="1417"/>
            <w:vAlign w:val="center"/>
          </w:tcPr>
          <w:p>
            <w:pPr>
              <w:spacing w:before="40" w:after="40" w:line="276" w:lineRule="auto"/>
              <w:jc w:val="center"/>
            </w:pPr>
            <w:r>
              <w:rPr>
                <w:rFonts w:ascii="Times New Roman" w:hAnsi="Times New Roman"/>
                <w:b w:val="0"/>
                <w:i w:val="0"/>
                <w:sz w:val="21"/>
              </w:rPr>
              <w:t>19,5%</w:t>
            </w:r>
          </w:p>
        </w:tc>
        <w:tc>
          <w:tcPr>
            <w:tcW w:type="dxa" w:w="1417"/>
            <w:vAlign w:val="center"/>
          </w:tcPr>
          <w:p>
            <w:pPr>
              <w:spacing w:before="40" w:after="40" w:line="276" w:lineRule="auto"/>
              <w:jc w:val="center"/>
            </w:pPr>
            <w:r>
              <w:rPr>
                <w:rFonts w:ascii="Times New Roman" w:hAnsi="Times New Roman"/>
                <w:b w:val="0"/>
                <w:i w:val="0"/>
                <w:sz w:val="21"/>
              </w:rPr>
            </w:r>
          </w:p>
        </w:tc>
      </w:tr>
      <w:tr>
        <w:tc>
          <w:tcPr>
            <w:tcW w:type="dxa" w:w="2154"/>
            <w:vAlign w:val="center"/>
          </w:tcPr>
          <w:p>
            <w:pPr>
              <w:spacing w:before="40" w:after="40" w:line="276" w:lineRule="auto"/>
              <w:jc w:val="center"/>
            </w:pPr>
            <w:r>
              <w:rPr>
                <w:rFonts w:ascii="Times New Roman" w:hAnsi="Times New Roman"/>
                <w:b w:val="0"/>
                <w:i w:val="0"/>
                <w:sz w:val="21"/>
              </w:rPr>
              <w:t>[Họ và tên 5]</w:t>
            </w:r>
          </w:p>
        </w:tc>
        <w:tc>
          <w:tcPr>
            <w:tcW w:type="dxa" w:w="4649"/>
            <w:vAlign w:val="center"/>
          </w:tcPr>
          <w:p>
            <w:pPr>
              <w:spacing w:before="40" w:after="40" w:line="276" w:lineRule="auto"/>
              <w:jc w:val="left"/>
            </w:pPr>
            <w:r>
              <w:rPr>
                <w:rFonts w:ascii="Times New Roman" w:hAnsi="Times New Roman"/>
                <w:b w:val="0"/>
                <w:i w:val="0"/>
                <w:sz w:val="21"/>
              </w:rPr>
              <w:t>Xây dựng code Backend phụ trợ</w:t>
              <w:br/>
              <w:t>Thiết kế Business Model Canvas</w:t>
              <w:br/>
              <w:t>Đề xuất kịch bản thử nghiệm mô hình</w:t>
              <w:br/>
              <w:t>Mô tả bài toán</w:t>
              <w:br/>
              <w:t>Làm slide</w:t>
            </w:r>
          </w:p>
        </w:tc>
        <w:tc>
          <w:tcPr>
            <w:tcW w:type="dxa" w:w="1417"/>
            <w:vAlign w:val="center"/>
          </w:tcPr>
          <w:p>
            <w:pPr>
              <w:spacing w:before="40" w:after="40" w:line="276" w:lineRule="auto"/>
              <w:jc w:val="center"/>
            </w:pPr>
            <w:r>
              <w:rPr>
                <w:rFonts w:ascii="Times New Roman" w:hAnsi="Times New Roman"/>
                <w:b w:val="0"/>
                <w:i w:val="0"/>
                <w:sz w:val="21"/>
              </w:rPr>
              <w:t>19,5%</w:t>
            </w:r>
          </w:p>
        </w:tc>
        <w:tc>
          <w:tcPr>
            <w:tcW w:type="dxa" w:w="1417"/>
            <w:vAlign w:val="center"/>
          </w:tcPr>
          <w:p>
            <w:pPr>
              <w:spacing w:before="40" w:after="40" w:line="276" w:lineRule="auto"/>
              <w:jc w:val="center"/>
            </w:pPr>
            <w:r>
              <w:rPr>
                <w:rFonts w:ascii="Times New Roman" w:hAnsi="Times New Roman"/>
                <w:b w:val="0"/>
                <w:i w:val="0"/>
                <w:sz w:val="21"/>
              </w:rPr>
            </w:r>
          </w:p>
        </w:tc>
      </w:tr>
    </w:tbl>
    <w:p>
      <w:r>
        <w:br w:type="page"/>
      </w:r>
    </w:p>
    <w:p>
      <w:pPr>
        <w:spacing w:before="320" w:after="160" w:line="312" w:lineRule="auto"/>
        <w:jc w:val="left"/>
      </w:pPr>
      <w:r>
        <w:rPr>
          <w:rFonts w:ascii="Times New Roman" w:hAnsi="Times New Roman"/>
          <w:b/>
          <w:i w:val="0"/>
          <w:color w:val="102C57"/>
          <w:sz w:val="28"/>
        </w:rPr>
        <w:t>LỜI CẢM ƠN</w:t>
      </w:r>
    </w:p>
    <w:p>
      <w:pPr>
        <w:spacing w:before="0" w:after="120" w:line="312" w:lineRule="auto"/>
        <w:jc w:val="both"/>
      </w:pPr>
      <w:r>
        <w:rPr>
          <w:rFonts w:ascii="Times New Roman" w:hAnsi="Times New Roman"/>
          <w:b w:val="0"/>
          <w:i w:val="0"/>
          <w:sz w:val="24"/>
        </w:rPr>
        <w:t>Lời đầu tiên, nhóm nghiên cứu xin được bày tỏ lòng biết ơn chân thành, sâu sắc nhất tới thầy ThS. Chu Văn Huy, giảng viên phụ trách học phần Công nghệ Dịch vụ Tài chính. Trong suốt quá trình học tập và hoàn thiện Bài kiểm tra số 2, thầy đã luôn dành sự quan tâm sát sao, nhiệt tình truyền đạt cho chúng em những tri thức chuyên sâu và hiện đại về hệ thống thanh toán số, quản trị dòng tiền, và các xu hướng công nghệ tài chính tiên tiến trên thế giới cũng như tại Việt Nam.</w:t>
      </w:r>
    </w:p>
    <w:p>
      <w:pPr>
        <w:spacing w:before="0" w:after="120" w:line="312" w:lineRule="auto"/>
        <w:jc w:val="both"/>
      </w:pPr>
      <w:r>
        <w:rPr>
          <w:rFonts w:ascii="Times New Roman" w:hAnsi="Times New Roman"/>
          <w:b w:val="0"/>
          <w:i w:val="0"/>
          <w:sz w:val="24"/>
        </w:rPr>
        <w:t>Đặc biệt, sự định hướng phương pháp tư duy phản biện khoa học và những nhận xét, gợi mở sắc bén của thầy về bài toán bất cân xứng thông tin trong thanh toán bán lẻ đã giúp nhóm tiếp cận bài toán một cách thấu đáo. Nhờ sự chỉ dẫn quý báu đó, chúng em đã định hình được kiến trúc giải pháp VietQR ReconHub, kết hợp nhuần nhuyễn giữa giải thuật đối soát tự động thông minh và các chuẩn mực an ninh mật mã học hiện đại.</w:t>
      </w:r>
    </w:p>
    <w:p>
      <w:pPr>
        <w:spacing w:before="0" w:after="120" w:line="312" w:lineRule="auto"/>
        <w:jc w:val="both"/>
      </w:pPr>
      <w:r>
        <w:rPr>
          <w:rFonts w:ascii="Times New Roman" w:hAnsi="Times New Roman"/>
          <w:b w:val="0"/>
          <w:i w:val="0"/>
          <w:sz w:val="24"/>
        </w:rPr>
        <w:t>Nhóm cũng xin trân trọng gửi lời cảm ơn đến Ban Giám hiệu Học viện Ngân hàng, Ban Chủ nhiệm Khoa Công nghệ Thông tin và Kinh tế số cùng toàn thể các thầy cô giáo trong khoa đã luôn tạo dựng một môi trường học tập học thuật chất lượng cao, khích lệ sinh viên chủ động sáng tạo và gắn kết kiến thức lý thuyết với bài toán thực tiễn.</w:t>
      </w:r>
    </w:p>
    <w:p>
      <w:pPr>
        <w:spacing w:before="0" w:after="360" w:line="312" w:lineRule="auto"/>
        <w:jc w:val="both"/>
      </w:pPr>
      <w:r>
        <w:rPr>
          <w:rFonts w:ascii="Times New Roman" w:hAnsi="Times New Roman"/>
          <w:b w:val="0"/>
          <w:i w:val="0"/>
          <w:sz w:val="24"/>
        </w:rPr>
        <w:t>Dù đã dành nhiều thời gian, nỗ lực và tâm huyết để nghiên cứu và hoàn thành báo cáo này, song do trình độ và kinh nghiệm thực tế còn hạn chế, bài làm chắc chắn khó tránh khỏi những thiếu sót nhất định. Nhóm rất mong tiếp tục nhận được những ý kiến đóng góp, phê bình quý báu từ thầy để đề tài ngày càng được hoàn thiện hơn nữa trong giai đoạn tiếp theo.</w:t>
      </w:r>
    </w:p>
    <w:p>
      <w:pPr>
        <w:spacing w:before="320" w:after="160" w:line="312" w:lineRule="auto"/>
        <w:jc w:val="left"/>
      </w:pPr>
      <w:r>
        <w:rPr>
          <w:rFonts w:ascii="Times New Roman" w:hAnsi="Times New Roman"/>
          <w:b/>
          <w:i w:val="0"/>
          <w:color w:val="102C57"/>
          <w:sz w:val="28"/>
        </w:rPr>
        <w:t>LỜI CAM ĐOAN</w:t>
      </w:r>
    </w:p>
    <w:p>
      <w:pPr>
        <w:spacing w:before="0" w:after="120" w:line="312" w:lineRule="auto"/>
        <w:jc w:val="both"/>
      </w:pPr>
      <w:r>
        <w:rPr>
          <w:rFonts w:ascii="Times New Roman" w:hAnsi="Times New Roman"/>
          <w:b w:val="0"/>
          <w:i w:val="0"/>
          <w:sz w:val="24"/>
        </w:rPr>
        <w:t>Nhóm nghiên cứu xin cam đoan trước giảng viên và Khoa Công nghệ Thông tin và Kinh tế số rằng toàn bộ nội dung được trình bày trong bản báo cáo kỹ thuật này là kết quả nghiên cứu độc lập, nghiêm túc và trung thực của các thành viên trong nhóm dưới sự hướng dẫn chuyên môn của ThS. Chu Văn Huy.</w:t>
      </w:r>
    </w:p>
    <w:p>
      <w:pPr>
        <w:spacing w:before="0" w:after="120" w:line="312" w:lineRule="auto"/>
        <w:jc w:val="both"/>
      </w:pPr>
      <w:r>
        <w:rPr>
          <w:rFonts w:ascii="Times New Roman" w:hAnsi="Times New Roman"/>
          <w:b w:val="0"/>
          <w:i w:val="0"/>
          <w:sz w:val="24"/>
        </w:rPr>
        <w:t>Chúng em xin cam đoan: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Toàn bộ các số liệu thống kê thị trường, căn cứ pháp lý và tiêu chuẩn công nghệ được trích dẫn trong bài đều có nguồn gốc rõ ràng, được đối chiếu trực tiếp từ các văn bản quy phạm pháp luật của Nhà nước, báo cáo chính thức của Ngân hàng Nhà nước Việt Nam, Bộ Công Thương, Hiệp hội Ngân hàng Việt Nam (VNBA) và các tổ chức tiêu chuẩn quốc tế như IETF, NIST, W3C và EMVCo.</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Mô hình kiến trúc hệ thống, lược đồ cơ sở dữ liệu quan hệ, các giải thuật đối soát và quy trình thực nghiệm đều do các thành viên trong nhóm tự thiết kế, lập trình và kiểm chứng trên hệ thống mã nguồn thực tế của dự án.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Báo cáo hoàn toàn không sao chép nguyên văn từ bất kỳ công trình nghiên cứu, khóa luận hay đề tài khoa học nào khác của các tác giả trước đó khi chưa được sự cho phép hoặc trích dẫn hợp lệ theo chuẩn học thuật.</w:t>
      </w:r>
    </w:p>
    <w:p>
      <w:pPr>
        <w:spacing w:before="0" w:after="360" w:line="312" w:lineRule="auto"/>
        <w:jc w:val="both"/>
      </w:pPr>
      <w:r>
        <w:rPr>
          <w:rFonts w:ascii="Times New Roman" w:hAnsi="Times New Roman"/>
          <w:b w:val="0"/>
          <w:i w:val="0"/>
          <w:sz w:val="24"/>
        </w:rPr>
        <w:t>Nếu có bất kỳ sự không trung thực nào bị phát hiện liên quan đến nội dung hoặc kết quả thực nghiệm trong báo cáo, nhóm chúng em xin hoàn toàn chịu trách nhiệm theo đúng quy chế đào tạo và kỷ luật học thuật của Học viện Ngân hàng.</w:t>
      </w:r>
    </w:p>
    <w:p>
      <w:r>
        <w:br w:type="page"/>
      </w:r>
    </w:p>
    <w:p>
      <w:pPr>
        <w:spacing w:before="320" w:after="160" w:line="312" w:lineRule="auto"/>
        <w:jc w:val="left"/>
      </w:pPr>
      <w:r>
        <w:rPr>
          <w:rFonts w:ascii="Times New Roman" w:hAnsi="Times New Roman"/>
          <w:b/>
          <w:i w:val="0"/>
          <w:color w:val="102C57"/>
          <w:sz w:val="28"/>
        </w:rPr>
        <w:t>MỤC LỤC TỔNG QUÁT</w:t>
      </w:r>
    </w:p>
    <w:p>
      <w:pPr>
        <w:spacing w:before="20" w:after="20" w:line="276" w:lineRule="auto"/>
      </w:pPr>
      <w:r>
        <w:rPr>
          <w:rFonts w:ascii="Times New Roman" w:hAnsi="Times New Roman"/>
          <w:b/>
          <w:sz w:val="22"/>
        </w:rPr>
        <w:t>MỨC ĐỘ ĐÓNG GÓP CỦA CÁC THÀNH VIÊN</w:t>
      </w:r>
      <w:r>
        <w:rPr>
          <w:rFonts w:ascii="Times New Roman" w:hAnsi="Times New Roman"/>
          <w:color w:val="A0A0A0"/>
          <w:sz w:val="20"/>
        </w:rPr>
        <w:t xml:space="preserve"> .. </w:t>
      </w:r>
      <w:r>
        <w:rPr>
          <w:rFonts w:ascii="Times New Roman" w:hAnsi="Times New Roman"/>
          <w:b/>
          <w:sz w:val="22"/>
        </w:rPr>
        <w:t>2</w:t>
      </w:r>
    </w:p>
    <w:p>
      <w:pPr>
        <w:spacing w:before="20" w:after="20" w:line="276" w:lineRule="auto"/>
      </w:pPr>
      <w:r>
        <w:rPr>
          <w:rFonts w:ascii="Times New Roman" w:hAnsi="Times New Roman"/>
          <w:b/>
          <w:sz w:val="22"/>
        </w:rPr>
        <w:t>LỜI CẢM ƠN</w:t>
      </w:r>
      <w:r>
        <w:rPr>
          <w:rFonts w:ascii="Times New Roman" w:hAnsi="Times New Roman"/>
          <w:color w:val="A0A0A0"/>
          <w:sz w:val="20"/>
        </w:rPr>
        <w:t xml:space="preserve"> .................................................. </w:t>
      </w:r>
      <w:r>
        <w:rPr>
          <w:rFonts w:ascii="Times New Roman" w:hAnsi="Times New Roman"/>
          <w:b/>
          <w:sz w:val="22"/>
        </w:rPr>
        <w:t>3</w:t>
      </w:r>
    </w:p>
    <w:p>
      <w:pPr>
        <w:spacing w:before="20" w:after="20" w:line="276" w:lineRule="auto"/>
      </w:pPr>
      <w:r>
        <w:rPr>
          <w:rFonts w:ascii="Times New Roman" w:hAnsi="Times New Roman"/>
          <w:b/>
          <w:sz w:val="22"/>
        </w:rPr>
        <w:t>LỜI CAM ĐOAN</w:t>
      </w:r>
      <w:r>
        <w:rPr>
          <w:rFonts w:ascii="Times New Roman" w:hAnsi="Times New Roman"/>
          <w:color w:val="A0A0A0"/>
          <w:sz w:val="20"/>
        </w:rPr>
        <w:t xml:space="preserve"> .............................................. </w:t>
      </w:r>
      <w:r>
        <w:rPr>
          <w:rFonts w:ascii="Times New Roman" w:hAnsi="Times New Roman"/>
          <w:b/>
          <w:sz w:val="22"/>
        </w:rPr>
        <w:t>4</w:t>
      </w:r>
    </w:p>
    <w:p>
      <w:pPr>
        <w:spacing w:before="20" w:after="20" w:line="276" w:lineRule="auto"/>
      </w:pPr>
      <w:r>
        <w:rPr>
          <w:rFonts w:ascii="Times New Roman" w:hAnsi="Times New Roman"/>
          <w:b/>
          <w:sz w:val="22"/>
        </w:rPr>
        <w:t>DANH MỤC HÌNH ẢNH</w:t>
      </w:r>
      <w:r>
        <w:rPr>
          <w:rFonts w:ascii="Times New Roman" w:hAnsi="Times New Roman"/>
          <w:color w:val="A0A0A0"/>
          <w:sz w:val="20"/>
        </w:rPr>
        <w:t xml:space="preserve"> .................................... </w:t>
      </w:r>
      <w:r>
        <w:rPr>
          <w:rFonts w:ascii="Times New Roman" w:hAnsi="Times New Roman"/>
          <w:b/>
          <w:sz w:val="22"/>
        </w:rPr>
        <w:t>6</w:t>
      </w:r>
    </w:p>
    <w:p>
      <w:pPr>
        <w:spacing w:before="20" w:after="20" w:line="276" w:lineRule="auto"/>
      </w:pPr>
      <w:r>
        <w:rPr>
          <w:rFonts w:ascii="Times New Roman" w:hAnsi="Times New Roman"/>
          <w:b/>
          <w:sz w:val="22"/>
        </w:rPr>
        <w:t>DANH MỤC BẢNG BIỂU</w:t>
      </w:r>
      <w:r>
        <w:rPr>
          <w:rFonts w:ascii="Times New Roman" w:hAnsi="Times New Roman"/>
          <w:color w:val="A0A0A0"/>
          <w:sz w:val="20"/>
        </w:rPr>
        <w:t xml:space="preserve"> .................................. </w:t>
      </w:r>
      <w:r>
        <w:rPr>
          <w:rFonts w:ascii="Times New Roman" w:hAnsi="Times New Roman"/>
          <w:b/>
          <w:sz w:val="22"/>
        </w:rPr>
        <w:t>8</w:t>
      </w:r>
    </w:p>
    <w:p>
      <w:pPr>
        <w:spacing w:before="20" w:after="20" w:line="276" w:lineRule="auto"/>
      </w:pPr>
      <w:r>
        <w:rPr>
          <w:rFonts w:ascii="Times New Roman" w:hAnsi="Times New Roman"/>
          <w:b/>
          <w:sz w:val="22"/>
        </w:rPr>
        <w:t>DANH MỤC TỪ VIẾT TẮT</w:t>
      </w:r>
      <w:r>
        <w:rPr>
          <w:rFonts w:ascii="Times New Roman" w:hAnsi="Times New Roman"/>
          <w:color w:val="A0A0A0"/>
          <w:sz w:val="20"/>
        </w:rPr>
        <w:t xml:space="preserve"> .............................. </w:t>
      </w:r>
      <w:r>
        <w:rPr>
          <w:rFonts w:ascii="Times New Roman" w:hAnsi="Times New Roman"/>
          <w:b/>
          <w:sz w:val="22"/>
        </w:rPr>
        <w:t>9</w:t>
      </w:r>
    </w:p>
    <w:p>
      <w:pPr>
        <w:spacing w:before="20" w:after="20" w:line="276" w:lineRule="auto"/>
      </w:pPr>
      <w:r>
        <w:rPr>
          <w:rFonts w:ascii="Times New Roman" w:hAnsi="Times New Roman"/>
          <w:b/>
          <w:sz w:val="22"/>
        </w:rPr>
        <w:t>LỜI MỞ ĐẦU</w:t>
      </w:r>
      <w:r>
        <w:rPr>
          <w:rFonts w:ascii="Times New Roman" w:hAnsi="Times New Roman"/>
          <w:color w:val="A0A0A0"/>
          <w:sz w:val="20"/>
        </w:rPr>
        <w:t xml:space="preserve"> .................................................. </w:t>
      </w:r>
      <w:r>
        <w:rPr>
          <w:rFonts w:ascii="Times New Roman" w:hAnsi="Times New Roman"/>
          <w:b/>
          <w:sz w:val="22"/>
        </w:rPr>
        <w:t>10</w:t>
      </w:r>
    </w:p>
    <w:p>
      <w:pPr>
        <w:spacing w:before="20" w:after="20" w:line="276" w:lineRule="auto"/>
      </w:pPr>
      <w:r>
        <w:rPr>
          <w:rFonts w:ascii="Times New Roman" w:hAnsi="Times New Roman"/>
          <w:b/>
          <w:sz w:val="22"/>
        </w:rPr>
        <w:t>CHƯƠNG 1: TỔNG QUAN VỀ ĐỀ TÀI VÀ BÀI TOÁN NGHIỆP VỤ</w:t>
      </w:r>
      <w:r>
        <w:rPr>
          <w:rFonts w:ascii="Times New Roman" w:hAnsi="Times New Roman"/>
          <w:color w:val="A0A0A0"/>
          <w:sz w:val="20"/>
        </w:rPr>
        <w:t xml:space="preserve"> .. </w:t>
      </w:r>
      <w:r>
        <w:rPr>
          <w:rFonts w:ascii="Times New Roman" w:hAnsi="Times New Roman"/>
          <w:b/>
          <w:sz w:val="22"/>
        </w:rPr>
        <w:t>12</w:t>
      </w:r>
    </w:p>
    <w:p>
      <w:pPr>
        <w:spacing w:before="20" w:after="20" w:line="276" w:lineRule="auto"/>
      </w:pPr>
      <w:r>
        <w:rPr>
          <w:rFonts w:ascii="Times New Roman" w:hAnsi="Times New Roman"/>
          <w:sz w:val="22"/>
        </w:rPr>
        <w:t xml:space="preserve">  1.1. Giới thiệu bài toán đối soát thanh toán QR tại điểm bán lẻ</w:t>
      </w:r>
      <w:r>
        <w:rPr>
          <w:rFonts w:ascii="Times New Roman" w:hAnsi="Times New Roman"/>
          <w:color w:val="A0A0A0"/>
          <w:sz w:val="20"/>
        </w:rPr>
        <w:t xml:space="preserve"> .. </w:t>
      </w:r>
      <w:r>
        <w:rPr>
          <w:rFonts w:ascii="Times New Roman" w:hAnsi="Times New Roman"/>
          <w:sz w:val="22"/>
        </w:rPr>
        <w:t>12</w:t>
      </w:r>
    </w:p>
    <w:p>
      <w:pPr>
        <w:spacing w:before="20" w:after="20" w:line="276" w:lineRule="auto"/>
      </w:pPr>
      <w:r>
        <w:rPr>
          <w:rFonts w:ascii="Times New Roman" w:hAnsi="Times New Roman"/>
          <w:sz w:val="22"/>
        </w:rPr>
        <w:t xml:space="preserve">  1.2. Nhu cầu thị trường và tính cấp thiết của bài toán</w:t>
      </w:r>
      <w:r>
        <w:rPr>
          <w:rFonts w:ascii="Times New Roman" w:hAnsi="Times New Roman"/>
          <w:color w:val="A0A0A0"/>
          <w:sz w:val="20"/>
        </w:rPr>
        <w:t xml:space="preserve"> .. </w:t>
      </w:r>
      <w:r>
        <w:rPr>
          <w:rFonts w:ascii="Times New Roman" w:hAnsi="Times New Roman"/>
          <w:sz w:val="22"/>
        </w:rPr>
        <w:t>15</w:t>
      </w:r>
    </w:p>
    <w:p>
      <w:pPr>
        <w:spacing w:before="20" w:after="20" w:line="276" w:lineRule="auto"/>
      </w:pPr>
      <w:r>
        <w:rPr>
          <w:rFonts w:ascii="Times New Roman" w:hAnsi="Times New Roman"/>
          <w:sz w:val="22"/>
        </w:rPr>
        <w:t xml:space="preserve">    1.2.1. Nhu cầu thị trường trong kỷ nguyên thanh toán số</w:t>
      </w:r>
      <w:r>
        <w:rPr>
          <w:rFonts w:ascii="Times New Roman" w:hAnsi="Times New Roman"/>
          <w:color w:val="A0A0A0"/>
          <w:sz w:val="20"/>
        </w:rPr>
        <w:t xml:space="preserve"> .. </w:t>
      </w:r>
      <w:r>
        <w:rPr>
          <w:rFonts w:ascii="Times New Roman" w:hAnsi="Times New Roman"/>
          <w:sz w:val="22"/>
        </w:rPr>
        <w:t>15</w:t>
      </w:r>
    </w:p>
    <w:p>
      <w:pPr>
        <w:spacing w:before="20" w:after="20" w:line="276" w:lineRule="auto"/>
      </w:pPr>
      <w:r>
        <w:rPr>
          <w:rFonts w:ascii="Times New Roman" w:hAnsi="Times New Roman"/>
          <w:sz w:val="22"/>
        </w:rPr>
        <w:t xml:space="preserve">    1.2.2. Tính cấp thiết dưới góc độ pháp lý và quản trị rủi ro</w:t>
      </w:r>
      <w:r>
        <w:rPr>
          <w:rFonts w:ascii="Times New Roman" w:hAnsi="Times New Roman"/>
          <w:color w:val="A0A0A0"/>
          <w:sz w:val="20"/>
        </w:rPr>
        <w:t xml:space="preserve"> .. </w:t>
      </w:r>
      <w:r>
        <w:rPr>
          <w:rFonts w:ascii="Times New Roman" w:hAnsi="Times New Roman"/>
          <w:sz w:val="22"/>
        </w:rPr>
        <w:t>17</w:t>
      </w:r>
    </w:p>
    <w:p>
      <w:pPr>
        <w:spacing w:before="20" w:after="20" w:line="276" w:lineRule="auto"/>
      </w:pPr>
      <w:r>
        <w:rPr>
          <w:rFonts w:ascii="Times New Roman" w:hAnsi="Times New Roman"/>
          <w:sz w:val="22"/>
        </w:rPr>
        <w:t xml:space="preserve">  1.3. Đề xuất mô hình kinh doanh và giải pháp công nghệ</w:t>
      </w:r>
      <w:r>
        <w:rPr>
          <w:rFonts w:ascii="Times New Roman" w:hAnsi="Times New Roman"/>
          <w:color w:val="A0A0A0"/>
          <w:sz w:val="20"/>
        </w:rPr>
        <w:t xml:space="preserve"> .. </w:t>
      </w:r>
      <w:r>
        <w:rPr>
          <w:rFonts w:ascii="Times New Roman" w:hAnsi="Times New Roman"/>
          <w:sz w:val="22"/>
        </w:rPr>
        <w:t>19</w:t>
      </w:r>
    </w:p>
    <w:p>
      <w:pPr>
        <w:spacing w:before="20" w:after="20" w:line="276" w:lineRule="auto"/>
      </w:pPr>
      <w:r>
        <w:rPr>
          <w:rFonts w:ascii="Times New Roman" w:hAnsi="Times New Roman"/>
          <w:sz w:val="22"/>
        </w:rPr>
        <w:t xml:space="preserve">  1.4. Đánh giá mô hình theo các tiêu chí yêu cầu</w:t>
      </w:r>
      <w:r>
        <w:rPr>
          <w:rFonts w:ascii="Times New Roman" w:hAnsi="Times New Roman"/>
          <w:color w:val="A0A0A0"/>
          <w:sz w:val="20"/>
        </w:rPr>
        <w:t xml:space="preserve"> .. </w:t>
      </w:r>
      <w:r>
        <w:rPr>
          <w:rFonts w:ascii="Times New Roman" w:hAnsi="Times New Roman"/>
          <w:sz w:val="22"/>
        </w:rPr>
        <w:t>21</w:t>
      </w:r>
    </w:p>
    <w:p>
      <w:pPr>
        <w:spacing w:before="20" w:after="20" w:line="276" w:lineRule="auto"/>
      </w:pPr>
      <w:r>
        <w:rPr>
          <w:rFonts w:ascii="Times New Roman" w:hAnsi="Times New Roman"/>
          <w:sz w:val="22"/>
        </w:rPr>
        <w:t xml:space="preserve">    1.4.1. Tính phù hợp với thị trường Việt Nam</w:t>
      </w:r>
      <w:r>
        <w:rPr>
          <w:rFonts w:ascii="Times New Roman" w:hAnsi="Times New Roman"/>
          <w:color w:val="A0A0A0"/>
          <w:sz w:val="20"/>
        </w:rPr>
        <w:t xml:space="preserve"> .. </w:t>
      </w:r>
      <w:r>
        <w:rPr>
          <w:rFonts w:ascii="Times New Roman" w:hAnsi="Times New Roman"/>
          <w:sz w:val="22"/>
        </w:rPr>
        <w:t>21</w:t>
      </w:r>
    </w:p>
    <w:p>
      <w:pPr>
        <w:spacing w:before="20" w:after="20" w:line="276" w:lineRule="auto"/>
      </w:pPr>
      <w:r>
        <w:rPr>
          <w:rFonts w:ascii="Times New Roman" w:hAnsi="Times New Roman"/>
          <w:sz w:val="22"/>
        </w:rPr>
        <w:t xml:space="preserve">    1.4.2. Tính mới trong công nghệ quản trị dòng tiền</w:t>
      </w:r>
      <w:r>
        <w:rPr>
          <w:rFonts w:ascii="Times New Roman" w:hAnsi="Times New Roman"/>
          <w:color w:val="A0A0A0"/>
          <w:sz w:val="20"/>
        </w:rPr>
        <w:t xml:space="preserve"> .. </w:t>
      </w:r>
      <w:r>
        <w:rPr>
          <w:rFonts w:ascii="Times New Roman" w:hAnsi="Times New Roman"/>
          <w:sz w:val="22"/>
        </w:rPr>
        <w:t>22</w:t>
      </w:r>
    </w:p>
    <w:p>
      <w:pPr>
        <w:spacing w:before="20" w:after="20" w:line="276" w:lineRule="auto"/>
      </w:pPr>
      <w:r>
        <w:rPr>
          <w:rFonts w:ascii="Times New Roman" w:hAnsi="Times New Roman"/>
          <w:sz w:val="22"/>
        </w:rPr>
        <w:t xml:space="preserve">    1.4.3. Tính sáng tạo trong giải thuật đối soát đa tầng</w:t>
      </w:r>
      <w:r>
        <w:rPr>
          <w:rFonts w:ascii="Times New Roman" w:hAnsi="Times New Roman"/>
          <w:color w:val="A0A0A0"/>
          <w:sz w:val="20"/>
        </w:rPr>
        <w:t xml:space="preserve"> .. </w:t>
      </w:r>
      <w:r>
        <w:rPr>
          <w:rFonts w:ascii="Times New Roman" w:hAnsi="Times New Roman"/>
          <w:sz w:val="22"/>
        </w:rPr>
        <w:t>23</w:t>
      </w:r>
    </w:p>
    <w:p>
      <w:pPr>
        <w:spacing w:before="20" w:after="20" w:line="276" w:lineRule="auto"/>
      </w:pPr>
      <w:r>
        <w:rPr>
          <w:rFonts w:ascii="Times New Roman" w:hAnsi="Times New Roman"/>
          <w:sz w:val="22"/>
        </w:rPr>
        <w:t xml:space="preserve">    1.4.4. Tính khả thi trong triển khai thực tiễn</w:t>
      </w:r>
      <w:r>
        <w:rPr>
          <w:rFonts w:ascii="Times New Roman" w:hAnsi="Times New Roman"/>
          <w:color w:val="A0A0A0"/>
          <w:sz w:val="20"/>
        </w:rPr>
        <w:t xml:space="preserve"> .. </w:t>
      </w:r>
      <w:r>
        <w:rPr>
          <w:rFonts w:ascii="Times New Roman" w:hAnsi="Times New Roman"/>
          <w:sz w:val="22"/>
        </w:rPr>
        <w:t>24</w:t>
      </w:r>
    </w:p>
    <w:p>
      <w:pPr>
        <w:spacing w:before="20" w:after="20" w:line="276" w:lineRule="auto"/>
      </w:pPr>
      <w:r>
        <w:rPr>
          <w:rFonts w:ascii="Times New Roman" w:hAnsi="Times New Roman"/>
          <w:sz w:val="22"/>
        </w:rPr>
        <w:t xml:space="preserve">  1.5. Mục tiêu đề tài</w:t>
      </w:r>
      <w:r>
        <w:rPr>
          <w:rFonts w:ascii="Times New Roman" w:hAnsi="Times New Roman"/>
          <w:color w:val="A0A0A0"/>
          <w:sz w:val="20"/>
        </w:rPr>
        <w:t xml:space="preserve"> .......................... </w:t>
      </w:r>
      <w:r>
        <w:rPr>
          <w:rFonts w:ascii="Times New Roman" w:hAnsi="Times New Roman"/>
          <w:sz w:val="22"/>
        </w:rPr>
        <w:t>25</w:t>
      </w:r>
    </w:p>
    <w:p>
      <w:pPr>
        <w:spacing w:before="20" w:after="20" w:line="276" w:lineRule="auto"/>
      </w:pPr>
      <w:r>
        <w:rPr>
          <w:rFonts w:ascii="Times New Roman" w:hAnsi="Times New Roman"/>
          <w:sz w:val="22"/>
        </w:rPr>
        <w:t xml:space="preserve">  1.6. Phân tích đối thủ cạnh tranh trên thị trường</w:t>
      </w:r>
      <w:r>
        <w:rPr>
          <w:rFonts w:ascii="Times New Roman" w:hAnsi="Times New Roman"/>
          <w:color w:val="A0A0A0"/>
          <w:sz w:val="20"/>
        </w:rPr>
        <w:t xml:space="preserve"> .. </w:t>
      </w:r>
      <w:r>
        <w:rPr>
          <w:rFonts w:ascii="Times New Roman" w:hAnsi="Times New Roman"/>
          <w:sz w:val="22"/>
        </w:rPr>
        <w:t>26</w:t>
      </w:r>
    </w:p>
    <w:p>
      <w:pPr>
        <w:spacing w:before="20" w:after="20" w:line="276" w:lineRule="auto"/>
      </w:pPr>
      <w:r>
        <w:rPr>
          <w:rFonts w:ascii="Times New Roman" w:hAnsi="Times New Roman"/>
          <w:sz w:val="22"/>
        </w:rPr>
        <w:t xml:space="preserve">    1.6.1. Nhóm giải pháp QR tĩnh dán quầy của các ngân hàng</w:t>
      </w:r>
      <w:r>
        <w:rPr>
          <w:rFonts w:ascii="Times New Roman" w:hAnsi="Times New Roman"/>
          <w:color w:val="A0A0A0"/>
          <w:sz w:val="20"/>
        </w:rPr>
        <w:t xml:space="preserve"> .. </w:t>
      </w:r>
      <w:r>
        <w:rPr>
          <w:rFonts w:ascii="Times New Roman" w:hAnsi="Times New Roman"/>
          <w:sz w:val="22"/>
        </w:rPr>
        <w:t>26</w:t>
      </w:r>
    </w:p>
    <w:p>
      <w:pPr>
        <w:spacing w:before="20" w:after="20" w:line="276" w:lineRule="auto"/>
      </w:pPr>
      <w:r>
        <w:rPr>
          <w:rFonts w:ascii="Times New Roman" w:hAnsi="Times New Roman"/>
          <w:sz w:val="22"/>
        </w:rPr>
        <w:t xml:space="preserve">    1.6.2. Nhóm phần mềm quản lý bán hàng tích hợp (KiotViet, Sapo)</w:t>
      </w:r>
      <w:r>
        <w:rPr>
          <w:rFonts w:ascii="Times New Roman" w:hAnsi="Times New Roman"/>
          <w:color w:val="A0A0A0"/>
          <w:sz w:val="20"/>
        </w:rPr>
        <w:t xml:space="preserve"> .. </w:t>
      </w:r>
      <w:r>
        <w:rPr>
          <w:rFonts w:ascii="Times New Roman" w:hAnsi="Times New Roman"/>
          <w:sz w:val="22"/>
        </w:rPr>
        <w:t>27</w:t>
      </w:r>
    </w:p>
    <w:p>
      <w:pPr>
        <w:spacing w:before="20" w:after="20" w:line="276" w:lineRule="auto"/>
      </w:pPr>
      <w:r>
        <w:rPr>
          <w:rFonts w:ascii="Times New Roman" w:hAnsi="Times New Roman"/>
          <w:sz w:val="22"/>
        </w:rPr>
        <w:t xml:space="preserve">    1.6.3. Nhóm cổng kết nối Webhook Open Banking thô (Casso, SePay)</w:t>
      </w:r>
      <w:r>
        <w:rPr>
          <w:rFonts w:ascii="Times New Roman" w:hAnsi="Times New Roman"/>
          <w:color w:val="A0A0A0"/>
          <w:sz w:val="20"/>
        </w:rPr>
        <w:t xml:space="preserve"> .. </w:t>
      </w:r>
      <w:r>
        <w:rPr>
          <w:rFonts w:ascii="Times New Roman" w:hAnsi="Times New Roman"/>
          <w:sz w:val="22"/>
        </w:rPr>
        <w:t>28</w:t>
      </w:r>
    </w:p>
    <w:p>
      <w:pPr>
        <w:spacing w:before="20" w:after="20" w:line="276" w:lineRule="auto"/>
      </w:pPr>
      <w:r>
        <w:rPr>
          <w:rFonts w:ascii="Times New Roman" w:hAnsi="Times New Roman"/>
          <w:sz w:val="22"/>
        </w:rPr>
        <w:t xml:space="preserve">  1.7. So sánh điểm mạnh giải pháp đối soát tự động VietQR ReconHub</w:t>
      </w:r>
      <w:r>
        <w:rPr>
          <w:rFonts w:ascii="Times New Roman" w:hAnsi="Times New Roman"/>
          <w:color w:val="A0A0A0"/>
          <w:sz w:val="20"/>
        </w:rPr>
        <w:t xml:space="preserve"> .. </w:t>
      </w:r>
      <w:r>
        <w:rPr>
          <w:rFonts w:ascii="Times New Roman" w:hAnsi="Times New Roman"/>
          <w:sz w:val="22"/>
        </w:rPr>
        <w:t>30</w:t>
      </w:r>
    </w:p>
    <w:p>
      <w:pPr>
        <w:spacing w:before="20" w:after="20" w:line="276" w:lineRule="auto"/>
      </w:pPr>
      <w:r>
        <w:rPr>
          <w:rFonts w:ascii="Times New Roman" w:hAnsi="Times New Roman"/>
          <w:b/>
          <w:sz w:val="22"/>
        </w:rPr>
        <w:t>CHƯƠNG 2: MÔ HÌNH BUSINESS MODEL CANVAS (BMC)</w:t>
      </w:r>
      <w:r>
        <w:rPr>
          <w:rFonts w:ascii="Times New Roman" w:hAnsi="Times New Roman"/>
          <w:color w:val="A0A0A0"/>
          <w:sz w:val="20"/>
        </w:rPr>
        <w:t xml:space="preserve"> .. </w:t>
      </w:r>
      <w:r>
        <w:rPr>
          <w:rFonts w:ascii="Times New Roman" w:hAnsi="Times New Roman"/>
          <w:b/>
          <w:sz w:val="22"/>
        </w:rPr>
        <w:t>32</w:t>
      </w:r>
    </w:p>
    <w:p>
      <w:pPr>
        <w:spacing w:before="20" w:after="20" w:line="276" w:lineRule="auto"/>
      </w:pPr>
      <w:r>
        <w:rPr>
          <w:rFonts w:ascii="Times New Roman" w:hAnsi="Times New Roman"/>
          <w:sz w:val="22"/>
        </w:rPr>
        <w:t xml:space="preserve">  2.1. Giới thiệu mô hình Business Model Canvas</w:t>
      </w:r>
      <w:r>
        <w:rPr>
          <w:rFonts w:ascii="Times New Roman" w:hAnsi="Times New Roman"/>
          <w:color w:val="A0A0A0"/>
          <w:sz w:val="20"/>
        </w:rPr>
        <w:t xml:space="preserve"> .. </w:t>
      </w:r>
      <w:r>
        <w:rPr>
          <w:rFonts w:ascii="Times New Roman" w:hAnsi="Times New Roman"/>
          <w:sz w:val="22"/>
        </w:rPr>
        <w:t>32</w:t>
      </w:r>
    </w:p>
    <w:p>
      <w:pPr>
        <w:spacing w:before="20" w:after="20" w:line="276" w:lineRule="auto"/>
      </w:pPr>
      <w:r>
        <w:rPr>
          <w:rFonts w:ascii="Times New Roman" w:hAnsi="Times New Roman"/>
          <w:sz w:val="22"/>
        </w:rPr>
        <w:t xml:space="preserve">  2.2. Phân tích 9 thành phần trong mô hình Business Model Canvas</w:t>
      </w:r>
      <w:r>
        <w:rPr>
          <w:rFonts w:ascii="Times New Roman" w:hAnsi="Times New Roman"/>
          <w:color w:val="A0A0A0"/>
          <w:sz w:val="20"/>
        </w:rPr>
        <w:t xml:space="preserve"> .. </w:t>
      </w:r>
      <w:r>
        <w:rPr>
          <w:rFonts w:ascii="Times New Roman" w:hAnsi="Times New Roman"/>
          <w:sz w:val="22"/>
        </w:rPr>
        <w:t>35</w:t>
      </w:r>
    </w:p>
    <w:p>
      <w:pPr>
        <w:spacing w:before="20" w:after="20" w:line="276" w:lineRule="auto"/>
      </w:pPr>
      <w:r>
        <w:rPr>
          <w:rFonts w:ascii="Times New Roman" w:hAnsi="Times New Roman"/>
          <w:sz w:val="22"/>
        </w:rPr>
        <w:t xml:space="preserve">    2.2.1. Phân khúc khách hàng (Customer Segments)</w:t>
      </w:r>
      <w:r>
        <w:rPr>
          <w:rFonts w:ascii="Times New Roman" w:hAnsi="Times New Roman"/>
          <w:color w:val="A0A0A0"/>
          <w:sz w:val="20"/>
        </w:rPr>
        <w:t xml:space="preserve"> .. </w:t>
      </w:r>
      <w:r>
        <w:rPr>
          <w:rFonts w:ascii="Times New Roman" w:hAnsi="Times New Roman"/>
          <w:sz w:val="22"/>
        </w:rPr>
        <w:t>35</w:t>
      </w:r>
    </w:p>
    <w:p>
      <w:pPr>
        <w:spacing w:before="20" w:after="20" w:line="276" w:lineRule="auto"/>
      </w:pPr>
      <w:r>
        <w:rPr>
          <w:rFonts w:ascii="Times New Roman" w:hAnsi="Times New Roman"/>
          <w:sz w:val="22"/>
        </w:rPr>
        <w:t xml:space="preserve">    2.2.2. Tuyên ngôn giá trị cốt lõi (Value Propositions)</w:t>
      </w:r>
      <w:r>
        <w:rPr>
          <w:rFonts w:ascii="Times New Roman" w:hAnsi="Times New Roman"/>
          <w:color w:val="A0A0A0"/>
          <w:sz w:val="20"/>
        </w:rPr>
        <w:t xml:space="preserve"> .. </w:t>
      </w:r>
      <w:r>
        <w:rPr>
          <w:rFonts w:ascii="Times New Roman" w:hAnsi="Times New Roman"/>
          <w:sz w:val="22"/>
        </w:rPr>
        <w:t>36</w:t>
      </w:r>
    </w:p>
    <w:p>
      <w:pPr>
        <w:spacing w:before="20" w:after="20" w:line="276" w:lineRule="auto"/>
      </w:pPr>
      <w:r>
        <w:rPr>
          <w:rFonts w:ascii="Times New Roman" w:hAnsi="Times New Roman"/>
          <w:sz w:val="22"/>
        </w:rPr>
        <w:t xml:space="preserve">    2.2.3. Kênh phân phối và tiếp cận (Channels)</w:t>
      </w:r>
      <w:r>
        <w:rPr>
          <w:rFonts w:ascii="Times New Roman" w:hAnsi="Times New Roman"/>
          <w:color w:val="A0A0A0"/>
          <w:sz w:val="20"/>
        </w:rPr>
        <w:t xml:space="preserve"> .. </w:t>
      </w:r>
      <w:r>
        <w:rPr>
          <w:rFonts w:ascii="Times New Roman" w:hAnsi="Times New Roman"/>
          <w:sz w:val="22"/>
        </w:rPr>
        <w:t>38</w:t>
      </w:r>
    </w:p>
    <w:p>
      <w:pPr>
        <w:spacing w:before="20" w:after="20" w:line="276" w:lineRule="auto"/>
      </w:pPr>
      <w:r>
        <w:rPr>
          <w:rFonts w:ascii="Times New Roman" w:hAnsi="Times New Roman"/>
          <w:sz w:val="22"/>
        </w:rPr>
        <w:t xml:space="preserve">    2.2.4. Quan hệ khách hàng (Customer Relationships)</w:t>
      </w:r>
      <w:r>
        <w:rPr>
          <w:rFonts w:ascii="Times New Roman" w:hAnsi="Times New Roman"/>
          <w:color w:val="A0A0A0"/>
          <w:sz w:val="20"/>
        </w:rPr>
        <w:t xml:space="preserve"> .. </w:t>
      </w:r>
      <w:r>
        <w:rPr>
          <w:rFonts w:ascii="Times New Roman" w:hAnsi="Times New Roman"/>
          <w:sz w:val="22"/>
        </w:rPr>
        <w:t>39</w:t>
      </w:r>
    </w:p>
    <w:p>
      <w:pPr>
        <w:spacing w:before="20" w:after="20" w:line="276" w:lineRule="auto"/>
      </w:pPr>
      <w:r>
        <w:rPr>
          <w:rFonts w:ascii="Times New Roman" w:hAnsi="Times New Roman"/>
          <w:sz w:val="22"/>
        </w:rPr>
        <w:t xml:space="preserve">    2.2.5. Dòng doanh thu (Revenue Streams)</w:t>
      </w:r>
      <w:r>
        <w:rPr>
          <w:rFonts w:ascii="Times New Roman" w:hAnsi="Times New Roman"/>
          <w:color w:val="A0A0A0"/>
          <w:sz w:val="20"/>
        </w:rPr>
        <w:t xml:space="preserve"> .. </w:t>
      </w:r>
      <w:r>
        <w:rPr>
          <w:rFonts w:ascii="Times New Roman" w:hAnsi="Times New Roman"/>
          <w:sz w:val="22"/>
        </w:rPr>
        <w:t>40</w:t>
      </w:r>
    </w:p>
    <w:p>
      <w:pPr>
        <w:spacing w:before="20" w:after="20" w:line="276" w:lineRule="auto"/>
      </w:pPr>
      <w:r>
        <w:rPr>
          <w:rFonts w:ascii="Times New Roman" w:hAnsi="Times New Roman"/>
          <w:sz w:val="22"/>
        </w:rPr>
        <w:t xml:space="preserve">    2.2.6. Nguồn lực chính (Key Resources)</w:t>
      </w:r>
      <w:r>
        <w:rPr>
          <w:rFonts w:ascii="Times New Roman" w:hAnsi="Times New Roman"/>
          <w:color w:val="A0A0A0"/>
          <w:sz w:val="20"/>
        </w:rPr>
        <w:t xml:space="preserve"> .. </w:t>
      </w:r>
      <w:r>
        <w:rPr>
          <w:rFonts w:ascii="Times New Roman" w:hAnsi="Times New Roman"/>
          <w:sz w:val="22"/>
        </w:rPr>
        <w:t>41</w:t>
      </w:r>
    </w:p>
    <w:p>
      <w:pPr>
        <w:spacing w:before="20" w:after="20" w:line="276" w:lineRule="auto"/>
      </w:pPr>
      <w:r>
        <w:rPr>
          <w:rFonts w:ascii="Times New Roman" w:hAnsi="Times New Roman"/>
          <w:sz w:val="22"/>
        </w:rPr>
        <w:t xml:space="preserve">    2.2.7. Hoạt động chính (Key Activities)</w:t>
      </w:r>
      <w:r>
        <w:rPr>
          <w:rFonts w:ascii="Times New Roman" w:hAnsi="Times New Roman"/>
          <w:color w:val="A0A0A0"/>
          <w:sz w:val="20"/>
        </w:rPr>
        <w:t xml:space="preserve"> .. </w:t>
      </w:r>
      <w:r>
        <w:rPr>
          <w:rFonts w:ascii="Times New Roman" w:hAnsi="Times New Roman"/>
          <w:sz w:val="22"/>
        </w:rPr>
        <w:t>43</w:t>
      </w:r>
    </w:p>
    <w:p>
      <w:pPr>
        <w:spacing w:before="20" w:after="20" w:line="276" w:lineRule="auto"/>
      </w:pPr>
      <w:r>
        <w:rPr>
          <w:rFonts w:ascii="Times New Roman" w:hAnsi="Times New Roman"/>
          <w:sz w:val="22"/>
        </w:rPr>
        <w:t xml:space="preserve">    2.2.8. Đối tác chính (Key Partnerships)</w:t>
      </w:r>
      <w:r>
        <w:rPr>
          <w:rFonts w:ascii="Times New Roman" w:hAnsi="Times New Roman"/>
          <w:color w:val="A0A0A0"/>
          <w:sz w:val="20"/>
        </w:rPr>
        <w:t xml:space="preserve"> .. </w:t>
      </w:r>
      <w:r>
        <w:rPr>
          <w:rFonts w:ascii="Times New Roman" w:hAnsi="Times New Roman"/>
          <w:sz w:val="22"/>
        </w:rPr>
        <w:t>44</w:t>
      </w:r>
    </w:p>
    <w:p>
      <w:pPr>
        <w:spacing w:before="20" w:after="20" w:line="276" w:lineRule="auto"/>
      </w:pPr>
      <w:r>
        <w:rPr>
          <w:rFonts w:ascii="Times New Roman" w:hAnsi="Times New Roman"/>
          <w:sz w:val="22"/>
        </w:rPr>
        <w:t xml:space="preserve">    2.2.9. Cấu trúc chi phí (Cost Structure)</w:t>
      </w:r>
      <w:r>
        <w:rPr>
          <w:rFonts w:ascii="Times New Roman" w:hAnsi="Times New Roman"/>
          <w:color w:val="A0A0A0"/>
          <w:sz w:val="20"/>
        </w:rPr>
        <w:t xml:space="preserve"> .. </w:t>
      </w:r>
      <w:r>
        <w:rPr>
          <w:rFonts w:ascii="Times New Roman" w:hAnsi="Times New Roman"/>
          <w:sz w:val="22"/>
        </w:rPr>
        <w:t>45</w:t>
      </w:r>
    </w:p>
    <w:p>
      <w:pPr>
        <w:spacing w:before="20" w:after="20" w:line="276" w:lineRule="auto"/>
      </w:pPr>
      <w:r>
        <w:rPr>
          <w:rFonts w:ascii="Times New Roman" w:hAnsi="Times New Roman"/>
          <w:b/>
          <w:sz w:val="22"/>
        </w:rPr>
        <w:t>CHƯƠNG 3: THIẾT KẾ KIẾN TRÚC VÀ THỬ NGHIỆM MÔ HÌNH</w:t>
      </w:r>
      <w:r>
        <w:rPr>
          <w:rFonts w:ascii="Times New Roman" w:hAnsi="Times New Roman"/>
          <w:color w:val="A0A0A0"/>
          <w:sz w:val="20"/>
        </w:rPr>
        <w:t xml:space="preserve"> .. </w:t>
      </w:r>
      <w:r>
        <w:rPr>
          <w:rFonts w:ascii="Times New Roman" w:hAnsi="Times New Roman"/>
          <w:b/>
          <w:sz w:val="22"/>
        </w:rPr>
        <w:t>47</w:t>
      </w:r>
    </w:p>
    <w:p>
      <w:pPr>
        <w:spacing w:before="20" w:after="20" w:line="276" w:lineRule="auto"/>
      </w:pPr>
      <w:r>
        <w:rPr>
          <w:rFonts w:ascii="Times New Roman" w:hAnsi="Times New Roman"/>
          <w:sz w:val="22"/>
        </w:rPr>
        <w:t xml:space="preserve">  3.1. Cấu trúc chung của nền tảng</w:t>
      </w:r>
      <w:r>
        <w:rPr>
          <w:rFonts w:ascii="Times New Roman" w:hAnsi="Times New Roman"/>
          <w:color w:val="A0A0A0"/>
          <w:sz w:val="20"/>
        </w:rPr>
        <w:t xml:space="preserve"> .. </w:t>
      </w:r>
      <w:r>
        <w:rPr>
          <w:rFonts w:ascii="Times New Roman" w:hAnsi="Times New Roman"/>
          <w:sz w:val="22"/>
        </w:rPr>
        <w:t>47</w:t>
      </w:r>
    </w:p>
    <w:p>
      <w:pPr>
        <w:spacing w:before="20" w:after="20" w:line="276" w:lineRule="auto"/>
      </w:pPr>
      <w:r>
        <w:rPr>
          <w:rFonts w:ascii="Times New Roman" w:hAnsi="Times New Roman"/>
          <w:sz w:val="22"/>
        </w:rPr>
        <w:t xml:space="preserve">    3.1.1. Nhóm tính năng chung</w:t>
      </w:r>
      <w:r>
        <w:rPr>
          <w:rFonts w:ascii="Times New Roman" w:hAnsi="Times New Roman"/>
          <w:color w:val="A0A0A0"/>
          <w:sz w:val="20"/>
        </w:rPr>
        <w:t xml:space="preserve"> ........ </w:t>
      </w:r>
      <w:r>
        <w:rPr>
          <w:rFonts w:ascii="Times New Roman" w:hAnsi="Times New Roman"/>
          <w:sz w:val="22"/>
        </w:rPr>
        <w:t>47</w:t>
      </w:r>
    </w:p>
    <w:p>
      <w:pPr>
        <w:spacing w:before="20" w:after="20" w:line="276" w:lineRule="auto"/>
      </w:pPr>
      <w:r>
        <w:rPr>
          <w:rFonts w:ascii="Times New Roman" w:hAnsi="Times New Roman"/>
          <w:sz w:val="22"/>
        </w:rPr>
        <w:t xml:space="preserve">    3.1.2. Nhóm tính năng thanh toán VietQR và bắt biến động số dư</w:t>
      </w:r>
      <w:r>
        <w:rPr>
          <w:rFonts w:ascii="Times New Roman" w:hAnsi="Times New Roman"/>
          <w:color w:val="A0A0A0"/>
          <w:sz w:val="20"/>
        </w:rPr>
        <w:t xml:space="preserve"> .. </w:t>
      </w:r>
      <w:r>
        <w:rPr>
          <w:rFonts w:ascii="Times New Roman" w:hAnsi="Times New Roman"/>
          <w:sz w:val="22"/>
        </w:rPr>
        <w:t>49</w:t>
      </w:r>
    </w:p>
    <w:p>
      <w:pPr>
        <w:spacing w:before="20" w:after="20" w:line="276" w:lineRule="auto"/>
      </w:pPr>
      <w:r>
        <w:rPr>
          <w:rFonts w:ascii="Times New Roman" w:hAnsi="Times New Roman"/>
          <w:sz w:val="22"/>
        </w:rPr>
        <w:t xml:space="preserve">    3.1.3. Nhóm tính năng động cơ đối soát tự động đa cấp độ</w:t>
      </w:r>
      <w:r>
        <w:rPr>
          <w:rFonts w:ascii="Times New Roman" w:hAnsi="Times New Roman"/>
          <w:color w:val="A0A0A0"/>
          <w:sz w:val="20"/>
        </w:rPr>
        <w:t xml:space="preserve"> .. </w:t>
      </w:r>
      <w:r>
        <w:rPr>
          <w:rFonts w:ascii="Times New Roman" w:hAnsi="Times New Roman"/>
          <w:sz w:val="22"/>
        </w:rPr>
        <w:t>51</w:t>
      </w:r>
    </w:p>
    <w:p>
      <w:pPr>
        <w:spacing w:before="20" w:after="20" w:line="276" w:lineRule="auto"/>
      </w:pPr>
      <w:r>
        <w:rPr>
          <w:rFonts w:ascii="Times New Roman" w:hAnsi="Times New Roman"/>
          <w:sz w:val="22"/>
        </w:rPr>
        <w:t xml:space="preserve">    3.1.4. Nhóm tính năng Sổ cái Hash Chain và Cây Merkle</w:t>
      </w:r>
      <w:r>
        <w:rPr>
          <w:rFonts w:ascii="Times New Roman" w:hAnsi="Times New Roman"/>
          <w:color w:val="A0A0A0"/>
          <w:sz w:val="20"/>
        </w:rPr>
        <w:t xml:space="preserve"> .. </w:t>
      </w:r>
      <w:r>
        <w:rPr>
          <w:rFonts w:ascii="Times New Roman" w:hAnsi="Times New Roman"/>
          <w:sz w:val="22"/>
        </w:rPr>
        <w:t>54</w:t>
      </w:r>
    </w:p>
    <w:p>
      <w:pPr>
        <w:spacing w:before="20" w:after="20" w:line="276" w:lineRule="auto"/>
      </w:pPr>
      <w:r>
        <w:rPr>
          <w:rFonts w:ascii="Times New Roman" w:hAnsi="Times New Roman"/>
          <w:sz w:val="22"/>
        </w:rPr>
        <w:t xml:space="preserve">    3.1.5. Nhóm tính năng báo cáo thống kê tài chính và chốt ca</w:t>
      </w:r>
      <w:r>
        <w:rPr>
          <w:rFonts w:ascii="Times New Roman" w:hAnsi="Times New Roman"/>
          <w:color w:val="A0A0A0"/>
          <w:sz w:val="20"/>
        </w:rPr>
        <w:t xml:space="preserve"> .. </w:t>
      </w:r>
      <w:r>
        <w:rPr>
          <w:rFonts w:ascii="Times New Roman" w:hAnsi="Times New Roman"/>
          <w:sz w:val="22"/>
        </w:rPr>
        <w:t>57</w:t>
      </w:r>
    </w:p>
    <w:p>
      <w:pPr>
        <w:spacing w:before="20" w:after="20" w:line="276" w:lineRule="auto"/>
      </w:pPr>
      <w:r>
        <w:rPr>
          <w:rFonts w:ascii="Times New Roman" w:hAnsi="Times New Roman"/>
          <w:sz w:val="22"/>
        </w:rPr>
        <w:t xml:space="preserve">  3.2. Thiết kế nền tảng</w:t>
      </w:r>
      <w:r>
        <w:rPr>
          <w:rFonts w:ascii="Times New Roman" w:hAnsi="Times New Roman"/>
          <w:color w:val="A0A0A0"/>
          <w:sz w:val="20"/>
        </w:rPr>
        <w:t xml:space="preserve"> ...................... </w:t>
      </w:r>
      <w:r>
        <w:rPr>
          <w:rFonts w:ascii="Times New Roman" w:hAnsi="Times New Roman"/>
          <w:sz w:val="22"/>
        </w:rPr>
        <w:t>59</w:t>
      </w:r>
    </w:p>
    <w:p>
      <w:pPr>
        <w:spacing w:before="20" w:after="20" w:line="276" w:lineRule="auto"/>
      </w:pPr>
      <w:r>
        <w:rPr>
          <w:rFonts w:ascii="Times New Roman" w:hAnsi="Times New Roman"/>
          <w:sz w:val="22"/>
        </w:rPr>
        <w:t xml:space="preserve">    3.2.1. Kiến trúc ứng dụng Client–Server phân tầng</w:t>
      </w:r>
      <w:r>
        <w:rPr>
          <w:rFonts w:ascii="Times New Roman" w:hAnsi="Times New Roman"/>
          <w:color w:val="A0A0A0"/>
          <w:sz w:val="20"/>
        </w:rPr>
        <w:t xml:space="preserve"> .. </w:t>
      </w:r>
      <w:r>
        <w:rPr>
          <w:rFonts w:ascii="Times New Roman" w:hAnsi="Times New Roman"/>
          <w:sz w:val="22"/>
        </w:rPr>
        <w:t>59</w:t>
      </w:r>
    </w:p>
    <w:p>
      <w:pPr>
        <w:spacing w:before="20" w:after="20" w:line="276" w:lineRule="auto"/>
      </w:pPr>
      <w:r>
        <w:rPr>
          <w:rFonts w:ascii="Times New Roman" w:hAnsi="Times New Roman"/>
          <w:sz w:val="22"/>
        </w:rPr>
        <w:t xml:space="preserve">    3.2.2. Thiết kế tính năng ứng dụng và quy trình nghiệp vụ khép kín</w:t>
      </w:r>
      <w:r>
        <w:rPr>
          <w:rFonts w:ascii="Times New Roman" w:hAnsi="Times New Roman"/>
          <w:color w:val="A0A0A0"/>
          <w:sz w:val="20"/>
        </w:rPr>
        <w:t xml:space="preserve"> .. </w:t>
      </w:r>
      <w:r>
        <w:rPr>
          <w:rFonts w:ascii="Times New Roman" w:hAnsi="Times New Roman"/>
          <w:sz w:val="22"/>
        </w:rPr>
        <w:t>64</w:t>
      </w:r>
    </w:p>
    <w:p>
      <w:pPr>
        <w:spacing w:before="20" w:after="20" w:line="276" w:lineRule="auto"/>
      </w:pPr>
      <w:r>
        <w:rPr>
          <w:rFonts w:ascii="Times New Roman" w:hAnsi="Times New Roman"/>
          <w:sz w:val="22"/>
        </w:rPr>
        <w:t xml:space="preserve">  3.3. Xây dựng kịch bản và thử nghiệm mô hình thực tế</w:t>
      </w:r>
      <w:r>
        <w:rPr>
          <w:rFonts w:ascii="Times New Roman" w:hAnsi="Times New Roman"/>
          <w:color w:val="A0A0A0"/>
          <w:sz w:val="20"/>
        </w:rPr>
        <w:t xml:space="preserve"> .. </w:t>
      </w:r>
      <w:r>
        <w:rPr>
          <w:rFonts w:ascii="Times New Roman" w:hAnsi="Times New Roman"/>
          <w:sz w:val="22"/>
        </w:rPr>
        <w:t>67</w:t>
      </w:r>
    </w:p>
    <w:p>
      <w:pPr>
        <w:spacing w:before="20" w:after="20" w:line="276" w:lineRule="auto"/>
      </w:pPr>
      <w:r>
        <w:rPr>
          <w:rFonts w:ascii="Times New Roman" w:hAnsi="Times New Roman"/>
          <w:sz w:val="22"/>
        </w:rPr>
        <w:t xml:space="preserve">    3.3.1. Chuẩn bị dữ liệu kiểm thử</w:t>
      </w:r>
      <w:r>
        <w:rPr>
          <w:rFonts w:ascii="Times New Roman" w:hAnsi="Times New Roman"/>
          <w:color w:val="A0A0A0"/>
          <w:sz w:val="20"/>
        </w:rPr>
        <w:t xml:space="preserve"> .. </w:t>
      </w:r>
      <w:r>
        <w:rPr>
          <w:rFonts w:ascii="Times New Roman" w:hAnsi="Times New Roman"/>
          <w:sz w:val="22"/>
        </w:rPr>
        <w:t>67</w:t>
      </w:r>
    </w:p>
    <w:p>
      <w:pPr>
        <w:spacing w:before="20" w:after="20" w:line="276" w:lineRule="auto"/>
      </w:pPr>
      <w:r>
        <w:rPr>
          <w:rFonts w:ascii="Times New Roman" w:hAnsi="Times New Roman"/>
          <w:sz w:val="22"/>
        </w:rPr>
        <w:t xml:space="preserve">    3.3.2. Xây dựng giao diện ứng dụng</w:t>
      </w:r>
      <w:r>
        <w:rPr>
          <w:rFonts w:ascii="Times New Roman" w:hAnsi="Times New Roman"/>
          <w:color w:val="A0A0A0"/>
          <w:sz w:val="20"/>
        </w:rPr>
        <w:t xml:space="preserve"> .. </w:t>
      </w:r>
      <w:r>
        <w:rPr>
          <w:rFonts w:ascii="Times New Roman" w:hAnsi="Times New Roman"/>
          <w:sz w:val="22"/>
        </w:rPr>
        <w:t>69</w:t>
      </w:r>
    </w:p>
    <w:p>
      <w:pPr>
        <w:spacing w:before="20" w:after="20" w:line="276" w:lineRule="auto"/>
      </w:pPr>
      <w:r>
        <w:rPr>
          <w:rFonts w:ascii="Times New Roman" w:hAnsi="Times New Roman"/>
          <w:sz w:val="22"/>
        </w:rPr>
        <w:t xml:space="preserve">    3.3.3. Các thư viện công nghệ cần thiết</w:t>
      </w:r>
      <w:r>
        <w:rPr>
          <w:rFonts w:ascii="Times New Roman" w:hAnsi="Times New Roman"/>
          <w:color w:val="A0A0A0"/>
          <w:sz w:val="20"/>
        </w:rPr>
        <w:t xml:space="preserve"> .. </w:t>
      </w:r>
      <w:r>
        <w:rPr>
          <w:rFonts w:ascii="Times New Roman" w:hAnsi="Times New Roman"/>
          <w:sz w:val="22"/>
        </w:rPr>
        <w:t>71</w:t>
      </w:r>
    </w:p>
    <w:p>
      <w:pPr>
        <w:spacing w:before="20" w:after="20" w:line="276" w:lineRule="auto"/>
      </w:pPr>
      <w:r>
        <w:rPr>
          <w:rFonts w:ascii="Times New Roman" w:hAnsi="Times New Roman"/>
          <w:sz w:val="22"/>
        </w:rPr>
        <w:t xml:space="preserve">    3.3.4. Công nghệ sử dụng trong hệ thống</w:t>
      </w:r>
      <w:r>
        <w:rPr>
          <w:rFonts w:ascii="Times New Roman" w:hAnsi="Times New Roman"/>
          <w:color w:val="A0A0A0"/>
          <w:sz w:val="20"/>
        </w:rPr>
        <w:t xml:space="preserve"> .. </w:t>
      </w:r>
      <w:r>
        <w:rPr>
          <w:rFonts w:ascii="Times New Roman" w:hAnsi="Times New Roman"/>
          <w:sz w:val="22"/>
        </w:rPr>
        <w:t>73</w:t>
      </w:r>
    </w:p>
    <w:p>
      <w:pPr>
        <w:spacing w:before="20" w:after="20" w:line="276" w:lineRule="auto"/>
      </w:pPr>
      <w:r>
        <w:rPr>
          <w:rFonts w:ascii="Times New Roman" w:hAnsi="Times New Roman"/>
          <w:sz w:val="22"/>
        </w:rPr>
        <w:t xml:space="preserve">    3.3.5. Tiến trình thử nghiệm kịch bản đề xuất và minh chứng hoạt động</w:t>
      </w:r>
      <w:r>
        <w:rPr>
          <w:rFonts w:ascii="Times New Roman" w:hAnsi="Times New Roman"/>
          <w:color w:val="A0A0A0"/>
          <w:sz w:val="20"/>
        </w:rPr>
        <w:t xml:space="preserve"> .. </w:t>
      </w:r>
      <w:r>
        <w:rPr>
          <w:rFonts w:ascii="Times New Roman" w:hAnsi="Times New Roman"/>
          <w:sz w:val="22"/>
        </w:rPr>
        <w:t>75</w:t>
      </w:r>
    </w:p>
    <w:p>
      <w:pPr>
        <w:spacing w:before="20" w:after="20" w:line="276" w:lineRule="auto"/>
      </w:pPr>
      <w:r>
        <w:rPr>
          <w:rFonts w:ascii="Times New Roman" w:hAnsi="Times New Roman"/>
          <w:b/>
          <w:sz w:val="22"/>
        </w:rPr>
        <w:t>CHƯƠNG 4: ĐÁNH GIÁ TÍNH KHẢ THI VÀ ĐỀ XUẤT, KHUYẾN NGHỊ</w:t>
      </w:r>
      <w:r>
        <w:rPr>
          <w:rFonts w:ascii="Times New Roman" w:hAnsi="Times New Roman"/>
          <w:color w:val="A0A0A0"/>
          <w:sz w:val="20"/>
        </w:rPr>
        <w:t xml:space="preserve"> .. </w:t>
      </w:r>
      <w:r>
        <w:rPr>
          <w:rFonts w:ascii="Times New Roman" w:hAnsi="Times New Roman"/>
          <w:b/>
          <w:sz w:val="22"/>
        </w:rPr>
        <w:t>88</w:t>
      </w:r>
    </w:p>
    <w:p>
      <w:pPr>
        <w:spacing w:before="20" w:after="20" w:line="276" w:lineRule="auto"/>
      </w:pPr>
      <w:r>
        <w:rPr>
          <w:rFonts w:ascii="Times New Roman" w:hAnsi="Times New Roman"/>
          <w:sz w:val="22"/>
        </w:rPr>
        <w:t xml:space="preserve">  4.1. Đánh giá tính khả thi của bài toán</w:t>
      </w:r>
      <w:r>
        <w:rPr>
          <w:rFonts w:ascii="Times New Roman" w:hAnsi="Times New Roman"/>
          <w:color w:val="A0A0A0"/>
          <w:sz w:val="20"/>
        </w:rPr>
        <w:t xml:space="preserve"> .. </w:t>
      </w:r>
      <w:r>
        <w:rPr>
          <w:rFonts w:ascii="Times New Roman" w:hAnsi="Times New Roman"/>
          <w:sz w:val="22"/>
        </w:rPr>
        <w:t>88</w:t>
      </w:r>
    </w:p>
    <w:p>
      <w:pPr>
        <w:spacing w:before="20" w:after="20" w:line="276" w:lineRule="auto"/>
      </w:pPr>
      <w:r>
        <w:rPr>
          <w:rFonts w:ascii="Times New Roman" w:hAnsi="Times New Roman"/>
          <w:sz w:val="22"/>
        </w:rPr>
        <w:t xml:space="preserve">    4.1.1. Đánh giá cấu trúc chi phí</w:t>
      </w:r>
      <w:r>
        <w:rPr>
          <w:rFonts w:ascii="Times New Roman" w:hAnsi="Times New Roman"/>
          <w:color w:val="A0A0A0"/>
          <w:sz w:val="20"/>
        </w:rPr>
        <w:t xml:space="preserve"> .. </w:t>
      </w:r>
      <w:r>
        <w:rPr>
          <w:rFonts w:ascii="Times New Roman" w:hAnsi="Times New Roman"/>
          <w:sz w:val="22"/>
        </w:rPr>
        <w:t>88</w:t>
      </w:r>
    </w:p>
    <w:p>
      <w:pPr>
        <w:spacing w:before="20" w:after="20" w:line="276" w:lineRule="auto"/>
      </w:pPr>
      <w:r>
        <w:rPr>
          <w:rFonts w:ascii="Times New Roman" w:hAnsi="Times New Roman"/>
          <w:sz w:val="22"/>
        </w:rPr>
        <w:t xml:space="preserve">    4.1.2. Dự báo doanh thu và biên lợi nhuận</w:t>
      </w:r>
      <w:r>
        <w:rPr>
          <w:rFonts w:ascii="Times New Roman" w:hAnsi="Times New Roman"/>
          <w:color w:val="A0A0A0"/>
          <w:sz w:val="20"/>
        </w:rPr>
        <w:t xml:space="preserve"> .. </w:t>
      </w:r>
      <w:r>
        <w:rPr>
          <w:rFonts w:ascii="Times New Roman" w:hAnsi="Times New Roman"/>
          <w:sz w:val="22"/>
        </w:rPr>
        <w:t>90</w:t>
      </w:r>
    </w:p>
    <w:p>
      <w:pPr>
        <w:spacing w:before="20" w:after="20" w:line="276" w:lineRule="auto"/>
      </w:pPr>
      <w:r>
        <w:rPr>
          <w:rFonts w:ascii="Times New Roman" w:hAnsi="Times New Roman"/>
          <w:sz w:val="22"/>
        </w:rPr>
        <w:t xml:space="preserve">    4.1.3. Khả năng hoàn vốn đầu tư</w:t>
      </w:r>
      <w:r>
        <w:rPr>
          <w:rFonts w:ascii="Times New Roman" w:hAnsi="Times New Roman"/>
          <w:color w:val="A0A0A0"/>
          <w:sz w:val="20"/>
        </w:rPr>
        <w:t xml:space="preserve"> .. </w:t>
      </w:r>
      <w:r>
        <w:rPr>
          <w:rFonts w:ascii="Times New Roman" w:hAnsi="Times New Roman"/>
          <w:sz w:val="22"/>
        </w:rPr>
        <w:t>91</w:t>
      </w:r>
    </w:p>
    <w:p>
      <w:pPr>
        <w:spacing w:before="20" w:after="20" w:line="276" w:lineRule="auto"/>
      </w:pPr>
      <w:r>
        <w:rPr>
          <w:rFonts w:ascii="Times New Roman" w:hAnsi="Times New Roman"/>
          <w:sz w:val="22"/>
        </w:rPr>
        <w:t xml:space="preserve">    4.1.4. Tính khả thi về mặt kỹ thuật và công nghệ</w:t>
      </w:r>
      <w:r>
        <w:rPr>
          <w:rFonts w:ascii="Times New Roman" w:hAnsi="Times New Roman"/>
          <w:color w:val="A0A0A0"/>
          <w:sz w:val="20"/>
        </w:rPr>
        <w:t xml:space="preserve"> .. </w:t>
      </w:r>
      <w:r>
        <w:rPr>
          <w:rFonts w:ascii="Times New Roman" w:hAnsi="Times New Roman"/>
          <w:sz w:val="22"/>
        </w:rPr>
        <w:t>93</w:t>
      </w:r>
    </w:p>
    <w:p>
      <w:pPr>
        <w:spacing w:before="20" w:after="20" w:line="276" w:lineRule="auto"/>
      </w:pPr>
      <w:r>
        <w:rPr>
          <w:rFonts w:ascii="Times New Roman" w:hAnsi="Times New Roman"/>
          <w:sz w:val="22"/>
        </w:rPr>
        <w:t xml:space="preserve">    4.1.5. Đánh giá rủi ro và giải pháp phòng ngừa</w:t>
      </w:r>
      <w:r>
        <w:rPr>
          <w:rFonts w:ascii="Times New Roman" w:hAnsi="Times New Roman"/>
          <w:color w:val="A0A0A0"/>
          <w:sz w:val="20"/>
        </w:rPr>
        <w:t xml:space="preserve"> .. </w:t>
      </w:r>
      <w:r>
        <w:rPr>
          <w:rFonts w:ascii="Times New Roman" w:hAnsi="Times New Roman"/>
          <w:sz w:val="22"/>
        </w:rPr>
        <w:t>95</w:t>
      </w:r>
    </w:p>
    <w:p>
      <w:pPr>
        <w:spacing w:before="20" w:after="20" w:line="276" w:lineRule="auto"/>
      </w:pPr>
      <w:r>
        <w:rPr>
          <w:rFonts w:ascii="Times New Roman" w:hAnsi="Times New Roman"/>
          <w:sz w:val="22"/>
        </w:rPr>
        <w:t xml:space="preserve">  4.2. Đề xuất, khuyến nghị</w:t>
      </w:r>
      <w:r>
        <w:rPr>
          <w:rFonts w:ascii="Times New Roman" w:hAnsi="Times New Roman"/>
          <w:color w:val="A0A0A0"/>
          <w:sz w:val="20"/>
        </w:rPr>
        <w:t xml:space="preserve"> ................ </w:t>
      </w:r>
      <w:r>
        <w:rPr>
          <w:rFonts w:ascii="Times New Roman" w:hAnsi="Times New Roman"/>
          <w:sz w:val="22"/>
        </w:rPr>
        <w:t>97</w:t>
      </w:r>
    </w:p>
    <w:p>
      <w:pPr>
        <w:spacing w:before="20" w:after="20" w:line="276" w:lineRule="auto"/>
      </w:pPr>
      <w:r>
        <w:rPr>
          <w:rFonts w:ascii="Times New Roman" w:hAnsi="Times New Roman"/>
          <w:sz w:val="22"/>
        </w:rPr>
        <w:t xml:space="preserve">    4.2.1. Đối với các hộ kinh doanh và điểm bán lẻ</w:t>
      </w:r>
      <w:r>
        <w:rPr>
          <w:rFonts w:ascii="Times New Roman" w:hAnsi="Times New Roman"/>
          <w:color w:val="A0A0A0"/>
          <w:sz w:val="20"/>
        </w:rPr>
        <w:t xml:space="preserve"> .. </w:t>
      </w:r>
      <w:r>
        <w:rPr>
          <w:rFonts w:ascii="Times New Roman" w:hAnsi="Times New Roman"/>
          <w:sz w:val="22"/>
        </w:rPr>
        <w:t>97</w:t>
      </w:r>
    </w:p>
    <w:p>
      <w:pPr>
        <w:spacing w:before="20" w:after="20" w:line="276" w:lineRule="auto"/>
      </w:pPr>
      <w:r>
        <w:rPr>
          <w:rFonts w:ascii="Times New Roman" w:hAnsi="Times New Roman"/>
          <w:sz w:val="22"/>
        </w:rPr>
        <w:t xml:space="preserve">    4.2.2. Đối với các ngân hàng thương mại và tổ chức trung gian thanh toán</w:t>
      </w:r>
      <w:r>
        <w:rPr>
          <w:rFonts w:ascii="Times New Roman" w:hAnsi="Times New Roman"/>
          <w:color w:val="A0A0A0"/>
          <w:sz w:val="20"/>
        </w:rPr>
        <w:t xml:space="preserve"> .. </w:t>
      </w:r>
      <w:r>
        <w:rPr>
          <w:rFonts w:ascii="Times New Roman" w:hAnsi="Times New Roman"/>
          <w:sz w:val="22"/>
        </w:rPr>
        <w:t>98</w:t>
      </w:r>
    </w:p>
    <w:p>
      <w:pPr>
        <w:spacing w:before="20" w:after="20" w:line="276" w:lineRule="auto"/>
      </w:pPr>
      <w:r>
        <w:rPr>
          <w:rFonts w:ascii="Times New Roman" w:hAnsi="Times New Roman"/>
          <w:sz w:val="22"/>
        </w:rPr>
        <w:t xml:space="preserve">    4.2.3. Đối với cơ quan quản lý nhà nước</w:t>
      </w:r>
      <w:r>
        <w:rPr>
          <w:rFonts w:ascii="Times New Roman" w:hAnsi="Times New Roman"/>
          <w:color w:val="A0A0A0"/>
          <w:sz w:val="20"/>
        </w:rPr>
        <w:t xml:space="preserve"> .. </w:t>
      </w:r>
      <w:r>
        <w:rPr>
          <w:rFonts w:ascii="Times New Roman" w:hAnsi="Times New Roman"/>
          <w:sz w:val="22"/>
        </w:rPr>
        <w:t>99</w:t>
      </w:r>
    </w:p>
    <w:p>
      <w:pPr>
        <w:spacing w:before="20" w:after="20" w:line="276" w:lineRule="auto"/>
      </w:pPr>
      <w:r>
        <w:rPr>
          <w:rFonts w:ascii="Times New Roman" w:hAnsi="Times New Roman"/>
          <w:sz w:val="22"/>
        </w:rPr>
        <w:t xml:space="preserve">    4.2.4. Đối với đội ngũ phát triển giải pháp VietQR ReconHub</w:t>
      </w:r>
      <w:r>
        <w:rPr>
          <w:rFonts w:ascii="Times New Roman" w:hAnsi="Times New Roman"/>
          <w:color w:val="A0A0A0"/>
          <w:sz w:val="20"/>
        </w:rPr>
        <w:t xml:space="preserve"> .. </w:t>
      </w:r>
      <w:r>
        <w:rPr>
          <w:rFonts w:ascii="Times New Roman" w:hAnsi="Times New Roman"/>
          <w:sz w:val="22"/>
        </w:rPr>
        <w:t>100</w:t>
      </w:r>
    </w:p>
    <w:p>
      <w:pPr>
        <w:spacing w:before="20" w:after="20" w:line="276" w:lineRule="auto"/>
      </w:pPr>
      <w:r>
        <w:rPr>
          <w:rFonts w:ascii="Times New Roman" w:hAnsi="Times New Roman"/>
          <w:b/>
          <w:sz w:val="22"/>
        </w:rPr>
        <w:t>KẾT LUẬN</w:t>
      </w:r>
      <w:r>
        <w:rPr>
          <w:rFonts w:ascii="Times New Roman" w:hAnsi="Times New Roman"/>
          <w:color w:val="A0A0A0"/>
          <w:sz w:val="20"/>
        </w:rPr>
        <w:t xml:space="preserve"> ...................................................... </w:t>
      </w:r>
      <w:r>
        <w:rPr>
          <w:rFonts w:ascii="Times New Roman" w:hAnsi="Times New Roman"/>
          <w:b/>
          <w:sz w:val="22"/>
        </w:rPr>
        <w:t>102</w:t>
      </w:r>
    </w:p>
    <w:p>
      <w:pPr>
        <w:spacing w:before="20" w:after="20" w:line="276" w:lineRule="auto"/>
      </w:pPr>
      <w:r>
        <w:rPr>
          <w:rFonts w:ascii="Times New Roman" w:hAnsi="Times New Roman"/>
          <w:b/>
          <w:sz w:val="22"/>
        </w:rPr>
        <w:t>TÀI LIỆU THAM KHẢO</w:t>
      </w:r>
      <w:r>
        <w:rPr>
          <w:rFonts w:ascii="Times New Roman" w:hAnsi="Times New Roman"/>
          <w:color w:val="A0A0A0"/>
          <w:sz w:val="20"/>
        </w:rPr>
        <w:t xml:space="preserve"> .................................. </w:t>
      </w:r>
      <w:r>
        <w:rPr>
          <w:rFonts w:ascii="Times New Roman" w:hAnsi="Times New Roman"/>
          <w:b/>
          <w:sz w:val="22"/>
        </w:rPr>
        <w:t>104</w:t>
      </w:r>
    </w:p>
    <w:p>
      <w:r>
        <w:br w:type="page"/>
      </w:r>
    </w:p>
    <w:p>
      <w:pPr>
        <w:spacing w:before="320" w:after="160" w:line="312" w:lineRule="auto"/>
        <w:jc w:val="left"/>
      </w:pPr>
      <w:r>
        <w:rPr>
          <w:rFonts w:ascii="Times New Roman" w:hAnsi="Times New Roman"/>
          <w:b/>
          <w:i w:val="0"/>
          <w:color w:val="102C57"/>
          <w:sz w:val="28"/>
        </w:rPr>
        <w:t>DANH MỤC HÌNH ẢNH</w:t>
      </w:r>
    </w:p>
    <w:p>
      <w:pPr>
        <w:spacing w:before="20" w:after="40"/>
      </w:pPr>
      <w:r>
        <w:rPr>
          <w:rFonts w:ascii="Times New Roman" w:hAnsi="Times New Roman"/>
          <w:b/>
          <w:sz w:val="22"/>
        </w:rPr>
        <w:t xml:space="preserve">Hình 1: </w:t>
      </w:r>
      <w:r>
        <w:rPr>
          <w:rFonts w:ascii="Times New Roman" w:hAnsi="Times New Roman"/>
          <w:sz w:val="22"/>
        </w:rPr>
        <w:t>Sơ đồ luồng đứt gãy thông tin đối soát trong mô hình QR tĩnh truyền thống</w:t>
      </w:r>
    </w:p>
    <w:p>
      <w:pPr>
        <w:spacing w:before="20" w:after="40"/>
      </w:pPr>
      <w:r>
        <w:rPr>
          <w:rFonts w:ascii="Times New Roman" w:hAnsi="Times New Roman"/>
          <w:b/>
          <w:sz w:val="22"/>
        </w:rPr>
        <w:t xml:space="preserve">Hình 2: </w:t>
      </w:r>
      <w:r>
        <w:rPr>
          <w:rFonts w:ascii="Times New Roman" w:hAnsi="Times New Roman"/>
          <w:sz w:val="22"/>
        </w:rPr>
        <w:t>Mô hình Business Model Canvas nền tảng VietQR ReconHub</w:t>
      </w:r>
    </w:p>
    <w:p>
      <w:pPr>
        <w:spacing w:before="20" w:after="40"/>
      </w:pPr>
      <w:r>
        <w:rPr>
          <w:rFonts w:ascii="Times New Roman" w:hAnsi="Times New Roman"/>
          <w:b/>
          <w:sz w:val="22"/>
        </w:rPr>
        <w:t xml:space="preserve">Hình 3: </w:t>
      </w:r>
      <w:r>
        <w:rPr>
          <w:rFonts w:ascii="Times New Roman" w:hAnsi="Times New Roman"/>
          <w:sz w:val="22"/>
        </w:rPr>
        <w:t>Kiến trúc tổng thể hệ thống theo mô hình Client–Server phân tầng</w:t>
      </w:r>
    </w:p>
    <w:p>
      <w:pPr>
        <w:spacing w:before="20" w:after="40"/>
      </w:pPr>
      <w:r>
        <w:rPr>
          <w:rFonts w:ascii="Times New Roman" w:hAnsi="Times New Roman"/>
          <w:b/>
          <w:sz w:val="22"/>
        </w:rPr>
        <w:t xml:space="preserve">Hình 4: </w:t>
      </w:r>
      <w:r>
        <w:rPr>
          <w:rFonts w:ascii="Times New Roman" w:hAnsi="Times New Roman"/>
          <w:sz w:val="22"/>
        </w:rPr>
        <w:t>Quy trình đối soát dòng tiền khép kín tại quầy thu ngân</w:t>
      </w:r>
    </w:p>
    <w:p>
      <w:pPr>
        <w:spacing w:before="20" w:after="40"/>
      </w:pPr>
      <w:r>
        <w:rPr>
          <w:rFonts w:ascii="Times New Roman" w:hAnsi="Times New Roman"/>
          <w:b/>
          <w:sz w:val="22"/>
        </w:rPr>
        <w:t xml:space="preserve">Hình 5: </w:t>
      </w:r>
      <w:r>
        <w:rPr>
          <w:rFonts w:ascii="Times New Roman" w:hAnsi="Times New Roman"/>
          <w:sz w:val="22"/>
        </w:rPr>
        <w:t>Giao diện Quản lý ca bán hàng khi chưa kích hoạt ca</w:t>
      </w:r>
    </w:p>
    <w:p>
      <w:pPr>
        <w:spacing w:before="20" w:after="40"/>
      </w:pPr>
      <w:r>
        <w:rPr>
          <w:rFonts w:ascii="Times New Roman" w:hAnsi="Times New Roman"/>
          <w:b/>
          <w:sz w:val="22"/>
        </w:rPr>
        <w:t xml:space="preserve">Hình 6: </w:t>
      </w:r>
      <w:r>
        <w:rPr>
          <w:rFonts w:ascii="Times New Roman" w:hAnsi="Times New Roman"/>
          <w:sz w:val="22"/>
        </w:rPr>
        <w:t>Biểu mẫu thiết lập mục tiêu và thông tin mở ca làm việc mới</w:t>
      </w:r>
    </w:p>
    <w:p>
      <w:pPr>
        <w:spacing w:before="20" w:after="40"/>
      </w:pPr>
      <w:r>
        <w:rPr>
          <w:rFonts w:ascii="Times New Roman" w:hAnsi="Times New Roman"/>
          <w:b/>
          <w:sz w:val="22"/>
        </w:rPr>
        <w:t xml:space="preserve">Hình 7: </w:t>
      </w:r>
      <w:r>
        <w:rPr>
          <w:rFonts w:ascii="Times New Roman" w:hAnsi="Times New Roman"/>
          <w:sz w:val="22"/>
        </w:rPr>
        <w:t>Giao diện ca bán hàng được kích hoạt thành công trên hệ thống</w:t>
      </w:r>
    </w:p>
    <w:p>
      <w:pPr>
        <w:spacing w:before="20" w:after="40"/>
      </w:pPr>
      <w:r>
        <w:rPr>
          <w:rFonts w:ascii="Times New Roman" w:hAnsi="Times New Roman"/>
          <w:b/>
          <w:sz w:val="22"/>
        </w:rPr>
        <w:t xml:space="preserve">Hình 8: </w:t>
      </w:r>
      <w:r>
        <w:rPr>
          <w:rFonts w:ascii="Times New Roman" w:hAnsi="Times New Roman"/>
          <w:sz w:val="22"/>
        </w:rPr>
        <w:t>Giao diện quầy thu ngân POS và danh sách đơn hàng chờ thanh toán</w:t>
      </w:r>
    </w:p>
    <w:p>
      <w:pPr>
        <w:spacing w:before="20" w:after="40"/>
      </w:pPr>
      <w:r>
        <w:rPr>
          <w:rFonts w:ascii="Times New Roman" w:hAnsi="Times New Roman"/>
          <w:b/>
          <w:sz w:val="22"/>
        </w:rPr>
        <w:t xml:space="preserve">Hình 9: </w:t>
      </w:r>
      <w:r>
        <w:rPr>
          <w:rFonts w:ascii="Times New Roman" w:hAnsi="Times New Roman"/>
          <w:sz w:val="22"/>
        </w:rPr>
        <w:t>Cửa sổ phát hành mã VietQR động khóa cứng giá trị và mã đơn hàng</w:t>
      </w:r>
    </w:p>
    <w:p>
      <w:pPr>
        <w:spacing w:before="20" w:after="40"/>
      </w:pPr>
      <w:r>
        <w:rPr>
          <w:rFonts w:ascii="Times New Roman" w:hAnsi="Times New Roman"/>
          <w:b/>
          <w:sz w:val="22"/>
        </w:rPr>
        <w:t xml:space="preserve">Hình 10: </w:t>
      </w:r>
      <w:r>
        <w:rPr>
          <w:rFonts w:ascii="Times New Roman" w:hAnsi="Times New Roman"/>
          <w:sz w:val="22"/>
        </w:rPr>
        <w:t>Giao diện Cổng ngân hàng mô phỏng tiếp nhận và truyền bản tin Webhook</w:t>
      </w:r>
    </w:p>
    <w:p>
      <w:pPr>
        <w:spacing w:before="20" w:after="40"/>
      </w:pPr>
      <w:r>
        <w:rPr>
          <w:rFonts w:ascii="Times New Roman" w:hAnsi="Times New Roman"/>
          <w:b/>
          <w:sz w:val="22"/>
        </w:rPr>
        <w:t xml:space="preserve">Hình 11: </w:t>
      </w:r>
      <w:r>
        <w:rPr>
          <w:rFonts w:ascii="Times New Roman" w:hAnsi="Times New Roman"/>
          <w:sz w:val="22"/>
        </w:rPr>
        <w:t>Màn hình thu ngân nhận thông báo xác nhận thanh toán thành công tức thì</w:t>
      </w:r>
    </w:p>
    <w:p>
      <w:pPr>
        <w:spacing w:before="20" w:after="40"/>
      </w:pPr>
      <w:r>
        <w:rPr>
          <w:rFonts w:ascii="Times New Roman" w:hAnsi="Times New Roman"/>
          <w:b/>
          <w:sz w:val="22"/>
        </w:rPr>
        <w:t xml:space="preserve">Hình 12: </w:t>
      </w:r>
      <w:r>
        <w:rPr>
          <w:rFonts w:ascii="Times New Roman" w:hAnsi="Times New Roman"/>
          <w:sz w:val="22"/>
        </w:rPr>
        <w:t>Cảnh báo đơn hàng thanh toán thiếu tiền và tự động cộng dồn lũy kế</w:t>
      </w:r>
    </w:p>
    <w:p>
      <w:pPr>
        <w:spacing w:before="20" w:after="40"/>
      </w:pPr>
      <w:r>
        <w:rPr>
          <w:rFonts w:ascii="Times New Roman" w:hAnsi="Times New Roman"/>
          <w:b/>
          <w:sz w:val="22"/>
        </w:rPr>
        <w:t xml:space="preserve">Hình 13: </w:t>
      </w:r>
      <w:r>
        <w:rPr>
          <w:rFonts w:ascii="Times New Roman" w:hAnsi="Times New Roman"/>
          <w:sz w:val="22"/>
        </w:rPr>
        <w:t>Màn hình xử lý đối soát nâng cao cho các đơn hàng chuyển sai nội dung</w:t>
      </w:r>
    </w:p>
    <w:p>
      <w:pPr>
        <w:spacing w:before="20" w:after="40"/>
      </w:pPr>
      <w:r>
        <w:rPr>
          <w:rFonts w:ascii="Times New Roman" w:hAnsi="Times New Roman"/>
          <w:b/>
          <w:sz w:val="22"/>
        </w:rPr>
        <w:t xml:space="preserve">Hình 14: </w:t>
      </w:r>
      <w:r>
        <w:rPr>
          <w:rFonts w:ascii="Times New Roman" w:hAnsi="Times New Roman"/>
          <w:sz w:val="22"/>
        </w:rPr>
        <w:t>Hộp thoại xác thực sinh trắc học không mật khẩu WebAuthn/FIDO2 khi duyệt ghép đơn</w:t>
      </w:r>
    </w:p>
    <w:p>
      <w:pPr>
        <w:spacing w:before="20" w:after="40"/>
      </w:pPr>
      <w:r>
        <w:rPr>
          <w:rFonts w:ascii="Times New Roman" w:hAnsi="Times New Roman"/>
          <w:b/>
          <w:sz w:val="22"/>
        </w:rPr>
        <w:t xml:space="preserve">Hình 15: </w:t>
      </w:r>
      <w:r>
        <w:rPr>
          <w:rFonts w:ascii="Times New Roman" w:hAnsi="Times New Roman"/>
          <w:sz w:val="22"/>
        </w:rPr>
        <w:t>Giao diện nhật ký giải trình quyết định đối soát ngoại lệ được ghi nhận thành công</w:t>
      </w:r>
    </w:p>
    <w:p>
      <w:pPr>
        <w:spacing w:before="20" w:after="40"/>
      </w:pPr>
      <w:r>
        <w:rPr>
          <w:rFonts w:ascii="Times New Roman" w:hAnsi="Times New Roman"/>
          <w:b/>
          <w:sz w:val="22"/>
        </w:rPr>
        <w:t xml:space="preserve">Hình 16: </w:t>
      </w:r>
      <w:r>
        <w:rPr>
          <w:rFonts w:ascii="Times New Roman" w:hAnsi="Times New Roman"/>
          <w:sz w:val="22"/>
        </w:rPr>
        <w:t>Giao diện Báo cáo tài chính Dashboard với 5 chỉ tiêu KPI cốt lõi</w:t>
      </w:r>
    </w:p>
    <w:p>
      <w:pPr>
        <w:spacing w:before="20" w:after="40"/>
      </w:pPr>
      <w:r>
        <w:rPr>
          <w:rFonts w:ascii="Times New Roman" w:hAnsi="Times New Roman"/>
          <w:b/>
          <w:sz w:val="22"/>
        </w:rPr>
        <w:t xml:space="preserve">Hình 17: </w:t>
      </w:r>
      <w:r>
        <w:rPr>
          <w:rFonts w:ascii="Times New Roman" w:hAnsi="Times New Roman"/>
          <w:sz w:val="22"/>
        </w:rPr>
        <w:t>Biểu đồ tròn phân tích cơ cấu phân bổ dòng tiền trong ca kinh doanh</w:t>
      </w:r>
    </w:p>
    <w:p>
      <w:pPr>
        <w:spacing w:before="20" w:after="40"/>
      </w:pPr>
      <w:r>
        <w:rPr>
          <w:rFonts w:ascii="Times New Roman" w:hAnsi="Times New Roman"/>
          <w:b/>
          <w:sz w:val="22"/>
        </w:rPr>
        <w:t xml:space="preserve">Hình 18: </w:t>
      </w:r>
      <w:r>
        <w:rPr>
          <w:rFonts w:ascii="Times New Roman" w:hAnsi="Times New Roman"/>
          <w:sz w:val="22"/>
        </w:rPr>
        <w:t>Bảng kiểm toán tính toàn vẹn của chuỗi băm Sổ cái SHA-256</w:t>
      </w:r>
    </w:p>
    <w:p>
      <w:pPr>
        <w:spacing w:before="20" w:after="40"/>
      </w:pPr>
      <w:r>
        <w:rPr>
          <w:rFonts w:ascii="Times New Roman" w:hAnsi="Times New Roman"/>
          <w:b/>
          <w:sz w:val="22"/>
        </w:rPr>
        <w:t xml:space="preserve">Hình 19: </w:t>
      </w:r>
      <w:r>
        <w:rPr>
          <w:rFonts w:ascii="Times New Roman" w:hAnsi="Times New Roman"/>
          <w:sz w:val="22"/>
        </w:rPr>
        <w:t>Cấu trúc Cây Merkle trực quan hóa và giá trị Merkle Root niêm phong ca làm việc</w:t>
      </w:r>
    </w:p>
    <w:p>
      <w:r>
        <w:br w:type="page"/>
      </w:r>
    </w:p>
    <w:p>
      <w:pPr>
        <w:spacing w:before="320" w:after="160" w:line="312" w:lineRule="auto"/>
        <w:jc w:val="left"/>
      </w:pPr>
      <w:r>
        <w:rPr>
          <w:rFonts w:ascii="Times New Roman" w:hAnsi="Times New Roman"/>
          <w:b/>
          <w:i w:val="0"/>
          <w:color w:val="102C57"/>
          <w:sz w:val="28"/>
        </w:rPr>
        <w:t>DANH MỤC BẢNG BIỂU</w:t>
      </w:r>
    </w:p>
    <w:p>
      <w:pPr>
        <w:spacing w:before="40" w:after="60"/>
      </w:pPr>
      <w:r>
        <w:rPr>
          <w:rFonts w:ascii="Times New Roman" w:hAnsi="Times New Roman"/>
          <w:b/>
          <w:sz w:val="22"/>
        </w:rPr>
        <w:t xml:space="preserve">Bảng 1: </w:t>
      </w:r>
      <w:r>
        <w:rPr>
          <w:rFonts w:ascii="Times New Roman" w:hAnsi="Times New Roman"/>
          <w:sz w:val="22"/>
        </w:rPr>
        <w:t>Ma trận so sánh tính năng VietQR ReconHub với các giải pháp hiện có trên thị trường</w:t>
      </w:r>
    </w:p>
    <w:p>
      <w:pPr>
        <w:spacing w:before="40" w:after="60"/>
      </w:pPr>
      <w:r>
        <w:rPr>
          <w:rFonts w:ascii="Times New Roman" w:hAnsi="Times New Roman"/>
          <w:b/>
          <w:sz w:val="22"/>
        </w:rPr>
        <w:t xml:space="preserve">Bảng 2: </w:t>
      </w:r>
      <w:r>
        <w:rPr>
          <w:rFonts w:ascii="Times New Roman" w:hAnsi="Times New Roman"/>
          <w:sz w:val="22"/>
        </w:rPr>
        <w:t>Bảng tổng hợp chi tiết 9 thành phần trong mô hình Business Model Canvas</w:t>
      </w:r>
    </w:p>
    <w:p>
      <w:pPr>
        <w:spacing w:before="40" w:after="60"/>
      </w:pPr>
      <w:r>
        <w:rPr>
          <w:rFonts w:ascii="Times New Roman" w:hAnsi="Times New Roman"/>
          <w:b/>
          <w:sz w:val="22"/>
        </w:rPr>
        <w:t xml:space="preserve">Bảng 3: </w:t>
      </w:r>
      <w:r>
        <w:rPr>
          <w:rFonts w:ascii="Times New Roman" w:hAnsi="Times New Roman"/>
          <w:sz w:val="22"/>
        </w:rPr>
        <w:t>Cấu trúc lược đồ dữ liệu đối soát và sổ cái mật mã học trên Microsoft SQL Server</w:t>
      </w:r>
    </w:p>
    <w:p>
      <w:pPr>
        <w:spacing w:before="40" w:after="60"/>
      </w:pPr>
      <w:r>
        <w:rPr>
          <w:rFonts w:ascii="Times New Roman" w:hAnsi="Times New Roman"/>
          <w:b/>
          <w:sz w:val="22"/>
        </w:rPr>
        <w:t xml:space="preserve">Bảng 4: </w:t>
      </w:r>
      <w:r>
        <w:rPr>
          <w:rFonts w:ascii="Times New Roman" w:hAnsi="Times New Roman"/>
          <w:sz w:val="22"/>
        </w:rPr>
        <w:t>Bộ chỉ tiêu tài chính kiểm soát ca kinh doanh thực nghiệm</w:t>
      </w:r>
    </w:p>
    <w:p>
      <w:pPr>
        <w:spacing w:before="40" w:after="60"/>
      </w:pPr>
      <w:r>
        <w:rPr>
          <w:rFonts w:ascii="Times New Roman" w:hAnsi="Times New Roman"/>
          <w:b/>
          <w:sz w:val="22"/>
        </w:rPr>
        <w:t xml:space="preserve">Bảng 5: </w:t>
      </w:r>
      <w:r>
        <w:rPr>
          <w:rFonts w:ascii="Times New Roman" w:hAnsi="Times New Roman"/>
          <w:sz w:val="22"/>
        </w:rPr>
        <w:t>Bảng kịch bản kiểm thử các tình huống đối soát thực nghiệm</w:t>
      </w:r>
    </w:p>
    <w:p>
      <w:pPr>
        <w:spacing w:before="40" w:after="60"/>
      </w:pPr>
      <w:r>
        <w:rPr>
          <w:rFonts w:ascii="Times New Roman" w:hAnsi="Times New Roman"/>
          <w:b/>
          <w:sz w:val="22"/>
        </w:rPr>
        <w:t xml:space="preserve">Bảng 6: </w:t>
      </w:r>
      <w:r>
        <w:rPr>
          <w:rFonts w:ascii="Times New Roman" w:hAnsi="Times New Roman"/>
          <w:sz w:val="22"/>
        </w:rPr>
        <w:t>Bảng ma trận đánh giá rủi ro vận hành và giải pháp kiểm soát</w:t>
      </w:r>
    </w:p>
    <w:p>
      <w:pPr>
        <w:spacing w:before="0" w:after="240" w:line="312" w:lineRule="auto"/>
        <w:jc w:val="both"/>
      </w:pPr>
    </w:p>
    <w:p>
      <w:pPr>
        <w:spacing w:before="320" w:after="160" w:line="312" w:lineRule="auto"/>
        <w:jc w:val="left"/>
      </w:pPr>
      <w:r>
        <w:rPr>
          <w:rFonts w:ascii="Times New Roman" w:hAnsi="Times New Roman"/>
          <w:b/>
          <w:i w:val="0"/>
          <w:color w:val="102C57"/>
          <w:sz w:val="28"/>
        </w:rPr>
        <w:t>DANH MỤC TỪ VIẾT TẮT</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4536"/>
        <w:gridCol w:w="4536"/>
      </w:tblGrid>
      <w:tr>
        <w:tc>
          <w:tcPr>
            <w:tcW w:type="dxa" w:w="4536"/>
            <w:vAlign w:val="center"/>
            <w:shd w:fill="D9E4F5"/>
          </w:tcPr>
          <w:p>
            <w:pPr>
              <w:spacing w:before="40" w:after="40" w:line="276" w:lineRule="auto"/>
              <w:jc w:val="center"/>
            </w:pPr>
            <w:r>
              <w:rPr>
                <w:rFonts w:ascii="Times New Roman" w:hAnsi="Times New Roman"/>
                <w:b/>
                <w:i w:val="0"/>
                <w:sz w:val="21"/>
              </w:rPr>
              <w:t>Từ viết tắt</w:t>
            </w:r>
          </w:p>
        </w:tc>
        <w:tc>
          <w:tcPr>
            <w:tcW w:type="dxa" w:w="4536"/>
            <w:vAlign w:val="center"/>
            <w:shd w:fill="D9E4F5"/>
          </w:tcPr>
          <w:p>
            <w:pPr>
              <w:spacing w:before="40" w:after="40" w:line="276" w:lineRule="auto"/>
              <w:jc w:val="center"/>
            </w:pPr>
            <w:r>
              <w:rPr>
                <w:rFonts w:ascii="Times New Roman" w:hAnsi="Times New Roman"/>
                <w:b/>
                <w:i w:val="0"/>
                <w:sz w:val="21"/>
              </w:rPr>
              <w:t>Giải thích nghĩa đầy đủ và bối cảnh sử dụng</w:t>
            </w:r>
          </w:p>
        </w:tc>
      </w:tr>
      <w:tr>
        <w:tc>
          <w:tcPr>
            <w:tcW w:type="dxa" w:w="4536"/>
            <w:vAlign w:val="center"/>
          </w:tcPr>
          <w:p>
            <w:pPr>
              <w:spacing w:before="40" w:after="40" w:line="276" w:lineRule="auto"/>
              <w:jc w:val="center"/>
            </w:pPr>
            <w:r>
              <w:rPr>
                <w:rFonts w:ascii="Times New Roman" w:hAnsi="Times New Roman"/>
                <w:b/>
                <w:i w:val="0"/>
                <w:sz w:val="21"/>
              </w:rPr>
              <w:t>Fintech</w:t>
            </w:r>
          </w:p>
        </w:tc>
        <w:tc>
          <w:tcPr>
            <w:tcW w:type="dxa" w:w="4536"/>
            <w:vAlign w:val="center"/>
          </w:tcPr>
          <w:p>
            <w:pPr>
              <w:spacing w:before="40" w:after="40" w:line="276" w:lineRule="auto"/>
              <w:jc w:val="left"/>
            </w:pPr>
            <w:r>
              <w:rPr>
                <w:rFonts w:ascii="Times New Roman" w:hAnsi="Times New Roman"/>
                <w:b w:val="0"/>
                <w:i w:val="0"/>
                <w:sz w:val="21"/>
              </w:rPr>
              <w:t>Financial Technology — Công nghệ Tài chính, ứng dụng công nghệ số vào dịch vụ tài chính.</w:t>
            </w:r>
          </w:p>
        </w:tc>
      </w:tr>
      <w:tr>
        <w:tc>
          <w:tcPr>
            <w:tcW w:type="dxa" w:w="4536"/>
            <w:vAlign w:val="center"/>
          </w:tcPr>
          <w:p>
            <w:pPr>
              <w:spacing w:before="40" w:after="40" w:line="276" w:lineRule="auto"/>
              <w:jc w:val="center"/>
            </w:pPr>
            <w:r>
              <w:rPr>
                <w:rFonts w:ascii="Times New Roman" w:hAnsi="Times New Roman"/>
                <w:b/>
                <w:i w:val="0"/>
                <w:sz w:val="21"/>
              </w:rPr>
              <w:t>VietQR</w:t>
            </w:r>
          </w:p>
        </w:tc>
        <w:tc>
          <w:tcPr>
            <w:tcW w:type="dxa" w:w="4536"/>
            <w:vAlign w:val="center"/>
          </w:tcPr>
          <w:p>
            <w:pPr>
              <w:spacing w:before="40" w:after="40" w:line="276" w:lineRule="auto"/>
              <w:jc w:val="left"/>
            </w:pPr>
            <w:r>
              <w:rPr>
                <w:rFonts w:ascii="Times New Roman" w:hAnsi="Times New Roman"/>
                <w:b w:val="0"/>
                <w:i w:val="0"/>
                <w:sz w:val="21"/>
              </w:rPr>
              <w:t>Bộ tiêu chuẩn nhận diện thương hiệu mã QR thanh toán quốc gia do NAPAS ban hành.</w:t>
            </w:r>
          </w:p>
        </w:tc>
      </w:tr>
      <w:tr>
        <w:tc>
          <w:tcPr>
            <w:tcW w:type="dxa" w:w="4536"/>
            <w:vAlign w:val="center"/>
          </w:tcPr>
          <w:p>
            <w:pPr>
              <w:spacing w:before="40" w:after="40" w:line="276" w:lineRule="auto"/>
              <w:jc w:val="center"/>
            </w:pPr>
            <w:r>
              <w:rPr>
                <w:rFonts w:ascii="Times New Roman" w:hAnsi="Times New Roman"/>
                <w:b/>
                <w:i w:val="0"/>
                <w:sz w:val="21"/>
              </w:rPr>
              <w:t>NAPAS</w:t>
            </w:r>
          </w:p>
        </w:tc>
        <w:tc>
          <w:tcPr>
            <w:tcW w:type="dxa" w:w="4536"/>
            <w:vAlign w:val="center"/>
          </w:tcPr>
          <w:p>
            <w:pPr>
              <w:spacing w:before="40" w:after="40" w:line="276" w:lineRule="auto"/>
              <w:jc w:val="left"/>
            </w:pPr>
            <w:r>
              <w:rPr>
                <w:rFonts w:ascii="Times New Roman" w:hAnsi="Times New Roman"/>
                <w:b w:val="0"/>
                <w:i w:val="0"/>
                <w:sz w:val="21"/>
              </w:rPr>
              <w:t>National Payment Corporation of Vietnam — Công ty Cổ phần Thanh toán Quốc gia Việt Nam.</w:t>
            </w:r>
          </w:p>
        </w:tc>
      </w:tr>
      <w:tr>
        <w:tc>
          <w:tcPr>
            <w:tcW w:type="dxa" w:w="4536"/>
            <w:vAlign w:val="center"/>
          </w:tcPr>
          <w:p>
            <w:pPr>
              <w:spacing w:before="40" w:after="40" w:line="276" w:lineRule="auto"/>
              <w:jc w:val="center"/>
            </w:pPr>
            <w:r>
              <w:rPr>
                <w:rFonts w:ascii="Times New Roman" w:hAnsi="Times New Roman"/>
                <w:b/>
                <w:i w:val="0"/>
                <w:sz w:val="21"/>
              </w:rPr>
              <w:t>EMVCo</w:t>
            </w:r>
          </w:p>
        </w:tc>
        <w:tc>
          <w:tcPr>
            <w:tcW w:type="dxa" w:w="4536"/>
            <w:vAlign w:val="center"/>
          </w:tcPr>
          <w:p>
            <w:pPr>
              <w:spacing w:before="40" w:after="40" w:line="276" w:lineRule="auto"/>
              <w:jc w:val="left"/>
            </w:pPr>
            <w:r>
              <w:rPr>
                <w:rFonts w:ascii="Times New Roman" w:hAnsi="Times New Roman"/>
                <w:b w:val="0"/>
                <w:i w:val="0"/>
                <w:sz w:val="21"/>
              </w:rPr>
              <w:t>Tổ chức tiêu chuẩn kỹ thuật thẻ thanh toán toàn cầu (Europay, MasterCard, Visa).</w:t>
            </w:r>
          </w:p>
        </w:tc>
      </w:tr>
      <w:tr>
        <w:tc>
          <w:tcPr>
            <w:tcW w:type="dxa" w:w="4536"/>
            <w:vAlign w:val="center"/>
          </w:tcPr>
          <w:p>
            <w:pPr>
              <w:spacing w:before="40" w:after="40" w:line="276" w:lineRule="auto"/>
              <w:jc w:val="center"/>
            </w:pPr>
            <w:r>
              <w:rPr>
                <w:rFonts w:ascii="Times New Roman" w:hAnsi="Times New Roman"/>
                <w:b/>
                <w:i w:val="0"/>
                <w:sz w:val="21"/>
              </w:rPr>
              <w:t>POS</w:t>
            </w:r>
          </w:p>
        </w:tc>
        <w:tc>
          <w:tcPr>
            <w:tcW w:type="dxa" w:w="4536"/>
            <w:vAlign w:val="center"/>
          </w:tcPr>
          <w:p>
            <w:pPr>
              <w:spacing w:before="40" w:after="40" w:line="276" w:lineRule="auto"/>
              <w:jc w:val="left"/>
            </w:pPr>
            <w:r>
              <w:rPr>
                <w:rFonts w:ascii="Times New Roman" w:hAnsi="Times New Roman"/>
                <w:b w:val="0"/>
                <w:i w:val="0"/>
                <w:sz w:val="21"/>
              </w:rPr>
              <w:t>Point of Sale — Điểm bán hàng / Thiết bị chấp nhận thanh toán tại quầy dịch vụ.</w:t>
            </w:r>
          </w:p>
        </w:tc>
      </w:tr>
      <w:tr>
        <w:tc>
          <w:tcPr>
            <w:tcW w:type="dxa" w:w="4536"/>
            <w:vAlign w:val="center"/>
          </w:tcPr>
          <w:p>
            <w:pPr>
              <w:spacing w:before="40" w:after="40" w:line="276" w:lineRule="auto"/>
              <w:jc w:val="center"/>
            </w:pPr>
            <w:r>
              <w:rPr>
                <w:rFonts w:ascii="Times New Roman" w:hAnsi="Times New Roman"/>
                <w:b/>
                <w:i w:val="0"/>
                <w:sz w:val="21"/>
              </w:rPr>
              <w:t>BMC</w:t>
            </w:r>
          </w:p>
        </w:tc>
        <w:tc>
          <w:tcPr>
            <w:tcW w:type="dxa" w:w="4536"/>
            <w:vAlign w:val="center"/>
          </w:tcPr>
          <w:p>
            <w:pPr>
              <w:spacing w:before="40" w:after="40" w:line="276" w:lineRule="auto"/>
              <w:jc w:val="left"/>
            </w:pPr>
            <w:r>
              <w:rPr>
                <w:rFonts w:ascii="Times New Roman" w:hAnsi="Times New Roman"/>
                <w:b w:val="0"/>
                <w:i w:val="0"/>
                <w:sz w:val="21"/>
              </w:rPr>
              <w:t>Business Model Canvas — Khung mô hình kinh doanh trực quan 9 thành phần.</w:t>
            </w:r>
          </w:p>
        </w:tc>
      </w:tr>
      <w:tr>
        <w:tc>
          <w:tcPr>
            <w:tcW w:type="dxa" w:w="4536"/>
            <w:vAlign w:val="center"/>
          </w:tcPr>
          <w:p>
            <w:pPr>
              <w:spacing w:before="40" w:after="40" w:line="276" w:lineRule="auto"/>
              <w:jc w:val="center"/>
            </w:pPr>
            <w:r>
              <w:rPr>
                <w:rFonts w:ascii="Times New Roman" w:hAnsi="Times New Roman"/>
                <w:b/>
                <w:i w:val="0"/>
                <w:sz w:val="21"/>
              </w:rPr>
              <w:t>API</w:t>
            </w:r>
          </w:p>
        </w:tc>
        <w:tc>
          <w:tcPr>
            <w:tcW w:type="dxa" w:w="4536"/>
            <w:vAlign w:val="center"/>
          </w:tcPr>
          <w:p>
            <w:pPr>
              <w:spacing w:before="40" w:after="40" w:line="276" w:lineRule="auto"/>
              <w:jc w:val="left"/>
            </w:pPr>
            <w:r>
              <w:rPr>
                <w:rFonts w:ascii="Times New Roman" w:hAnsi="Times New Roman"/>
                <w:b w:val="0"/>
                <w:i w:val="0"/>
                <w:sz w:val="21"/>
              </w:rPr>
              <w:t>Application Programming Interface — Giao diện lập trình ứng dụng kết nối dữ liệu.</w:t>
            </w:r>
          </w:p>
        </w:tc>
      </w:tr>
      <w:tr>
        <w:tc>
          <w:tcPr>
            <w:tcW w:type="dxa" w:w="4536"/>
            <w:vAlign w:val="center"/>
          </w:tcPr>
          <w:p>
            <w:pPr>
              <w:spacing w:before="40" w:after="40" w:line="276" w:lineRule="auto"/>
              <w:jc w:val="center"/>
            </w:pPr>
            <w:r>
              <w:rPr>
                <w:rFonts w:ascii="Times New Roman" w:hAnsi="Times New Roman"/>
                <w:b/>
                <w:i w:val="0"/>
                <w:sz w:val="21"/>
              </w:rPr>
              <w:t>HMAC</w:t>
            </w:r>
          </w:p>
        </w:tc>
        <w:tc>
          <w:tcPr>
            <w:tcW w:type="dxa" w:w="4536"/>
            <w:vAlign w:val="center"/>
          </w:tcPr>
          <w:p>
            <w:pPr>
              <w:spacing w:before="40" w:after="40" w:line="276" w:lineRule="auto"/>
              <w:jc w:val="left"/>
            </w:pPr>
            <w:r>
              <w:rPr>
                <w:rFonts w:ascii="Times New Roman" w:hAnsi="Times New Roman"/>
                <w:b w:val="0"/>
                <w:i w:val="0"/>
                <w:sz w:val="21"/>
              </w:rPr>
              <w:t>Hash-based Message Authentication Code — Mã xác thực thông điệp dựa trên hàm băm.</w:t>
            </w:r>
          </w:p>
        </w:tc>
      </w:tr>
      <w:tr>
        <w:tc>
          <w:tcPr>
            <w:tcW w:type="dxa" w:w="4536"/>
            <w:vAlign w:val="center"/>
          </w:tcPr>
          <w:p>
            <w:pPr>
              <w:spacing w:before="40" w:after="40" w:line="276" w:lineRule="auto"/>
              <w:jc w:val="center"/>
            </w:pPr>
            <w:r>
              <w:rPr>
                <w:rFonts w:ascii="Times New Roman" w:hAnsi="Times New Roman"/>
                <w:b/>
                <w:i w:val="0"/>
                <w:sz w:val="21"/>
              </w:rPr>
              <w:t>SHA-256</w:t>
            </w:r>
          </w:p>
        </w:tc>
        <w:tc>
          <w:tcPr>
            <w:tcW w:type="dxa" w:w="4536"/>
            <w:vAlign w:val="center"/>
          </w:tcPr>
          <w:p>
            <w:pPr>
              <w:spacing w:before="40" w:after="40" w:line="276" w:lineRule="auto"/>
              <w:jc w:val="left"/>
            </w:pPr>
            <w:r>
              <w:rPr>
                <w:rFonts w:ascii="Times New Roman" w:hAnsi="Times New Roman"/>
                <w:b w:val="0"/>
                <w:i w:val="0"/>
                <w:sz w:val="21"/>
              </w:rPr>
              <w:t>Secure Hash Algorithm 256-bit — Thuật toán băm an toàn 256-bit theo tiêu chuẩn FIPS 180-4.</w:t>
            </w:r>
          </w:p>
        </w:tc>
      </w:tr>
      <w:tr>
        <w:tc>
          <w:tcPr>
            <w:tcW w:type="dxa" w:w="4536"/>
            <w:vAlign w:val="center"/>
          </w:tcPr>
          <w:p>
            <w:pPr>
              <w:spacing w:before="40" w:after="40" w:line="276" w:lineRule="auto"/>
              <w:jc w:val="center"/>
            </w:pPr>
            <w:r>
              <w:rPr>
                <w:rFonts w:ascii="Times New Roman" w:hAnsi="Times New Roman"/>
                <w:b/>
                <w:i w:val="0"/>
                <w:sz w:val="21"/>
              </w:rPr>
              <w:t>WebAuthn</w:t>
            </w:r>
          </w:p>
        </w:tc>
        <w:tc>
          <w:tcPr>
            <w:tcW w:type="dxa" w:w="4536"/>
            <w:vAlign w:val="center"/>
          </w:tcPr>
          <w:p>
            <w:pPr>
              <w:spacing w:before="40" w:after="40" w:line="276" w:lineRule="auto"/>
              <w:jc w:val="left"/>
            </w:pPr>
            <w:r>
              <w:rPr>
                <w:rFonts w:ascii="Times New Roman" w:hAnsi="Times New Roman"/>
                <w:b w:val="0"/>
                <w:i w:val="0"/>
                <w:sz w:val="21"/>
              </w:rPr>
              <w:t>Web Authentication API — Tiêu chuẩn xác thực sinh trắc học không mật khẩu của W3C/FIDO2.</w:t>
            </w:r>
          </w:p>
        </w:tc>
      </w:tr>
      <w:tr>
        <w:tc>
          <w:tcPr>
            <w:tcW w:type="dxa" w:w="4536"/>
            <w:vAlign w:val="center"/>
          </w:tcPr>
          <w:p>
            <w:pPr>
              <w:spacing w:before="40" w:after="40" w:line="276" w:lineRule="auto"/>
              <w:jc w:val="center"/>
            </w:pPr>
            <w:r>
              <w:rPr>
                <w:rFonts w:ascii="Times New Roman" w:hAnsi="Times New Roman"/>
                <w:b/>
                <w:i w:val="0"/>
                <w:sz w:val="21"/>
              </w:rPr>
              <w:t>F&amp;B</w:t>
            </w:r>
          </w:p>
        </w:tc>
        <w:tc>
          <w:tcPr>
            <w:tcW w:type="dxa" w:w="4536"/>
            <w:vAlign w:val="center"/>
          </w:tcPr>
          <w:p>
            <w:pPr>
              <w:spacing w:before="40" w:after="40" w:line="276" w:lineRule="auto"/>
              <w:jc w:val="left"/>
            </w:pPr>
            <w:r>
              <w:rPr>
                <w:rFonts w:ascii="Times New Roman" w:hAnsi="Times New Roman"/>
                <w:b w:val="0"/>
                <w:i w:val="0"/>
                <w:sz w:val="21"/>
              </w:rPr>
              <w:t>Food and Beverage — Ngành dịch vụ kinh doanh ẩm thực và đồ uống.</w:t>
            </w:r>
          </w:p>
        </w:tc>
      </w:tr>
      <w:tr>
        <w:tc>
          <w:tcPr>
            <w:tcW w:type="dxa" w:w="4536"/>
            <w:vAlign w:val="center"/>
          </w:tcPr>
          <w:p>
            <w:pPr>
              <w:spacing w:before="40" w:after="40" w:line="276" w:lineRule="auto"/>
              <w:jc w:val="center"/>
            </w:pPr>
            <w:r>
              <w:rPr>
                <w:rFonts w:ascii="Times New Roman" w:hAnsi="Times New Roman"/>
                <w:b/>
                <w:i w:val="0"/>
                <w:sz w:val="21"/>
              </w:rPr>
              <w:t>MSME</w:t>
            </w:r>
          </w:p>
        </w:tc>
        <w:tc>
          <w:tcPr>
            <w:tcW w:type="dxa" w:w="4536"/>
            <w:vAlign w:val="center"/>
          </w:tcPr>
          <w:p>
            <w:pPr>
              <w:spacing w:before="40" w:after="40" w:line="276" w:lineRule="auto"/>
              <w:jc w:val="left"/>
            </w:pPr>
            <w:r>
              <w:rPr>
                <w:rFonts w:ascii="Times New Roman" w:hAnsi="Times New Roman"/>
                <w:b w:val="0"/>
                <w:i w:val="0"/>
                <w:sz w:val="21"/>
              </w:rPr>
              <w:t>Micro, Small and Medium Enterprises — Doanh nghiệp siêu nhỏ, nhỏ và hộ kinh doanh cá thể.</w:t>
            </w:r>
          </w:p>
        </w:tc>
      </w:tr>
      <w:tr>
        <w:tc>
          <w:tcPr>
            <w:tcW w:type="dxa" w:w="4536"/>
            <w:vAlign w:val="center"/>
          </w:tcPr>
          <w:p>
            <w:pPr>
              <w:spacing w:before="40" w:after="40" w:line="276" w:lineRule="auto"/>
              <w:jc w:val="center"/>
            </w:pPr>
            <w:r>
              <w:rPr>
                <w:rFonts w:ascii="Times New Roman" w:hAnsi="Times New Roman"/>
                <w:b/>
                <w:i w:val="0"/>
                <w:sz w:val="21"/>
              </w:rPr>
              <w:t>SaaS</w:t>
            </w:r>
          </w:p>
        </w:tc>
        <w:tc>
          <w:tcPr>
            <w:tcW w:type="dxa" w:w="4536"/>
            <w:vAlign w:val="center"/>
          </w:tcPr>
          <w:p>
            <w:pPr>
              <w:spacing w:before="40" w:after="40" w:line="276" w:lineRule="auto"/>
              <w:jc w:val="left"/>
            </w:pPr>
            <w:r>
              <w:rPr>
                <w:rFonts w:ascii="Times New Roman" w:hAnsi="Times New Roman"/>
                <w:b w:val="0"/>
                <w:i w:val="0"/>
                <w:sz w:val="21"/>
              </w:rPr>
              <w:t>Software as a Service — Mô hình phân phối phần mềm dưới dạng dịch vụ trên nền tảng đám mây.</w:t>
            </w:r>
          </w:p>
        </w:tc>
      </w:tr>
      <w:tr>
        <w:tc>
          <w:tcPr>
            <w:tcW w:type="dxa" w:w="4536"/>
            <w:vAlign w:val="center"/>
          </w:tcPr>
          <w:p>
            <w:pPr>
              <w:spacing w:before="40" w:after="40" w:line="276" w:lineRule="auto"/>
              <w:jc w:val="center"/>
            </w:pPr>
            <w:r>
              <w:rPr>
                <w:rFonts w:ascii="Times New Roman" w:hAnsi="Times New Roman"/>
                <w:b/>
                <w:i w:val="0"/>
                <w:sz w:val="21"/>
              </w:rPr>
              <w:t>SSE</w:t>
            </w:r>
          </w:p>
        </w:tc>
        <w:tc>
          <w:tcPr>
            <w:tcW w:type="dxa" w:w="4536"/>
            <w:vAlign w:val="center"/>
          </w:tcPr>
          <w:p>
            <w:pPr>
              <w:spacing w:before="40" w:after="40" w:line="276" w:lineRule="auto"/>
              <w:jc w:val="left"/>
            </w:pPr>
            <w:r>
              <w:rPr>
                <w:rFonts w:ascii="Times New Roman" w:hAnsi="Times New Roman"/>
                <w:b w:val="0"/>
                <w:i w:val="0"/>
                <w:sz w:val="21"/>
              </w:rPr>
              <w:t>Server-Sent Events — Giao thức truyền thông tin một chiều thời gian thực từ máy chủ về trình duyệt.</w:t>
            </w:r>
          </w:p>
        </w:tc>
      </w:tr>
      <w:tr>
        <w:tc>
          <w:tcPr>
            <w:tcW w:type="dxa" w:w="4536"/>
            <w:vAlign w:val="center"/>
          </w:tcPr>
          <w:p>
            <w:pPr>
              <w:spacing w:before="40" w:after="40" w:line="276" w:lineRule="auto"/>
              <w:jc w:val="center"/>
            </w:pPr>
            <w:r>
              <w:rPr>
                <w:rFonts w:ascii="Times New Roman" w:hAnsi="Times New Roman"/>
                <w:b/>
                <w:i w:val="0"/>
                <w:sz w:val="21"/>
              </w:rPr>
              <w:t>ACID</w:t>
            </w:r>
          </w:p>
        </w:tc>
        <w:tc>
          <w:tcPr>
            <w:tcW w:type="dxa" w:w="4536"/>
            <w:vAlign w:val="center"/>
          </w:tcPr>
          <w:p>
            <w:pPr>
              <w:spacing w:before="40" w:after="40" w:line="276" w:lineRule="auto"/>
              <w:jc w:val="left"/>
            </w:pPr>
            <w:r>
              <w:rPr>
                <w:rFonts w:ascii="Times New Roman" w:hAnsi="Times New Roman"/>
                <w:b w:val="0"/>
                <w:i w:val="0"/>
                <w:sz w:val="21"/>
              </w:rPr>
              <w:t>Atomicity, Consistency, Isolation, Durability — Bộ tiêu chuẩn đảm bảo độ tin cậy của giao dịch CSDL.</w:t>
            </w:r>
          </w:p>
        </w:tc>
      </w:tr>
    </w:tbl>
    <w:p>
      <w:r>
        <w:br w:type="page"/>
      </w:r>
    </w:p>
    <w:p>
      <w:pPr>
        <w:spacing w:before="320" w:after="160" w:line="312" w:lineRule="auto"/>
        <w:jc w:val="left"/>
      </w:pPr>
      <w:r>
        <w:rPr>
          <w:rFonts w:ascii="Times New Roman" w:hAnsi="Times New Roman"/>
          <w:b/>
          <w:i w:val="0"/>
          <w:color w:val="102C57"/>
          <w:sz w:val="28"/>
        </w:rPr>
        <w:t>LỜI MỞ ĐẦU</w:t>
      </w:r>
    </w:p>
    <w:p>
      <w:pPr>
        <w:spacing w:before="0" w:after="120" w:line="312" w:lineRule="auto"/>
        <w:jc w:val="both"/>
      </w:pPr>
      <w:r>
        <w:rPr>
          <w:rFonts w:ascii="Times New Roman" w:hAnsi="Times New Roman"/>
          <w:b w:val="0"/>
          <w:i w:val="0"/>
          <w:sz w:val="24"/>
        </w:rPr>
        <w:t>Trong bối cảnh nền kinh tế Việt Nam đang chuyển mình mạnh mẽ theo định hướng chuyển đổi số toàn diện theo Quyết định số 749/QĐ-TTg của Thủ tướng Chính phủ [2], thanh toán không dùng tiền mặt đã không còn là một khái niệm xa lạ mà đã trở thành huyết mạch vận hành của thị trường bán lẻ hiện đại. Đặc biệt, theo Đề án phát triển thanh toán không dùng tiền mặt tại Việt Nam giai đoạn 2021–2025 theo Quyết định 1813/QĐ-TTg [3] và khung pháp lý tại Nghị định 52/2024/NĐ-CP [1], hạ tầng thanh toán số quốc gia đã đạt được những bước nhảy vọt chưa từng có. Trong làn sóng đó, hình thức thanh toán chuyển khoản quét mã phản hồi nhanh (VietQR) đã nhanh chóng vươn lên chiếm lĩnh vị trí chủ đạo nhờ sự tiện lợi, tốc độ giao dịch gần như tức thời và không yêu cầu người tiêu dùng phải mang theo tiền mặt hay thẻ vật lý.</w:t>
      </w:r>
    </w:p>
    <w:p>
      <w:pPr>
        <w:spacing w:before="0" w:after="120" w:line="312" w:lineRule="auto"/>
        <w:jc w:val="both"/>
      </w:pPr>
      <w:r>
        <w:rPr>
          <w:rFonts w:ascii="Times New Roman" w:hAnsi="Times New Roman"/>
          <w:b w:val="0"/>
          <w:i w:val="0"/>
          <w:sz w:val="24"/>
        </w:rPr>
        <w:t>Mặc dù vậy, sự bùng nổ vượt bậc của thanh toán QR lại đang bộc lộ một sự khập khiễng sâu sắc trong hạ tầng quản trị tại khu vực kinh tế tư nhân vi mô — bao gồm hơn 5 triệu hộ kinh doanh cá thể và doanh nghiệp siêu nhỏ (MSME) tại Việt Nam [5]. Hiện nay, đại đa số các điểm bán lẻ, quán cà phê, quán ăn vừa và nhỏ vẫn đang dựa hoàn toàn vào phương thức thanh toán bằng mã QR tĩnh in trên giấy dán tại quầy. Cách làm mang tính chắp vá này tạo ra một lỗ hổng vận hành rất lớn: sự đứt gãy thông tin hoàn toàn giữa hệ thống ghi nhận đơn hàng tại quầy thu ngân và dòng tiền thực tế chảy vào tài khoản ngân hàng của chủ cửa hàng.</w:t>
      </w:r>
    </w:p>
    <w:p>
      <w:pPr>
        <w:spacing w:before="0" w:after="120" w:line="312" w:lineRule="auto"/>
        <w:jc w:val="both"/>
      </w:pPr>
      <w:r>
        <w:rPr>
          <w:rFonts w:ascii="Times New Roman" w:hAnsi="Times New Roman"/>
          <w:b w:val="0"/>
          <w:i w:val="0"/>
          <w:sz w:val="24"/>
        </w:rPr>
        <w:t>Sự thiếu vắng một cơ chế kết nối và đối soát dữ liệu tự động đã và đang gây ra những hậu quả vô cùng nhức nhối trong thực tiễn vận hành: tình trạng khách hàng cố tình làm giả ảnh chuyển tiền (fake bill) [15] diễn biến ngày càng tinh vi; nhân viên thu ngân tại quầy không được phân quyền xem biến động số dư nên rơi vào thế bị động; khách hàng nhập nhầm số tiền hoặc chuyển sai nội dung gây thất thoát doanh thu; và áp lực đối soát thủ công hàng đêm khiến chủ hộ kinh doanh tiêu tốn hàng giờ đồng hồ quý báu.</w:t>
      </w:r>
    </w:p>
    <w:p>
      <w:pPr>
        <w:spacing w:before="0" w:after="120" w:line="312" w:lineRule="auto"/>
        <w:jc w:val="both"/>
      </w:pPr>
      <w:r>
        <w:rPr>
          <w:rFonts w:ascii="Times New Roman" w:hAnsi="Times New Roman"/>
          <w:b w:val="0"/>
          <w:i w:val="0"/>
          <w:sz w:val="24"/>
        </w:rPr>
        <w:t>Nhận thức sâu sắc tính cấp bách của bài toán thực tế đó, nhóm nghiên cứu đã lựa chọn và phát triển đề tài: "Thiết kế mô hình dịch vụ Fintech VietQR ReconHub hỗ trợ quản lý đơn hàng, đối soát dòng tiền tự động và minh bạch hóa thanh toán QR cho hộ kinh doanh tại Việt Nam". Đề tài hướng tới việc giải quyết triệt để nút thắt cổ chai trong quy trình thu ngân bằng cách kiến tạo một nền tảng dịch vụ tinh gọn, chuẩn hóa quy trình phát hành mã VietQR động theo từng đơn hàng, tự động tiếp nhận biến động số dư qua Webhook bảo mật, vận hành động cơ đối soát tự động 3 cấp độ thông minh và bảo vệ dữ liệu bằng cấu trúc sổ cái bất biến mật mã học.</w:t>
      </w:r>
    </w:p>
    <w:p>
      <w:pPr>
        <w:spacing w:before="0" w:after="120" w:line="312" w:lineRule="auto"/>
        <w:jc w:val="both"/>
      </w:pPr>
      <w:r>
        <w:rPr>
          <w:rFonts w:ascii="Times New Roman" w:hAnsi="Times New Roman"/>
          <w:b w:val="0"/>
          <w:i w:val="0"/>
          <w:sz w:val="24"/>
        </w:rPr>
        <w:t>Báo cáo kỹ thuật và nghiệp vụ phục vụ Bài kiểm tra số 2 được xây dựng công phu, trình bày toàn diện theo cấu trúc 4 chương logic và nhất quán: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Chương 1: Tổng quan về đề tài và bài toán nghiệp vụ — Phân tích thực trạng đứt gãy thông tin đối soát, nhu cầu thị trường, căn cứ pháp lý, tính cấp thiết, phân tích các đối thủ cạnh tranh và xác định mục tiêu của đề tài.</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Chương 2: Mô hình Business Model Canvas (BMC) — Thiết lập và phân tích chi tiết 9 thành phần trong mô hình kinh doanh của giải pháp VietQR ReconHub theo lý thuyết chuẩn quốc tế.</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Chương 3: Thiết kế kiến trúc và thử nghiệm mô hình — Mô tả chi tiết 5 nhóm tính năng nền tảng, thiết kế kiến trúc phân tầng Client–Server, cấu trúc cơ sở dữ liệu quan hệ Microsoft SQL Server 10 bảng, các thư viện/công nghệ sử dụng, và tiến hành kiểm chứng thực nghiệm khép kín trên kịch bản thực tế qua 19 hình ảnh minh chứng giao diện hoạt động.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Chương 4: Đánh giá tính khả thi và đề xuất, khuyến nghị — Đánh giá toàn diện tính khả thi về mặt tài chính (cấu trúc chi phí, dự báo doanh thu, khả năng hoàn vốn), công nghệ và vận hành; nhận diện rủi ro và đưa ra các khuyến nghị thiết thực cho các bên liên quan.</w:t>
      </w:r>
    </w:p>
    <w:p>
      <w:r>
        <w:br w:type="page"/>
      </w:r>
    </w:p>
    <w:p>
      <w:pPr>
        <w:spacing w:before="320" w:after="160" w:line="312" w:lineRule="auto"/>
        <w:jc w:val="left"/>
      </w:pPr>
      <w:r>
        <w:rPr>
          <w:rFonts w:ascii="Times New Roman" w:hAnsi="Times New Roman"/>
          <w:b/>
          <w:i w:val="0"/>
          <w:color w:val="102C57"/>
          <w:sz w:val="28"/>
        </w:rPr>
        <w:t>CHƯƠNG 1: TỔNG QUAN VỀ ĐỀ TÀI VÀ BÀI TOÁN NGHIỆP VỤ</w:t>
      </w:r>
    </w:p>
    <w:p>
      <w:pPr>
        <w:spacing w:before="240" w:after="120" w:line="312" w:lineRule="auto"/>
        <w:jc w:val="left"/>
      </w:pPr>
      <w:r>
        <w:rPr>
          <w:rFonts w:ascii="Times New Roman" w:hAnsi="Times New Roman"/>
          <w:b/>
          <w:i w:val="0"/>
          <w:color w:val="1F4690"/>
          <w:sz w:val="26"/>
        </w:rPr>
        <w:t>1.1. Giới thiệu bài toán đối soát thanh toán QR tại điểm bán lẻ</w:t>
      </w:r>
    </w:p>
    <w:p>
      <w:pPr>
        <w:spacing w:before="0" w:after="120" w:line="312" w:lineRule="auto"/>
        <w:jc w:val="both"/>
      </w:pPr>
      <w:r>
        <w:rPr>
          <w:rFonts w:ascii="Times New Roman" w:hAnsi="Times New Roman"/>
          <w:b w:val="0"/>
          <w:i w:val="0"/>
          <w:sz w:val="24"/>
        </w:rPr>
        <w:t>Trong bức tranh bán lẻ tại Việt Nam hiện nay, đặc biệt là tại các đô thị phát triển, quy trình thanh toán không dùng tiền mặt tại các quầy thu ngân (POS) diễn ra với mật độ dày đặc. Nhằm tiết kiệm chi phí mua sắm thiết bị đầu cuối đắt tiền và đơn giản hóa quy trình tiếp nhận thanh toán, phần lớn các chủ hộ kinh doanh cá thể, quán trà sữa, cửa hàng ăn uống lựa chọn giải pháp in một hình ảnh mã QR ngân hàng cố định (mã QR tĩnh) dán ngay trước mặt bàn quầy thu ngân hoặc in thành biển mica để bàn.</w:t>
      </w:r>
    </w:p>
    <w:p>
      <w:pPr>
        <w:spacing w:before="0" w:after="120" w:line="312" w:lineRule="auto"/>
        <w:jc w:val="both"/>
      </w:pPr>
      <w:r>
        <w:rPr>
          <w:rFonts w:ascii="Times New Roman" w:hAnsi="Times New Roman"/>
          <w:b w:val="0"/>
          <w:i w:val="0"/>
          <w:sz w:val="24"/>
        </w:rPr>
        <w:t>Về mặt bản chất kỹ thuật, mã QR tĩnh dán quầy chỉ đơn thuần mã hóa hai trường dữ liệu cơ bản theo tiêu chuẩn EMVCo [8]: Mã định danh ngân hàng thụ hưởng (Bank BIN) và Số tài khoản ngân hàng thụ hưởng. Mã này hoàn toàn khuyết thiếu hai trường thông tin mang tính chất sống còn của một giao dịch kinh doanh: Số tiền chính xác cần thanh toán và Mã định danh đơn hàng (Order ID). Do đó, toàn bộ quy trình thanh toán bị phó mặc 100% vào các thao tác nhập liệu thủ công của người mua hàng.</w:t>
      </w:r>
    </w:p>
    <w:p>
      <w:pPr>
        <w:spacing w:before="0" w:after="120" w:line="312" w:lineRule="auto"/>
        <w:jc w:val="both"/>
      </w:pPr>
      <w:r>
        <w:rPr>
          <w:rFonts w:ascii="Times New Roman" w:hAnsi="Times New Roman"/>
          <w:b w:val="0"/>
          <w:i w:val="0"/>
          <w:sz w:val="24"/>
        </w:rPr>
        <w:t>Quy trình này vận hành như sau: Khách hàng mở ứng dụng ngân hàng trên điện thoại, bật camera quét mã QR tĩnh dán tại quầy, sau đó tự nhìn vào hóa đơn giấy hoặc nghe nhân viên thu ngân đọc số tiền rồi tự tay gõ số tiền vào ô chuyển khoản, tự nhập nội dung chuyển khoản theo ý thích cá nhân (thường gõ tên mình hoặc ký tự vô nghĩa), rồi bấm lệnh chuyển tiền. Sau khi hoàn tất lệnh chuyển, khách hàng giơ màn hình điện thoại có thông báo "Chuyển khoản thành công" cho nhân viên thu ngân nhìn kiểm tra bằng mắt thường trong vài giây trước khi rời đi.</w:t>
      </w:r>
    </w:p>
    <w:p>
      <w:pPr>
        <w:spacing w:before="0" w:after="120" w:line="312" w:lineRule="auto"/>
        <w:jc w:val="both"/>
      </w:pPr>
      <w:r>
        <w:rPr>
          <w:rFonts w:ascii="Times New Roman" w:hAnsi="Times New Roman"/>
          <w:b w:val="0"/>
          <w:i w:val="0"/>
          <w:sz w:val="24"/>
        </w:rPr>
        <w:t>Chính quy trình mang nặng tính cảm tính và thủ công này đã tạo ra một sự đứt gãy thông tin sâu sắc giữa hai thế giới: Hệ thống bán hàng tại quầy (POS) và Biến động số dư tài khoản ngân hàng của chủ cửa hàng [15].</w:t>
      </w:r>
    </w:p>
    <w:p>
      <w:pPr>
        <w:spacing w:before="240" w:after="60"/>
        <w:jc w:val="center"/>
      </w:pPr>
      <w:r>
        <w:rPr>
          <w:rFonts w:ascii="Times New Roman" w:hAnsi="Times New Roman"/>
          <w:b/>
          <w:sz w:val="22"/>
        </w:rPr>
        <w:t>Hình 1: Sơ đồ luồng đứt gãy thông tin đối soát trong mô hình QR tĩnh truyền thống</w:t>
      </w:r>
    </w:p>
    <w:p>
      <w:pPr>
        <w:spacing w:before="0" w:after="240"/>
        <w:jc w:val="center"/>
      </w:pPr>
      <w:r>
        <w:rPr>
          <w:rFonts w:ascii="Times New Roman" w:hAnsi="Times New Roman"/>
          <w:i/>
          <w:color w:val="5F5F5F"/>
          <w:sz w:val="20"/>
        </w:rPr>
        <w:t>[Ghi chú chèn ảnh minh chứng: Sơ đồ quy trình thể hiện sự tách rời hoàn toàn giữa quầy thu ngân POS và tài khoản ngân hàng của chủ quán, dẫn đến các rủi ro đứt gãy thông tin đối soát]</w:t>
      </w:r>
    </w:p>
    <w:p>
      <w:pPr>
        <w:spacing w:before="0" w:after="120" w:line="312" w:lineRule="auto"/>
        <w:jc w:val="both"/>
      </w:pPr>
      <w:r>
        <w:rPr>
          <w:rFonts w:ascii="Times New Roman" w:hAnsi="Times New Roman"/>
          <w:b w:val="0"/>
          <w:i w:val="0"/>
          <w:sz w:val="24"/>
        </w:rPr>
        <w:t>Sự đứt gãy thông tin đối soát này dẫn đến bốn hậu quả và rủi ro tài chính nghiêm trọng trong thực tế vận hành:</w:t>
      </w:r>
    </w:p>
    <w:p>
      <w:pPr>
        <w:spacing w:before="0" w:after="120" w:line="312" w:lineRule="auto"/>
        <w:jc w:val="both"/>
      </w:pPr>
      <w:r>
        <w:rPr>
          <w:rFonts w:ascii="Times New Roman" w:hAnsi="Times New Roman"/>
          <w:b w:val="0"/>
          <w:i w:val="0"/>
          <w:sz w:val="24"/>
        </w:rPr>
        <w:t>Thứ nhất là rào cản phân quyền tài khoản ngân hàng và tắc nghẽn quầy thu ngân. Vì tài khoản ngân hàng nhận tiền là tài khoản cá nhân của chủ hộ kinh doanh (chứa toàn bộ vốn liếng làm ăn và dòng tiền chi tiêu gia đình), chủ cửa hàng tuyệt đối không thể cung cấp mật khẩu đăng nhập ứng dụng Mobile Banking hay mã OTP cho nhân viên thu ngân thuê ngoài. Vào những khung giờ cao điểm (như giờ ăn trưa tại quán cơm văn phòng hay giờ tan tầm tại quán cà phê), hàng chục khách hàng cùng quét mã thanh toán. Thu ngân rơi vào tình thế tiến thoái lưỡng nan: hoặc là phải chụp ảnh màn hình của khách gửi qua Zalo chờ chủ quán kiểm tra tài khoản rồi phản hồi (gây ùn tắc kéo dài, khách hàng khó chịu), hoặc là phải chấp nhận rủi ro nhìn lướt qua màn hình của khách trong 3 giây rồi cho khách đi.</w:t>
      </w:r>
    </w:p>
    <w:p>
      <w:pPr>
        <w:spacing w:before="0" w:after="120" w:line="312" w:lineRule="auto"/>
        <w:jc w:val="both"/>
      </w:pPr>
      <w:r>
        <w:rPr>
          <w:rFonts w:ascii="Times New Roman" w:hAnsi="Times New Roman"/>
          <w:b w:val="0"/>
          <w:i w:val="0"/>
          <w:sz w:val="24"/>
        </w:rPr>
        <w:t>Thứ hai là nguy cơ thất thoát doanh thu nghiêm trọng do thủ đoạn làm giả hóa đơn chuyển tiền (Fake Bill) [15]. Trong những năm gần đây, lợi dụng việc nhân viên thu ngân không thể kiểm tra số dư tài khoản, các đối tượng tội phạm công nghệ cao đã tạo ra các trang web và phần mềm tạo biên lai chuyển tiền ngân hàng giả mạo. Chỉ với vài giây nhập số tiền và tên chủ quán, kẻ gian có thể tạo ra một bức ảnh chụp màn hình hoàn hảo hiển thị giao dịch ngân hàng thành công với đầy đủ logo ngân hàng, số tiền, ngày giờ chuẩn xác. Khi giơ bức ảnh này cho nhân viên thu ngân đang bận rộn nhìn lướt qua, kẻ gian dễ dàng chiếm đoạt hàng hóa mà không có bất kỳ dòng tiền thực tế nào chảy vào tài khoản của cửa hàng.</w:t>
      </w:r>
    </w:p>
    <w:p>
      <w:pPr>
        <w:spacing w:before="0" w:after="120" w:line="312" w:lineRule="auto"/>
        <w:jc w:val="both"/>
      </w:pPr>
      <w:r>
        <w:rPr>
          <w:rFonts w:ascii="Times New Roman" w:hAnsi="Times New Roman"/>
          <w:b w:val="0"/>
          <w:i w:val="0"/>
          <w:sz w:val="24"/>
        </w:rPr>
        <w:t>Thứ ba là rủi ro sai lệch số tiền và thất lạc thông tin do khách hàng nhập liệu thủ công. Do phải tự gõ số tiền, không ít khách hàng vô tình hoặc cố ý gõ thiếu một số 0 (ví dụ đơn hàng 500.000 VNĐ nhưng chỉ gõ chuyển 50.000 VNĐ) hoặc gõ sai số lẻ. Hơn nữa, khách hàng thường không ghi mã hóa đơn vào phần nội dung chuyển tiền mà ghi các thông điệp chung chung như "tra tien", "chuyen khoan", "an trua". Khi tài khoản ngân hàng phát sinh hàng trăm giao dịch tương tự nhau trong ngày, việc xác định khoản tiền nào tương ứng với đơn hàng nào trở thành một bài toán bất khả thi đối với nhân viên kế toán.</w:t>
      </w:r>
    </w:p>
    <w:p>
      <w:pPr>
        <w:spacing w:before="0" w:after="120" w:line="312" w:lineRule="auto"/>
        <w:jc w:val="both"/>
      </w:pPr>
      <w:r>
        <w:rPr>
          <w:rFonts w:ascii="Times New Roman" w:hAnsi="Times New Roman"/>
          <w:b w:val="0"/>
          <w:i w:val="0"/>
          <w:sz w:val="24"/>
        </w:rPr>
        <w:t>Thứ tư là gánh nặng đối soát thủ công và xung đột tài chính cuối ngày. Sau mỗi ca làm việc kéo dài 8 đến 10 tiếng, chủ cửa hàng và nhân viên thu ngân phải ngồi lại đối chiếu từng tờ hóa đơn giấy với bản sao kê biến động số dư ngân hàng. Quá trình đối soát thủ công này thường tiêu tốn từ 1 đến 2 giờ mỗi ngày, cực kỳ căng thẳng và dễ xảy ra nhầm lẫn. Khi phát hiện tiền trong tài khoản không khớp với doanh số đơn hàng, xung đột quyền lợi và sự nghi ngờ giữa chủ quán và nhân viên thu ngân nảy sinh, làm suy giảm nghiêm trọng hiệu suất lao động và sự gắn kết nội bộ.</w:t>
      </w:r>
    </w:p>
    <w:p>
      <w:pPr>
        <w:spacing w:before="240" w:after="120" w:line="312" w:lineRule="auto"/>
        <w:jc w:val="left"/>
      </w:pPr>
      <w:r>
        <w:rPr>
          <w:rFonts w:ascii="Times New Roman" w:hAnsi="Times New Roman"/>
          <w:b/>
          <w:i w:val="0"/>
          <w:color w:val="1F4690"/>
          <w:sz w:val="26"/>
        </w:rPr>
        <w:t>1.2. Nhu cầu thị trường và tính cấp thiết của bài toán</w:t>
      </w:r>
    </w:p>
    <w:p>
      <w:pPr>
        <w:spacing w:before="160" w:after="80" w:line="312" w:lineRule="auto"/>
        <w:jc w:val="left"/>
      </w:pPr>
      <w:r>
        <w:rPr>
          <w:rFonts w:ascii="Times New Roman" w:hAnsi="Times New Roman"/>
          <w:b/>
          <w:i/>
          <w:sz w:val="24"/>
        </w:rPr>
        <w:t>1.2.1. Nhu cầu thị trường trong kỷ nguyên thanh toán số</w:t>
      </w:r>
    </w:p>
    <w:p>
      <w:pPr>
        <w:spacing w:before="0" w:after="120" w:line="312" w:lineRule="auto"/>
        <w:jc w:val="both"/>
      </w:pPr>
      <w:r>
        <w:rPr>
          <w:rFonts w:ascii="Times New Roman" w:hAnsi="Times New Roman"/>
          <w:b w:val="0"/>
          <w:i w:val="0"/>
          <w:sz w:val="24"/>
        </w:rPr>
        <w:t>Thị trường bán lẻ và dịch vụ ẩm thực tại Việt Nam đang trải qua một giai đoạn bùng nổ mạnh mẽ về thanh toán không dùng tiền mặt. Theo số liệu thống kê chính thức từ Ngân hàng Nhà nước Việt Nam [6], trong giai đoạn 2022–2024, phương thức thanh toán qua quét mã QR ghi nhận mức tăng trưởng thần tốc, đạt trên 170% về số lượng giao dịch và hơn 100% về tổng giá trị giao dịch mỗi năm, vượt trội hoàn toàn so với tốc độ tăng trưởng của các kênh thanh toán truyền thống như thẻ ATM hay máy POS quẹt thẻ.</w:t>
      </w:r>
    </w:p>
    <w:p>
      <w:pPr>
        <w:spacing w:before="0" w:after="120" w:line="312" w:lineRule="auto"/>
        <w:jc w:val="both"/>
      </w:pPr>
      <w:r>
        <w:rPr>
          <w:rFonts w:ascii="Times New Roman" w:hAnsi="Times New Roman"/>
          <w:b w:val="0"/>
          <w:i w:val="0"/>
          <w:sz w:val="24"/>
        </w:rPr>
        <w:t>Theo Sách trắng Thương mại điện tử Việt Nam 2024 của Bộ Công Thương [5], khu vực kinh tế tư nhân vi mô — bao gồm hơn 5,2 triệu hộ kinh doanh cá thể và hàng trăm nghìn doanh nghiệp siêu nhỏ — đóng góp tới gần 40% quy mô GDP quốc gia và tạo việc làm cho hàng chục triệu lao động. Tuy nhiên, tỷ lệ ứng dụng công nghệ quản trị dòng tiền tự động tại khu vực này vẫn còn rất khiêm tốn. Phần lớn các chủ hộ kinh doanh đều mong muốn có một giải pháp tự động hóa khâu thu ngân và đối soát để loại trừ rủi ro thất thoát, nhưng họ lại không sẵn sàng chi trả từ 3 đến 5 triệu đồng mỗi năm để mua sắm các gói phần mềm quản lý bán hàng cồng kềnh với nhiều tính năng không cần thiết.</w:t>
      </w:r>
    </w:p>
    <w:p>
      <w:pPr>
        <w:spacing w:before="0" w:after="120" w:line="312" w:lineRule="auto"/>
        <w:jc w:val="both"/>
      </w:pPr>
      <w:r>
        <w:rPr>
          <w:rFonts w:ascii="Times New Roman" w:hAnsi="Times New Roman"/>
          <w:b w:val="0"/>
          <w:i w:val="0"/>
          <w:sz w:val="24"/>
        </w:rPr>
        <w:t>Do đó, nhu cầu của thị trường đối với một nền tảng Fintech chuyên biệt hóa, tinh gọn, tập trung duy nhất vào bài toán chuẩn hóa mã VietQR động và tự động đối soát dòng tiền theo thời gian thực với mức chi phí thuê bao hợp lý là vô cùng to lớn và có tiềm năng thương mại hóa bền vững.</w:t>
      </w:r>
    </w:p>
    <w:p>
      <w:pPr>
        <w:spacing w:before="160" w:after="80" w:line="312" w:lineRule="auto"/>
        <w:jc w:val="left"/>
      </w:pPr>
      <w:r>
        <w:rPr>
          <w:rFonts w:ascii="Times New Roman" w:hAnsi="Times New Roman"/>
          <w:b/>
          <w:i/>
          <w:sz w:val="24"/>
        </w:rPr>
        <w:t>1.2.2. Tính cấp thiết dưới góc độ pháp lý và quản trị rủi ro</w:t>
      </w:r>
    </w:p>
    <w:p>
      <w:pPr>
        <w:spacing w:before="0" w:after="120" w:line="312" w:lineRule="auto"/>
        <w:jc w:val="both"/>
      </w:pPr>
      <w:r>
        <w:rPr>
          <w:rFonts w:ascii="Times New Roman" w:hAnsi="Times New Roman"/>
          <w:b w:val="0"/>
          <w:i w:val="0"/>
          <w:sz w:val="24"/>
        </w:rPr>
        <w:t>Xét từ góc độ thể chế và quy định pháp luật của Nhà nước, việc xây dựng một hệ thống đối soát minh bạch dòng tiền càng trở nên cấp thiết hơn bao giờ hết:</w:t>
      </w:r>
    </w:p>
    <w:p>
      <w:pPr>
        <w:spacing w:before="0" w:after="120" w:line="312" w:lineRule="auto"/>
        <w:jc w:val="both"/>
      </w:pPr>
      <w:r>
        <w:rPr>
          <w:rFonts w:ascii="Times New Roman" w:hAnsi="Times New Roman"/>
          <w:b w:val="0"/>
          <w:i w:val="0"/>
          <w:sz w:val="24"/>
        </w:rPr>
        <w:t>Thứ nhất, Nghị định số 52/2024/NĐ-CP của Chính phủ ban hành ngày 15/05/2024 quy định về thanh toán không dùng tiền mặt [1] đã chính thức thiết lập một hành lang pháp lý nghiêm ngặt nhằm siết chặt các hành vi gian lận thanh toán, ngăn ngừa việc sử dụng tài khoản thanh toán không chính chủ và thúc đẩy tính minh bạch trong các giao dịch thương mại bán lẻ.</w:t>
      </w:r>
    </w:p>
    <w:p>
      <w:pPr>
        <w:spacing w:before="0" w:after="120" w:line="312" w:lineRule="auto"/>
        <w:jc w:val="both"/>
      </w:pPr>
      <w:r>
        <w:rPr>
          <w:rFonts w:ascii="Times New Roman" w:hAnsi="Times New Roman"/>
          <w:b w:val="0"/>
          <w:i w:val="0"/>
          <w:sz w:val="24"/>
        </w:rPr>
        <w:t>Thứ hai, Thông tư số 40/2021/TT-BTC của Bộ Tài chính [4] hướng dẫn chi tiết về chính sách quản lý thuế đối với hộ kinh doanh và cá nhân kinh doanh. Theo lộ trình của Tổng cục Thuế, các hộ kinh doanh nộp thuế theo phương pháp kê khai bắt buộc phải ghi chép sổ sách kế toán, lưu trữ chứng từ thanh toán rõ ràng và tiến tới áp dụng hóa đơn điện tử khởi tạo từ máy tính tiền. Nếu không có một hệ thống phần mềm ghi nhận đối soát độc lập, hộ kinh doanh sẽ gặp vô vàn rủi ro khi cơ quan thuế tiến hành thanh tra, kiểm tra doanh thu thực tế.</w:t>
      </w:r>
    </w:p>
    <w:p>
      <w:pPr>
        <w:spacing w:before="0" w:after="120" w:line="312" w:lineRule="auto"/>
        <w:jc w:val="both"/>
      </w:pPr>
      <w:r>
        <w:rPr>
          <w:rFonts w:ascii="Times New Roman" w:hAnsi="Times New Roman"/>
          <w:b w:val="0"/>
          <w:i w:val="0"/>
          <w:sz w:val="24"/>
        </w:rPr>
        <w:t>Thứ ba, sự đan xen giữa dòng tiền cá nhân và dòng tiền kinh doanh trên cùng một tài khoản ngân hàng của chủ quán đang tạo ra rủi ro pháp lý rất lớn về nghĩa vụ thuế. Giải pháp VietQR ReconHub đóng vai trò như một bộ lọc tài chính độc lập, tự động bóc tách chính xác những khoản tiền nào là doanh thu bán hàng của cửa hàng (có gắn với mã đơn hàng và số tiền chuẩn), và những khoản tiền nào là giao dịch cá nhân riêng tư của chủ hộ, tạo nền tảng vững chắc cho việc quản trị rủi ro tài chính của doanh nghiệp siêu nhỏ.</w:t>
      </w:r>
    </w:p>
    <w:p>
      <w:pPr>
        <w:spacing w:before="240" w:after="120" w:line="312" w:lineRule="auto"/>
        <w:jc w:val="left"/>
      </w:pPr>
      <w:r>
        <w:rPr>
          <w:rFonts w:ascii="Times New Roman" w:hAnsi="Times New Roman"/>
          <w:b/>
          <w:i w:val="0"/>
          <w:color w:val="1F4690"/>
          <w:sz w:val="26"/>
        </w:rPr>
        <w:t>1.3. Đề xuất mô hình kinh doanh và giải pháp công nghệ</w:t>
      </w:r>
    </w:p>
    <w:p>
      <w:pPr>
        <w:spacing w:before="0" w:after="120" w:line="312" w:lineRule="auto"/>
        <w:jc w:val="both"/>
      </w:pPr>
      <w:r>
        <w:rPr>
          <w:rFonts w:ascii="Times New Roman" w:hAnsi="Times New Roman"/>
          <w:b w:val="0"/>
          <w:i w:val="0"/>
          <w:sz w:val="24"/>
        </w:rPr>
        <w:t>Xuất phát từ các căn cứ thực tiễn và pháp lý trên, nhóm nghiên cứu đề xuất giải pháp: Nền tảng dịch vụ Fintech VietQR ReconHub — Hệ thống phần mềm dịch vụ (SaaS) hỗ trợ quản lý ca bán hàng, phát hành mã VietQR động khóa tiền và đối soát dòng tiền tự động khép kín theo thời gian thực dành riêng cho các điểm bán lẻ.</w:t>
      </w:r>
    </w:p>
    <w:p>
      <w:pPr>
        <w:spacing w:before="0" w:after="120" w:line="312" w:lineRule="auto"/>
        <w:jc w:val="both"/>
      </w:pPr>
      <w:r>
        <w:rPr>
          <w:rFonts w:ascii="Times New Roman" w:hAnsi="Times New Roman"/>
          <w:b w:val="0"/>
          <w:i w:val="0"/>
          <w:sz w:val="24"/>
        </w:rPr>
        <w:t>Nền tảng được xây dựng dựa trên 4 trụ cột nghiệp vụ và công nghệ cốt lõi:</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Phát hành mã VietQR động chuẩn NAPAS: Thay vì sử dụng mã QR tĩnh dán quầy, tại mỗi giao dịch bán hàng, hệ thống tự động sinh một mã VietQR động theo tiêu chuẩn kỹ thuật quốc gia của NAPAS [7] và EMVCo [8]. Mã QR này đã được nhúng sẵn và khóa cứng 100% số tiền của đơn hàng cùng mã định danh hóa đơn chuẩn (ví dụ: TT ORD1001). Khách hàng chỉ việc quét mã và bấm xác nhận chuyển tiền mà không cần và không thể sửa đổi số tiền hay nội dung chuyển khoản.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Tiếp nhận biến động số dư ngân hàng qua Webhook bảo mật: Kết nối trực tiếp với cổng Open Banking của các ngân hàng thương mại hoặc các đơn vị trung gian thanh toán uy tín. Khi tài khoản ngân hàng nhận được tiền, cổng ngân hàng sẽ lập tức bắn một bản tin Webhook chứa dữ liệu giao dịch về hệ thống. Bản tin được xác thực an toàn tuyệt đối thông qua thuật toán chữ ký số HMAC-SHA256 theo tiêu chuẩn RFC 2104 [9] và NIST FIPS PUB 198-1 [11].</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Động cơ đối soát tự động 3 cấp độ (Reconciliation Engine): Hệ thống xử lý dữ liệu thông minh theo 3 cấp độ: Cấp 1 - Khớp chính xác tuyệt đối (Exact Match); Cấp 2 - Khớp chuyển thiếu và tự động cộng dồn lũy kế nhiều lần chuyển cho một đơn hàng (Partial Match &amp; Accumulation); Cấp 3 - Khớp chuỗi mờ nội dung chuyển khoản dựa trên giải thuật Token Set Ratio (Fuzzy Matching) khi khách hàng gõ thêm các ký tự thừa.</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Sổ cái bất biến mật mã học và xác thực sinh trắc học: Ứng dụng cấu trúc Sổ cái liên kết chuỗi băm Append-Only SHA-256 [10] và Cây Merkle [13] để đảm bảo dữ liệu kế toán một khi đã ghi nhận thì không thể bị chỉnh sửa hay xóa bỏ. Mọi quyết định can thiệp ngoại lệ thủ công bắt buộc phải được xác thực bằng chữ ký số sinh trắc học không mật khẩu WebAuthn/FIDO2 [12].</w:t>
      </w:r>
    </w:p>
    <w:p>
      <w:pPr>
        <w:spacing w:before="240" w:after="120" w:line="312" w:lineRule="auto"/>
        <w:jc w:val="left"/>
      </w:pPr>
      <w:r>
        <w:rPr>
          <w:rFonts w:ascii="Times New Roman" w:hAnsi="Times New Roman"/>
          <w:b/>
          <w:i w:val="0"/>
          <w:color w:val="1F4690"/>
          <w:sz w:val="26"/>
        </w:rPr>
        <w:t>1.4. Đánh giá mô hình theo các tiêu chí yêu cầu</w:t>
      </w:r>
    </w:p>
    <w:p>
      <w:pPr>
        <w:spacing w:before="160" w:after="80" w:line="312" w:lineRule="auto"/>
        <w:jc w:val="left"/>
      </w:pPr>
      <w:r>
        <w:rPr>
          <w:rFonts w:ascii="Times New Roman" w:hAnsi="Times New Roman"/>
          <w:b/>
          <w:i/>
          <w:sz w:val="24"/>
        </w:rPr>
        <w:t>1.4.1. Tính phù hợp với thị trường Việt Nam</w:t>
      </w:r>
    </w:p>
    <w:p>
      <w:pPr>
        <w:spacing w:before="0" w:after="120" w:line="312" w:lineRule="auto"/>
        <w:jc w:val="both"/>
      </w:pPr>
      <w:r>
        <w:rPr>
          <w:rFonts w:ascii="Times New Roman" w:hAnsi="Times New Roman"/>
          <w:b w:val="0"/>
          <w:i w:val="0"/>
          <w:sz w:val="24"/>
        </w:rPr>
        <w:t>Giải pháp VietQR ReconHub sở hữu mức độ tương thích hoàn hảo với đặc thù hành vi tiêu dùng và hạ tầng viễn thông tại Việt Nam. Người tiêu dùng Việt Nam đã quá quen thuộc với ứng dụng Mobile Banking và thao tác quét mã QR chuyển khoản 24/7. Giải pháp hoàn toàn không yêu cầu người mua phải cài đặt thêm bất kỳ ứng dụng mới nào hay đăng ký tài khoản ví điện tử trung gian, từ đó giảm thiểu tối đa ma sát trong hành trình mua sắm.</w:t>
      </w:r>
    </w:p>
    <w:p>
      <w:pPr>
        <w:spacing w:before="160" w:after="80" w:line="312" w:lineRule="auto"/>
        <w:jc w:val="left"/>
      </w:pPr>
      <w:r>
        <w:rPr>
          <w:rFonts w:ascii="Times New Roman" w:hAnsi="Times New Roman"/>
          <w:b/>
          <w:i/>
          <w:sz w:val="24"/>
        </w:rPr>
        <w:t>1.4.2. Tính mới trong công nghệ quản trị dòng tiền</w:t>
      </w:r>
    </w:p>
    <w:p>
      <w:pPr>
        <w:spacing w:before="0" w:after="120" w:line="312" w:lineRule="auto"/>
        <w:jc w:val="both"/>
      </w:pPr>
      <w:r>
        <w:rPr>
          <w:rFonts w:ascii="Times New Roman" w:hAnsi="Times New Roman"/>
          <w:b w:val="0"/>
          <w:i w:val="0"/>
          <w:sz w:val="24"/>
        </w:rPr>
        <w:t>Tính mới đột phá của giải pháp nằm ở việc tiên phong đưa các công nghệ mật mã học cao cấp (Cryptographic Ledger, Merkle Tree Root) vốn chỉ được ứng dụng trong công nghệ Blockchain hoặc ngân hàng lõi (Core Banking) vào phân khúc quản lý tài chính vi mô cho hộ kinh doanh cá thể. Việc lưu vết kiểm toán bằng chuỗi băm SHA-256 [10] và niêm phong ca làm việc bằng giá trị Merkle Root [13] biến cuốn sổ bán hàng điện tử của cửa hàng thành một chứng từ số hóa có giá trị pháp lý và tính chống chối bỏ tuyệt đối.</w:t>
      </w:r>
    </w:p>
    <w:p>
      <w:pPr>
        <w:spacing w:before="160" w:after="80" w:line="312" w:lineRule="auto"/>
        <w:jc w:val="left"/>
      </w:pPr>
      <w:r>
        <w:rPr>
          <w:rFonts w:ascii="Times New Roman" w:hAnsi="Times New Roman"/>
          <w:b/>
          <w:i/>
          <w:sz w:val="24"/>
        </w:rPr>
        <w:t>1.4.3. Tính sáng tạo trong giải thuật đối soát đa tầng</w:t>
      </w:r>
    </w:p>
    <w:p>
      <w:pPr>
        <w:spacing w:before="0" w:after="120" w:line="312" w:lineRule="auto"/>
        <w:jc w:val="both"/>
      </w:pPr>
      <w:r>
        <w:rPr>
          <w:rFonts w:ascii="Times New Roman" w:hAnsi="Times New Roman"/>
          <w:b w:val="0"/>
          <w:i w:val="0"/>
          <w:sz w:val="24"/>
        </w:rPr>
        <w:t>Tính sáng tạo của đề tài được khẳng định qua việc thiết kế động cơ đối soát tự động linh hoạt, giải quyết trọn vẹn những điểm nghẽn nghiệp vụ mà các phần mềm POS hiện hành trên thị trường bỏ ngỏ: khả năng tự động nhận diện khoản tiền chuyển thiếu và mở luồng cho khách chuyển bù lần 2; khả năng tự động bóc tách mã đơn hàng khi khách hàng gõ thêm các từ thừa (như "Nguyen Van A chuyen tien mua hang ORD1001") thông qua giải thuật đo khoảng cách chuỗi Token Set Ratio.</w:t>
      </w:r>
    </w:p>
    <w:p>
      <w:pPr>
        <w:spacing w:before="160" w:after="80" w:line="312" w:lineRule="auto"/>
        <w:jc w:val="left"/>
      </w:pPr>
      <w:r>
        <w:rPr>
          <w:rFonts w:ascii="Times New Roman" w:hAnsi="Times New Roman"/>
          <w:b/>
          <w:i/>
          <w:sz w:val="24"/>
        </w:rPr>
        <w:t>1.4.4. Tính khả thi trong triển khai thực tiễn</w:t>
      </w:r>
    </w:p>
    <w:p>
      <w:pPr>
        <w:spacing w:before="0" w:after="120" w:line="312" w:lineRule="auto"/>
        <w:jc w:val="both"/>
      </w:pPr>
      <w:r>
        <w:rPr>
          <w:rFonts w:ascii="Times New Roman" w:hAnsi="Times New Roman"/>
          <w:b w:val="0"/>
          <w:i w:val="0"/>
          <w:sz w:val="24"/>
        </w:rPr>
        <w:t>Về mặt kinh tế và kỹ thuật, giải pháp có tính khả thi cực kỳ cao. Hệ thống được triển khai 100% trên nền tảng điện toán đám mây hiện đại, hoạt động mượt mà trên trình duyệt web của bất kỳ thiết bị sẵn có nào tại điểm bán (điện thoại thông minh, máy tính bảng, laptop cũ). Chủ hộ kinh doanh không cần bỏ ra hàng triệu đồng mua máy quẹt thẻ POS chuyên dụng, giúp chi phí tiếp cận công nghệ giảm xuống mức tiệm cận 0 VNĐ [14].</w:t>
      </w:r>
    </w:p>
    <w:p>
      <w:pPr>
        <w:spacing w:before="240" w:after="120" w:line="312" w:lineRule="auto"/>
        <w:jc w:val="left"/>
      </w:pPr>
      <w:r>
        <w:rPr>
          <w:rFonts w:ascii="Times New Roman" w:hAnsi="Times New Roman"/>
          <w:b/>
          <w:i w:val="0"/>
          <w:color w:val="1F4690"/>
          <w:sz w:val="26"/>
        </w:rPr>
        <w:t>1.5. Mục tiêu đề tài</w:t>
      </w:r>
    </w:p>
    <w:p>
      <w:pPr>
        <w:spacing w:before="0" w:after="120" w:line="312" w:lineRule="auto"/>
        <w:jc w:val="both"/>
      </w:pPr>
      <w:r>
        <w:rPr>
          <w:rFonts w:ascii="Times New Roman" w:hAnsi="Times New Roman"/>
          <w:b w:val="0"/>
          <w:i w:val="0"/>
          <w:sz w:val="24"/>
        </w:rPr>
        <w:t>Trong khuôn khổ thực hiện Bài kiểm tra số 2, đề tài xác định 4 mục tiêu trọng tâm cần hoàn thành:</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Mục tiêu 1: Nghiên cứu thấu đáo cơ sở lý luận và pháp lý về hệ thống thanh toán điện tử, tiêu chuẩn kỹ thuật VietQR của NAPAS [7], EMVCo [8] và các quy định quản lý thuế hộ kinh doanh [1], [4].</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Mục tiêu 2: Thiết kế hoàn chỉnh mô hình kinh doanh theo khung Business Model Canvas (BMC) 9 thành phần [14], phân tích tính khả thi tài chính và định vị giá trị cạnh tranh trên thị trường Fintech.</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Mục tiêu 3: Thiết kế kiến trúc phần mềm phân tầng Client–Server chuẩn hóa, xây dựng lược đồ cơ sở dữ liệu quan hệ Microsoft SQL Server 10 bảng dữ liệu nghiêm ngặt, bảo đảm tính toàn vẹn dữ liệu kế toán kép.</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Mục tiêu 4: Xây dựng và kiểm thử thành công hệ thống phần mềm thực nghiệm khép kín, mô phỏng hoàn chỉnh vòng đời một ca kinh doanh bán lẻ với đầy đủ các tình huống đối soát phức tạp, ghi nhận hình ảnh minh chứng hoạt động trực quan và đánh giá độ chính xác của giải pháp.</w:t>
      </w:r>
    </w:p>
    <w:p>
      <w:pPr>
        <w:spacing w:before="240" w:after="120" w:line="312" w:lineRule="auto"/>
        <w:jc w:val="left"/>
      </w:pPr>
      <w:r>
        <w:rPr>
          <w:rFonts w:ascii="Times New Roman" w:hAnsi="Times New Roman"/>
          <w:b/>
          <w:i w:val="0"/>
          <w:color w:val="1F4690"/>
          <w:sz w:val="26"/>
        </w:rPr>
        <w:t>1.6. Phân tích đối thủ cạnh tranh trên thị trường</w:t>
      </w:r>
    </w:p>
    <w:p>
      <w:pPr>
        <w:spacing w:before="0" w:after="120" w:line="312" w:lineRule="auto"/>
        <w:jc w:val="both"/>
      </w:pPr>
      <w:r>
        <w:rPr>
          <w:rFonts w:ascii="Times New Roman" w:hAnsi="Times New Roman"/>
          <w:b w:val="0"/>
          <w:i w:val="0"/>
          <w:sz w:val="24"/>
        </w:rPr>
        <w:t>Nhằm định vị chính xác vị thế sản phẩm và tìm kiếm khoảng trống thị trường (Market Gap), nhóm nghiên cứu tiến hành phân tích sâu 3 nhóm đối thủ cạnh tranh đang hiện diện trên thị trường thanh toán bán lẻ Việt Nam:</w:t>
      </w:r>
    </w:p>
    <w:p>
      <w:pPr>
        <w:spacing w:before="160" w:after="80" w:line="312" w:lineRule="auto"/>
        <w:jc w:val="left"/>
      </w:pPr>
      <w:r>
        <w:rPr>
          <w:rFonts w:ascii="Times New Roman" w:hAnsi="Times New Roman"/>
          <w:b/>
          <w:i/>
          <w:sz w:val="24"/>
        </w:rPr>
        <w:t>1.6.1. Nhóm giải pháp QR tĩnh dán quầy của các ngân hàng thương mại</w:t>
      </w:r>
    </w:p>
    <w:p>
      <w:pPr>
        <w:spacing w:before="0" w:after="120" w:line="312" w:lineRule="auto"/>
        <w:jc w:val="both"/>
      </w:pPr>
      <w:r>
        <w:rPr>
          <w:rFonts w:ascii="Times New Roman" w:hAnsi="Times New Roman"/>
          <w:b w:val="0"/>
          <w:i w:val="0"/>
          <w:sz w:val="24"/>
        </w:rPr>
        <w:t>• Mô tả: Các ngân hàng thương mại (Vietcombank, MBBank, Techcombank, VPBank...) cung cấp miễn phí các ấn phẩm mã QR tĩnh in trên bảng mica hoặc giấy decal để hộ kinh doanh dán trước quầy.</w:t>
      </w:r>
    </w:p>
    <w:p>
      <w:pPr>
        <w:spacing w:before="0" w:after="120" w:line="312" w:lineRule="auto"/>
        <w:jc w:val="both"/>
      </w:pPr>
      <w:r>
        <w:rPr>
          <w:rFonts w:ascii="Times New Roman" w:hAnsi="Times New Roman"/>
          <w:b w:val="0"/>
          <w:i w:val="0"/>
          <w:sz w:val="24"/>
        </w:rPr>
        <w:t>• Điểm mạnh: Uy tín thương hiệu ngân hàng lớn; hoàn toàn miễn phí triển khai; tiền chuyển về trực tiếp tài khoản ngân hàng của chủ quán.</w:t>
      </w:r>
    </w:p>
    <w:p>
      <w:pPr>
        <w:spacing w:before="0" w:after="120" w:line="312" w:lineRule="auto"/>
        <w:jc w:val="both"/>
      </w:pPr>
      <w:r>
        <w:rPr>
          <w:rFonts w:ascii="Times New Roman" w:hAnsi="Times New Roman"/>
          <w:b w:val="0"/>
          <w:i w:val="0"/>
          <w:sz w:val="24"/>
        </w:rPr>
        <w:t>• Hạn chế cốt tử: Mã QR không chứa số tiền và mã hóa đơn; khách hàng phải tự nhập tay số tiền; nguy cơ bị lừa đảo bằng hóa đơn chuyển tiền giả (fake bill) [15] là rất cao; nhân viên thu ngân tại quầy không được phân quyền xem biến động số dư; cuối ngày chủ quán phải mất hàng giờ kiểm tra sao kê ngân hàng thủ công; hoàn toàn không có khả năng liên kết với phần mềm quản lý đơn hàng.</w:t>
      </w:r>
    </w:p>
    <w:p>
      <w:pPr>
        <w:spacing w:before="160" w:after="80" w:line="312" w:lineRule="auto"/>
        <w:jc w:val="left"/>
      </w:pPr>
      <w:r>
        <w:rPr>
          <w:rFonts w:ascii="Times New Roman" w:hAnsi="Times New Roman"/>
          <w:b/>
          <w:i/>
          <w:sz w:val="24"/>
        </w:rPr>
        <w:t>1.6.2. Nhóm phần mềm quản lý bán hàng tích hợp (KiotViet, Sapo, iPOS)</w:t>
      </w:r>
    </w:p>
    <w:p>
      <w:pPr>
        <w:spacing w:before="0" w:after="120" w:line="312" w:lineRule="auto"/>
        <w:jc w:val="both"/>
      </w:pPr>
      <w:r>
        <w:rPr>
          <w:rFonts w:ascii="Times New Roman" w:hAnsi="Times New Roman"/>
          <w:b w:val="0"/>
          <w:i w:val="0"/>
          <w:sz w:val="24"/>
        </w:rPr>
        <w:t>• Mô tả: Các công ty công nghệ cung cấp giải pháp quản lý bán hàng tổng thể tích hợp tính năng tạo mã QR thanh toán động.</w:t>
      </w:r>
    </w:p>
    <w:p>
      <w:pPr>
        <w:spacing w:before="0" w:after="120" w:line="312" w:lineRule="auto"/>
        <w:jc w:val="both"/>
      </w:pPr>
      <w:r>
        <w:rPr>
          <w:rFonts w:ascii="Times New Roman" w:hAnsi="Times New Roman"/>
          <w:b w:val="0"/>
          <w:i w:val="0"/>
          <w:sz w:val="24"/>
        </w:rPr>
        <w:t>• Điểm mạnh: Nghiệp vụ quản lý bán hàng chuyên sâu (quản lý kho hàng, định lượng món ăn, in hóa đơn bếp, báo cáo doanh thu).</w:t>
      </w:r>
    </w:p>
    <w:p>
      <w:pPr>
        <w:spacing w:before="0" w:after="120" w:line="312" w:lineRule="auto"/>
        <w:jc w:val="both"/>
      </w:pPr>
      <w:r>
        <w:rPr>
          <w:rFonts w:ascii="Times New Roman" w:hAnsi="Times New Roman"/>
          <w:b w:val="0"/>
          <w:i w:val="0"/>
          <w:sz w:val="24"/>
        </w:rPr>
        <w:t>• Hạn chế cốt tử: Chi phí bản quyền phần mềm khá cao đối với các hộ kinh doanh cá thể nhỏ lẻ (từ 1.800.000 đến 3.500.000 VNĐ/năm); các giải pháp thanh toán QR tích hợp thường yêu cầu mở tài khoản tại ngân hàng chỉ định hoặc thông qua cổng trung gian thanh toán có thu phí chiết khấu giao dịch (0.8% - 1.5%/giao dịch); quy trình đối soát các đơn hàng bị lệch tiền, khách chuyển thiếu hoặc ghi sai mã đơn thường rất cồng kềnh; hệ thống dữ liệu không có cơ chế Sổ cái bất biến chống nhân viên chỉnh sửa số liệu trong CSDL.</w:t>
      </w:r>
    </w:p>
    <w:p>
      <w:pPr>
        <w:spacing w:before="160" w:after="80" w:line="312" w:lineRule="auto"/>
        <w:jc w:val="left"/>
      </w:pPr>
      <w:r>
        <w:rPr>
          <w:rFonts w:ascii="Times New Roman" w:hAnsi="Times New Roman"/>
          <w:b/>
          <w:i/>
          <w:sz w:val="24"/>
        </w:rPr>
        <w:t>1.6.3. Nhóm cổng kết nối Webhook Open Banking thô (Casso, SePay)</w:t>
      </w:r>
    </w:p>
    <w:p>
      <w:pPr>
        <w:spacing w:before="0" w:after="120" w:line="312" w:lineRule="auto"/>
        <w:jc w:val="both"/>
      </w:pPr>
      <w:r>
        <w:rPr>
          <w:rFonts w:ascii="Times New Roman" w:hAnsi="Times New Roman"/>
          <w:b w:val="0"/>
          <w:i w:val="0"/>
          <w:sz w:val="24"/>
        </w:rPr>
        <w:t>• Mô tả: Các doanh nghiệp công nghệ trung gian cung cấp dịch vụ bắt biến động số dư ngân hàng qua kết nối Open Banking API hoặc ứng dụng đọc thông báo trên điện thoại, sau đó đẩy bản tin Webhook về cho phần mềm cửa hàng.</w:t>
      </w:r>
    </w:p>
    <w:p>
      <w:pPr>
        <w:spacing w:before="0" w:after="120" w:line="312" w:lineRule="auto"/>
        <w:jc w:val="both"/>
      </w:pPr>
      <w:r>
        <w:rPr>
          <w:rFonts w:ascii="Times New Roman" w:hAnsi="Times New Roman"/>
          <w:b w:val="0"/>
          <w:i w:val="0"/>
          <w:sz w:val="24"/>
        </w:rPr>
        <w:t>• Điểm mạnh: Tốc độ bắt biến động số dư nhanh chóng (dưới 3 giây), hỗ trợ kết nối được với hầu hết các ngân hàng thương mại tại Việt Nam.</w:t>
      </w:r>
    </w:p>
    <w:p>
      <w:pPr>
        <w:spacing w:before="0" w:after="120" w:line="312" w:lineRule="auto"/>
        <w:jc w:val="both"/>
      </w:pPr>
      <w:r>
        <w:rPr>
          <w:rFonts w:ascii="Times New Roman" w:hAnsi="Times New Roman"/>
          <w:b w:val="0"/>
          <w:i w:val="0"/>
          <w:sz w:val="24"/>
        </w:rPr>
        <w:t>• Hạn chế cốt tử: Bản chất chỉ là nhà cung cấp cổng dữ liệu kỹ thuật (Data Gateway Pipeline) thuần túy dành cho lập trình viên; không có sẵn giao diện nghiệp vụ hoàn chỉnh cho nhân viên thu ngân đứng quầy và kế toán đối soát; thiếu phân hệ quản lý ca làm việc theo định mức tài chính; không có cơ chế quản lý sổ cái bất biến mật mã học và không tích hợp quy trình phê duyệt ngoại lệ bằng chữ ký số sinh trắc học WebAuthn [12].</w:t>
      </w:r>
    </w:p>
    <w:p>
      <w:pPr>
        <w:spacing w:before="240" w:after="120" w:line="312" w:lineRule="auto"/>
        <w:jc w:val="left"/>
      </w:pPr>
      <w:r>
        <w:rPr>
          <w:rFonts w:ascii="Times New Roman" w:hAnsi="Times New Roman"/>
          <w:b/>
          <w:i w:val="0"/>
          <w:color w:val="1F4690"/>
          <w:sz w:val="26"/>
        </w:rPr>
        <w:t>1.7. So sánh điểm mạnh giải pháp đối soát tự động VietQR ReconHub</w:t>
      </w:r>
    </w:p>
    <w:p>
      <w:pPr>
        <w:spacing w:before="0" w:after="120" w:line="312" w:lineRule="auto"/>
        <w:jc w:val="both"/>
      </w:pPr>
      <w:r>
        <w:rPr>
          <w:rFonts w:ascii="Times New Roman" w:hAnsi="Times New Roman"/>
          <w:b w:val="0"/>
          <w:i w:val="0"/>
          <w:sz w:val="24"/>
        </w:rPr>
        <w:t>Nhằm làm nổi bật sự vượt trội về mặt công nghệ và tính thực tiễn của giải pháp đề xuất, Bảng 1 tổng hợp ma trận so sánh chi tiết giữa VietQR ReconHub với các nhóm giải pháp hiện có trên thị trường:</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1814"/>
        <w:gridCol w:w="1814"/>
        <w:gridCol w:w="1814"/>
        <w:gridCol w:w="1814"/>
        <w:gridCol w:w="1814"/>
      </w:tblGrid>
      <w:tr>
        <w:tc>
          <w:tcPr>
            <w:tcW w:type="dxa" w:w="1814"/>
            <w:vAlign w:val="center"/>
            <w:shd w:fill="D9E4F5"/>
          </w:tcPr>
          <w:p>
            <w:pPr>
              <w:spacing w:before="40" w:after="40" w:line="276" w:lineRule="auto"/>
              <w:jc w:val="center"/>
            </w:pPr>
            <w:r>
              <w:rPr>
                <w:rFonts w:ascii="Times New Roman" w:hAnsi="Times New Roman"/>
                <w:b/>
                <w:i w:val="0"/>
                <w:sz w:val="20"/>
              </w:rPr>
              <w:t>Tiêu chí đánh giá</w:t>
            </w:r>
          </w:p>
        </w:tc>
        <w:tc>
          <w:tcPr>
            <w:tcW w:type="dxa" w:w="1814"/>
            <w:vAlign w:val="center"/>
            <w:shd w:fill="D9E4F5"/>
          </w:tcPr>
          <w:p>
            <w:pPr>
              <w:spacing w:before="40" w:after="40" w:line="276" w:lineRule="auto"/>
              <w:jc w:val="center"/>
            </w:pPr>
            <w:r>
              <w:rPr>
                <w:rFonts w:ascii="Times New Roman" w:hAnsi="Times New Roman"/>
                <w:b/>
                <w:i w:val="0"/>
                <w:sz w:val="20"/>
              </w:rPr>
              <w:t>Mã QR tĩnh ngân hàng</w:t>
            </w:r>
          </w:p>
        </w:tc>
        <w:tc>
          <w:tcPr>
            <w:tcW w:type="dxa" w:w="1814"/>
            <w:vAlign w:val="center"/>
            <w:shd w:fill="D9E4F5"/>
          </w:tcPr>
          <w:p>
            <w:pPr>
              <w:spacing w:before="40" w:after="40" w:line="276" w:lineRule="auto"/>
              <w:jc w:val="center"/>
            </w:pPr>
            <w:r>
              <w:rPr>
                <w:rFonts w:ascii="Times New Roman" w:hAnsi="Times New Roman"/>
                <w:b/>
                <w:i w:val="0"/>
                <w:sz w:val="20"/>
              </w:rPr>
              <w:t>Phần mềm POS lớn</w:t>
            </w:r>
          </w:p>
        </w:tc>
        <w:tc>
          <w:tcPr>
            <w:tcW w:type="dxa" w:w="1814"/>
            <w:vAlign w:val="center"/>
            <w:shd w:fill="D9E4F5"/>
          </w:tcPr>
          <w:p>
            <w:pPr>
              <w:spacing w:before="40" w:after="40" w:line="276" w:lineRule="auto"/>
              <w:jc w:val="center"/>
            </w:pPr>
            <w:r>
              <w:rPr>
                <w:rFonts w:ascii="Times New Roman" w:hAnsi="Times New Roman"/>
                <w:b/>
                <w:i w:val="0"/>
                <w:sz w:val="20"/>
              </w:rPr>
              <w:t>Cổng Webhook thô</w:t>
            </w:r>
          </w:p>
        </w:tc>
        <w:tc>
          <w:tcPr>
            <w:tcW w:type="dxa" w:w="1814"/>
            <w:vAlign w:val="center"/>
            <w:shd w:fill="D9E4F5"/>
          </w:tcPr>
          <w:p>
            <w:pPr>
              <w:spacing w:before="40" w:after="40" w:line="276" w:lineRule="auto"/>
              <w:jc w:val="center"/>
            </w:pPr>
            <w:r>
              <w:rPr>
                <w:rFonts w:ascii="Times New Roman" w:hAnsi="Times New Roman"/>
                <w:b/>
                <w:i w:val="0"/>
                <w:sz w:val="20"/>
              </w:rPr>
              <w:t>VietQR ReconHub</w:t>
            </w:r>
          </w:p>
        </w:tc>
      </w:tr>
      <w:tr>
        <w:tc>
          <w:tcPr>
            <w:tcW w:type="dxa" w:w="1814"/>
            <w:vAlign w:val="center"/>
          </w:tcPr>
          <w:p>
            <w:pPr>
              <w:spacing w:before="40" w:after="40" w:line="276" w:lineRule="auto"/>
              <w:jc w:val="left"/>
            </w:pPr>
            <w:r>
              <w:rPr>
                <w:rFonts w:ascii="Times New Roman" w:hAnsi="Times New Roman"/>
                <w:b w:val="0"/>
                <w:i w:val="0"/>
                <w:sz w:val="19"/>
              </w:rPr>
              <w:t>Cơ chế mã QR</w:t>
            </w:r>
          </w:p>
        </w:tc>
        <w:tc>
          <w:tcPr>
            <w:tcW w:type="dxa" w:w="1814"/>
            <w:vAlign w:val="center"/>
          </w:tcPr>
          <w:p>
            <w:pPr>
              <w:spacing w:before="40" w:after="40" w:line="276" w:lineRule="auto"/>
              <w:jc w:val="center"/>
            </w:pPr>
            <w:r>
              <w:rPr>
                <w:rFonts w:ascii="Times New Roman" w:hAnsi="Times New Roman"/>
                <w:b w:val="0"/>
                <w:i w:val="0"/>
                <w:sz w:val="19"/>
              </w:rPr>
              <w:t>Mã tĩnh (Không khóa tiền)</w:t>
            </w:r>
          </w:p>
        </w:tc>
        <w:tc>
          <w:tcPr>
            <w:tcW w:type="dxa" w:w="1814"/>
            <w:vAlign w:val="center"/>
          </w:tcPr>
          <w:p>
            <w:pPr>
              <w:spacing w:before="40" w:after="40" w:line="276" w:lineRule="auto"/>
              <w:jc w:val="center"/>
            </w:pPr>
            <w:r>
              <w:rPr>
                <w:rFonts w:ascii="Times New Roman" w:hAnsi="Times New Roman"/>
                <w:b w:val="0"/>
                <w:i w:val="0"/>
                <w:sz w:val="19"/>
              </w:rPr>
              <w:t>Mã động (Có khóa tiền)</w:t>
            </w:r>
          </w:p>
        </w:tc>
        <w:tc>
          <w:tcPr>
            <w:tcW w:type="dxa" w:w="1814"/>
            <w:vAlign w:val="center"/>
          </w:tcPr>
          <w:p>
            <w:pPr>
              <w:spacing w:before="40" w:after="40" w:line="276" w:lineRule="auto"/>
              <w:jc w:val="center"/>
            </w:pPr>
            <w:r>
              <w:rPr>
                <w:rFonts w:ascii="Times New Roman" w:hAnsi="Times New Roman"/>
                <w:b w:val="0"/>
                <w:i w:val="0"/>
                <w:sz w:val="19"/>
              </w:rPr>
              <w:t>Tùy biến theo code</w:t>
            </w:r>
          </w:p>
        </w:tc>
        <w:tc>
          <w:tcPr>
            <w:tcW w:type="dxa" w:w="1814"/>
            <w:vAlign w:val="center"/>
          </w:tcPr>
          <w:p>
            <w:pPr>
              <w:spacing w:before="40" w:after="40" w:line="276" w:lineRule="auto"/>
              <w:jc w:val="center"/>
            </w:pPr>
            <w:r>
              <w:rPr>
                <w:rFonts w:ascii="Times New Roman" w:hAnsi="Times New Roman"/>
                <w:b w:val="0"/>
                <w:i w:val="0"/>
                <w:sz w:val="19"/>
              </w:rPr>
              <w:t>Mã VietQR động chuẩn NAPAS</w:t>
            </w:r>
          </w:p>
        </w:tc>
      </w:tr>
      <w:tr>
        <w:tc>
          <w:tcPr>
            <w:tcW w:type="dxa" w:w="1814"/>
            <w:vAlign w:val="center"/>
          </w:tcPr>
          <w:p>
            <w:pPr>
              <w:spacing w:before="40" w:after="40" w:line="276" w:lineRule="auto"/>
              <w:jc w:val="left"/>
            </w:pPr>
            <w:r>
              <w:rPr>
                <w:rFonts w:ascii="Times New Roman" w:hAnsi="Times New Roman"/>
                <w:b w:val="0"/>
                <w:i w:val="0"/>
                <w:sz w:val="19"/>
              </w:rPr>
              <w:t>Rủi ro Fake Bill</w:t>
            </w:r>
          </w:p>
        </w:tc>
        <w:tc>
          <w:tcPr>
            <w:tcW w:type="dxa" w:w="1814"/>
            <w:vAlign w:val="center"/>
          </w:tcPr>
          <w:p>
            <w:pPr>
              <w:spacing w:before="40" w:after="40" w:line="276" w:lineRule="auto"/>
              <w:jc w:val="center"/>
            </w:pPr>
            <w:r>
              <w:rPr>
                <w:rFonts w:ascii="Times New Roman" w:hAnsi="Times New Roman"/>
                <w:b w:val="0"/>
                <w:i w:val="0"/>
                <w:sz w:val="19"/>
              </w:rPr>
              <w:t>Rất cao (Không kiểm tra được)</w:t>
            </w:r>
          </w:p>
        </w:tc>
        <w:tc>
          <w:tcPr>
            <w:tcW w:type="dxa" w:w="1814"/>
            <w:vAlign w:val="center"/>
          </w:tcPr>
          <w:p>
            <w:pPr>
              <w:spacing w:before="40" w:after="40" w:line="276" w:lineRule="auto"/>
              <w:jc w:val="center"/>
            </w:pPr>
            <w:r>
              <w:rPr>
                <w:rFonts w:ascii="Times New Roman" w:hAnsi="Times New Roman"/>
                <w:b w:val="0"/>
                <w:i w:val="0"/>
                <w:sz w:val="19"/>
              </w:rPr>
              <w:t>Thấp (Có thông báo)</w:t>
            </w:r>
          </w:p>
        </w:tc>
        <w:tc>
          <w:tcPr>
            <w:tcW w:type="dxa" w:w="1814"/>
            <w:vAlign w:val="center"/>
          </w:tcPr>
          <w:p>
            <w:pPr>
              <w:spacing w:before="40" w:after="40" w:line="276" w:lineRule="auto"/>
              <w:jc w:val="center"/>
            </w:pPr>
            <w:r>
              <w:rPr>
                <w:rFonts w:ascii="Times New Roman" w:hAnsi="Times New Roman"/>
                <w:b w:val="0"/>
                <w:i w:val="0"/>
                <w:sz w:val="19"/>
              </w:rPr>
              <w:t>Thấp (Có webhook)</w:t>
            </w:r>
          </w:p>
        </w:tc>
        <w:tc>
          <w:tcPr>
            <w:tcW w:type="dxa" w:w="1814"/>
            <w:vAlign w:val="center"/>
          </w:tcPr>
          <w:p>
            <w:pPr>
              <w:spacing w:before="40" w:after="40" w:line="276" w:lineRule="auto"/>
              <w:jc w:val="center"/>
            </w:pPr>
            <w:r>
              <w:rPr>
                <w:rFonts w:ascii="Times New Roman" w:hAnsi="Times New Roman"/>
                <w:b w:val="0"/>
                <w:i w:val="0"/>
                <w:sz w:val="19"/>
              </w:rPr>
              <w:t>Triệt tiêu 100% (Khóa tiền &amp; mã đơn)</w:t>
            </w:r>
          </w:p>
        </w:tc>
      </w:tr>
      <w:tr>
        <w:tc>
          <w:tcPr>
            <w:tcW w:type="dxa" w:w="1814"/>
            <w:vAlign w:val="center"/>
          </w:tcPr>
          <w:p>
            <w:pPr>
              <w:spacing w:before="40" w:after="40" w:line="276" w:lineRule="auto"/>
              <w:jc w:val="left"/>
            </w:pPr>
            <w:r>
              <w:rPr>
                <w:rFonts w:ascii="Times New Roman" w:hAnsi="Times New Roman"/>
                <w:b w:val="0"/>
                <w:i w:val="0"/>
                <w:sz w:val="19"/>
              </w:rPr>
              <w:t>Đối soát lệch &amp; thiếu tiền</w:t>
            </w:r>
          </w:p>
        </w:tc>
        <w:tc>
          <w:tcPr>
            <w:tcW w:type="dxa" w:w="1814"/>
            <w:vAlign w:val="center"/>
          </w:tcPr>
          <w:p>
            <w:pPr>
              <w:spacing w:before="40" w:after="40" w:line="276" w:lineRule="auto"/>
              <w:jc w:val="center"/>
            </w:pPr>
            <w:r>
              <w:rPr>
                <w:rFonts w:ascii="Times New Roman" w:hAnsi="Times New Roman"/>
                <w:b w:val="0"/>
                <w:i w:val="0"/>
                <w:sz w:val="19"/>
              </w:rPr>
              <w:t>Thủ công hoàn toàn</w:t>
            </w:r>
          </w:p>
        </w:tc>
        <w:tc>
          <w:tcPr>
            <w:tcW w:type="dxa" w:w="1814"/>
            <w:vAlign w:val="center"/>
          </w:tcPr>
          <w:p>
            <w:pPr>
              <w:spacing w:before="40" w:after="40" w:line="276" w:lineRule="auto"/>
              <w:jc w:val="center"/>
            </w:pPr>
            <w:r>
              <w:rPr>
                <w:rFonts w:ascii="Times New Roman" w:hAnsi="Times New Roman"/>
                <w:b w:val="0"/>
                <w:i w:val="0"/>
                <w:sz w:val="19"/>
              </w:rPr>
              <w:t>Xử lý bán thủ công</w:t>
            </w:r>
          </w:p>
        </w:tc>
        <w:tc>
          <w:tcPr>
            <w:tcW w:type="dxa" w:w="1814"/>
            <w:vAlign w:val="center"/>
          </w:tcPr>
          <w:p>
            <w:pPr>
              <w:spacing w:before="40" w:after="40" w:line="276" w:lineRule="auto"/>
              <w:jc w:val="center"/>
            </w:pPr>
            <w:r>
              <w:rPr>
                <w:rFonts w:ascii="Times New Roman" w:hAnsi="Times New Roman"/>
                <w:b w:val="0"/>
                <w:i w:val="0"/>
                <w:sz w:val="19"/>
              </w:rPr>
              <w:t>Không hỗ trợ</w:t>
            </w:r>
          </w:p>
        </w:tc>
        <w:tc>
          <w:tcPr>
            <w:tcW w:type="dxa" w:w="1814"/>
            <w:vAlign w:val="center"/>
          </w:tcPr>
          <w:p>
            <w:pPr>
              <w:spacing w:before="40" w:after="40" w:line="276" w:lineRule="auto"/>
              <w:jc w:val="center"/>
            </w:pPr>
            <w:r>
              <w:rPr>
                <w:rFonts w:ascii="Times New Roman" w:hAnsi="Times New Roman"/>
                <w:b w:val="0"/>
                <w:i w:val="0"/>
                <w:sz w:val="19"/>
              </w:rPr>
              <w:t>Tự động cộng dồn lũy kế đa tầng</w:t>
            </w:r>
          </w:p>
        </w:tc>
      </w:tr>
      <w:tr>
        <w:tc>
          <w:tcPr>
            <w:tcW w:type="dxa" w:w="1814"/>
            <w:vAlign w:val="center"/>
          </w:tcPr>
          <w:p>
            <w:pPr>
              <w:spacing w:before="40" w:after="40" w:line="276" w:lineRule="auto"/>
              <w:jc w:val="left"/>
            </w:pPr>
            <w:r>
              <w:rPr>
                <w:rFonts w:ascii="Times New Roman" w:hAnsi="Times New Roman"/>
                <w:b w:val="0"/>
                <w:i w:val="0"/>
                <w:sz w:val="19"/>
              </w:rPr>
              <w:t>Thuật toán chuỗi mờ</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Hỗ trợ RapidFuzz Token Set Ratio</w:t>
            </w:r>
          </w:p>
        </w:tc>
      </w:tr>
      <w:tr>
        <w:tc>
          <w:tcPr>
            <w:tcW w:type="dxa" w:w="1814"/>
            <w:vAlign w:val="center"/>
          </w:tcPr>
          <w:p>
            <w:pPr>
              <w:spacing w:before="40" w:after="40" w:line="276" w:lineRule="auto"/>
              <w:jc w:val="left"/>
            </w:pPr>
            <w:r>
              <w:rPr>
                <w:rFonts w:ascii="Times New Roman" w:hAnsi="Times New Roman"/>
                <w:b w:val="0"/>
                <w:i w:val="0"/>
                <w:sz w:val="19"/>
              </w:rPr>
              <w:t>Sổ cái kiểm toán mật mã</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Có (SHA-256 Hash Chain &amp; Merkle)</w:t>
            </w:r>
          </w:p>
        </w:tc>
      </w:tr>
      <w:tr>
        <w:tc>
          <w:tcPr>
            <w:tcW w:type="dxa" w:w="1814"/>
            <w:vAlign w:val="center"/>
          </w:tcPr>
          <w:p>
            <w:pPr>
              <w:spacing w:before="40" w:after="40" w:line="276" w:lineRule="auto"/>
              <w:jc w:val="left"/>
            </w:pPr>
            <w:r>
              <w:rPr>
                <w:rFonts w:ascii="Times New Roman" w:hAnsi="Times New Roman"/>
                <w:b w:val="0"/>
                <w:i w:val="0"/>
                <w:sz w:val="19"/>
              </w:rPr>
              <w:t>Xác thực ngoại lệ an toàn</w:t>
            </w:r>
          </w:p>
        </w:tc>
        <w:tc>
          <w:tcPr>
            <w:tcW w:type="dxa" w:w="1814"/>
            <w:vAlign w:val="center"/>
          </w:tcPr>
          <w:p>
            <w:pPr>
              <w:spacing w:before="40" w:after="40" w:line="276" w:lineRule="auto"/>
              <w:jc w:val="center"/>
            </w:pPr>
            <w:r>
              <w:rPr>
                <w:rFonts w:ascii="Times New Roman" w:hAnsi="Times New Roman"/>
                <w:b w:val="0"/>
                <w:i w:val="0"/>
                <w:sz w:val="19"/>
              </w:rPr>
              <w:t>Bằng mắt thường</w:t>
            </w:r>
          </w:p>
        </w:tc>
        <w:tc>
          <w:tcPr>
            <w:tcW w:type="dxa" w:w="1814"/>
            <w:vAlign w:val="center"/>
          </w:tcPr>
          <w:p>
            <w:pPr>
              <w:spacing w:before="40" w:after="40" w:line="276" w:lineRule="auto"/>
              <w:jc w:val="center"/>
            </w:pPr>
            <w:r>
              <w:rPr>
                <w:rFonts w:ascii="Times New Roman" w:hAnsi="Times New Roman"/>
                <w:b w:val="0"/>
                <w:i w:val="0"/>
                <w:sz w:val="19"/>
              </w:rPr>
              <w:t>Mật khẩu quản trị thông thường</w:t>
            </w:r>
          </w:p>
        </w:tc>
        <w:tc>
          <w:tcPr>
            <w:tcW w:type="dxa" w:w="1814"/>
            <w:vAlign w:val="center"/>
          </w:tcPr>
          <w:p>
            <w:pPr>
              <w:spacing w:before="40" w:after="40" w:line="276" w:lineRule="auto"/>
              <w:jc w:val="center"/>
            </w:pPr>
            <w:r>
              <w:rPr>
                <w:rFonts w:ascii="Times New Roman" w:hAnsi="Times New Roman"/>
                <w:b w:val="0"/>
                <w:i w:val="0"/>
                <w:sz w:val="19"/>
              </w:rPr>
              <w:t>Không có</w:t>
            </w:r>
          </w:p>
        </w:tc>
        <w:tc>
          <w:tcPr>
            <w:tcW w:type="dxa" w:w="1814"/>
            <w:vAlign w:val="center"/>
          </w:tcPr>
          <w:p>
            <w:pPr>
              <w:spacing w:before="40" w:after="40" w:line="276" w:lineRule="auto"/>
              <w:jc w:val="center"/>
            </w:pPr>
            <w:r>
              <w:rPr>
                <w:rFonts w:ascii="Times New Roman" w:hAnsi="Times New Roman"/>
                <w:b w:val="0"/>
                <w:i w:val="0"/>
                <w:sz w:val="19"/>
              </w:rPr>
              <w:t>Chữ ký sinh trắc học WebAuthn/FIDO2</w:t>
            </w:r>
          </w:p>
        </w:tc>
      </w:tr>
    </w:tbl>
    <w:p>
      <w:pPr>
        <w:spacing w:before="80" w:after="240" w:line="312" w:lineRule="auto"/>
        <w:jc w:val="center"/>
      </w:pPr>
      <w:r>
        <w:rPr>
          <w:rFonts w:ascii="Times New Roman" w:hAnsi="Times New Roman"/>
          <w:b w:val="0"/>
          <w:i/>
          <w:sz w:val="20"/>
        </w:rPr>
        <w:t>Bảng 1: Ma trận so sánh tính năng VietQR ReconHub với các giải pháp hiện có trên thị trường</w:t>
      </w:r>
    </w:p>
    <w:p>
      <w:r>
        <w:br w:type="page"/>
      </w:r>
    </w:p>
    <w:p>
      <w:pPr>
        <w:spacing w:before="320" w:after="160" w:line="312" w:lineRule="auto"/>
        <w:jc w:val="left"/>
      </w:pPr>
      <w:r>
        <w:rPr>
          <w:rFonts w:ascii="Times New Roman" w:hAnsi="Times New Roman"/>
          <w:b/>
          <w:i w:val="0"/>
          <w:color w:val="102C57"/>
          <w:sz w:val="28"/>
        </w:rPr>
        <w:t>CHƯƠNG 2: MÔ HÌNH BUSINESS MODEL CANVAS (BMC)</w:t>
      </w:r>
    </w:p>
    <w:p>
      <w:pPr>
        <w:spacing w:before="240" w:after="120" w:line="312" w:lineRule="auto"/>
        <w:jc w:val="left"/>
      </w:pPr>
      <w:r>
        <w:rPr>
          <w:rFonts w:ascii="Times New Roman" w:hAnsi="Times New Roman"/>
          <w:b/>
          <w:i w:val="0"/>
          <w:color w:val="1F4690"/>
          <w:sz w:val="26"/>
        </w:rPr>
        <w:t>2.1. Giới thiệu mô hình Business Model Canvas</w:t>
      </w:r>
    </w:p>
    <w:p>
      <w:pPr>
        <w:spacing w:before="0" w:after="120" w:line="312" w:lineRule="auto"/>
        <w:jc w:val="both"/>
      </w:pPr>
      <w:r>
        <w:rPr>
          <w:rFonts w:ascii="Times New Roman" w:hAnsi="Times New Roman"/>
          <w:b w:val="0"/>
          <w:i w:val="0"/>
          <w:sz w:val="24"/>
        </w:rPr>
        <w:t>Để chuyển hóa một giải pháp công nghệ Fintech thành một sản phẩm dịch vụ có khả năng tồn tại, tạo ra giá trị kinh tế và mở rộng quy mô bền vững trên thị trường, việc xây dựng một mô hình kinh doanh chuẩn hóa là bước đi mang tính quyết định. Nhóm nghiên cứu áp dụng khung Mô hình Kinh doanh Canvas (Business Model Canvas - BMC) được phát triển bởi Giáo sư Alexander Osterwalder và Yves Pigneur [14]. Đây là công cụ quản trị chiến lược được công nhận rộng rãi trên toàn cầu, cho phép các nhà khởi nghiệp trực quan hóa toàn bộ 9 khối cấu trúc nền tảng của một tổ chức kinh doanh trên một mặt phẳng duy nhất.</w:t>
      </w:r>
    </w:p>
    <w:p>
      <w:pPr>
        <w:spacing w:before="240" w:after="60"/>
        <w:jc w:val="center"/>
      </w:pPr>
      <w:r>
        <w:rPr>
          <w:rFonts w:ascii="Times New Roman" w:hAnsi="Times New Roman"/>
          <w:b/>
          <w:sz w:val="22"/>
        </w:rPr>
        <w:t>Hình 2: Mô hình Business Model Canvas nền tảng VietQR ReconHub</w:t>
      </w:r>
    </w:p>
    <w:p>
      <w:pPr>
        <w:spacing w:before="0" w:after="240"/>
        <w:jc w:val="center"/>
      </w:pPr>
      <w:r>
        <w:rPr>
          <w:rFonts w:ascii="Times New Roman" w:hAnsi="Times New Roman"/>
          <w:i/>
          <w:color w:val="5F5F5F"/>
          <w:sz w:val="20"/>
        </w:rPr>
        <w:t>[Ghi chú chèn ảnh minh chứng: Sơ đồ ma trận 9 khối Business Model Canvas trực quan hóa toàn diện chiến lược kinh doanh của dịch vụ VietQR ReconHub]</w:t>
      </w:r>
    </w:p>
    <w:p>
      <w:pPr>
        <w:spacing w:before="0" w:after="120" w:line="312" w:lineRule="auto"/>
        <w:jc w:val="both"/>
      </w:pPr>
      <w:r>
        <w:rPr>
          <w:rFonts w:ascii="Times New Roman" w:hAnsi="Times New Roman"/>
          <w:b w:val="0"/>
          <w:i w:val="0"/>
          <w:sz w:val="24"/>
        </w:rPr>
        <w:t>Bảng 2 trình bày chi tiết nội dung phân tích chiến lược của 9 khối thành phần trong mô hình kinh doanh của VietQR ReconHub [14]:</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4536"/>
        <w:gridCol w:w="4536"/>
      </w:tblGrid>
      <w:tr>
        <w:tc>
          <w:tcPr>
            <w:tcW w:type="dxa" w:w="4536"/>
            <w:vAlign w:val="center"/>
            <w:shd w:fill="D9E4F5"/>
          </w:tcPr>
          <w:p>
            <w:pPr>
              <w:spacing w:before="40" w:after="40" w:line="276" w:lineRule="auto"/>
              <w:jc w:val="center"/>
            </w:pPr>
            <w:r>
              <w:rPr>
                <w:rFonts w:ascii="Times New Roman" w:hAnsi="Times New Roman"/>
                <w:b/>
                <w:i w:val="0"/>
                <w:sz w:val="21"/>
              </w:rPr>
              <w:t>9 Thành phần Canvas</w:t>
            </w:r>
          </w:p>
        </w:tc>
        <w:tc>
          <w:tcPr>
            <w:tcW w:type="dxa" w:w="4536"/>
            <w:vAlign w:val="center"/>
            <w:shd w:fill="D9E4F5"/>
          </w:tcPr>
          <w:p>
            <w:pPr>
              <w:spacing w:before="40" w:after="40" w:line="276" w:lineRule="auto"/>
              <w:jc w:val="center"/>
            </w:pPr>
            <w:r>
              <w:rPr>
                <w:rFonts w:ascii="Times New Roman" w:hAnsi="Times New Roman"/>
                <w:b/>
                <w:i w:val="0"/>
                <w:sz w:val="21"/>
              </w:rPr>
              <w:t>Nội dung hoạch định chiến lược của VietQR ReconHub</w:t>
            </w:r>
          </w:p>
        </w:tc>
      </w:tr>
      <w:tr>
        <w:tc>
          <w:tcPr>
            <w:tcW w:type="dxa" w:w="4536"/>
            <w:vAlign w:val="center"/>
          </w:tcPr>
          <w:p>
            <w:pPr>
              <w:spacing w:before="40" w:after="40" w:line="276" w:lineRule="auto"/>
              <w:jc w:val="left"/>
            </w:pPr>
            <w:r>
              <w:rPr>
                <w:rFonts w:ascii="Times New Roman" w:hAnsi="Times New Roman"/>
                <w:b/>
                <w:i w:val="0"/>
                <w:sz w:val="20"/>
              </w:rPr>
              <w:t>1. Phân khúc khách hàng (Customer Segments)</w:t>
            </w:r>
          </w:p>
        </w:tc>
        <w:tc>
          <w:tcPr>
            <w:tcW w:type="dxa" w:w="4536"/>
            <w:vAlign w:val="center"/>
          </w:tcPr>
          <w:p>
            <w:pPr>
              <w:spacing w:before="40" w:after="40" w:line="276" w:lineRule="auto"/>
              <w:jc w:val="both"/>
            </w:pPr>
            <w:r>
              <w:rPr>
                <w:rFonts w:ascii="Times New Roman" w:hAnsi="Times New Roman"/>
                <w:b w:val="0"/>
                <w:i w:val="0"/>
                <w:sz w:val="19"/>
              </w:rPr>
              <w:t>• Phân khúc trọng tâm: Hộ kinh doanh cá thể, quán cà phê, nhà hàng ẩm thực F&amp;B, tiệm trà sữa, tiệm tạp hóa và cửa hàng bán lẻ thời trang có tỷ trọng doanh thu qua chuyển khoản quét mã QR chiếm từ 40% đến 80% tổng doanh số.</w:t>
              <w:br/>
              <w:t>• Phân khúc tiềm năng: Chuỗi cửa hàng bán lẻ quy mô nhỏ (2 - 5 điểm bán) cần giải pháp đồng bộ và kiểm soát tập trung dòng tiền về tài khoản ngân hàng của chủ chuỗi mà không cho phép nhân viên tại các chi nhánh xem số dư tài khoản.</w:t>
            </w:r>
          </w:p>
        </w:tc>
      </w:tr>
      <w:tr>
        <w:tc>
          <w:tcPr>
            <w:tcW w:type="dxa" w:w="4536"/>
            <w:vAlign w:val="center"/>
          </w:tcPr>
          <w:p>
            <w:pPr>
              <w:spacing w:before="40" w:after="40" w:line="276" w:lineRule="auto"/>
              <w:jc w:val="left"/>
            </w:pPr>
            <w:r>
              <w:rPr>
                <w:rFonts w:ascii="Times New Roman" w:hAnsi="Times New Roman"/>
                <w:b/>
                <w:i w:val="0"/>
                <w:sz w:val="20"/>
              </w:rPr>
              <w:t>2. Tuyên ngôn giá trị (Value Propositions)</w:t>
            </w:r>
          </w:p>
        </w:tc>
        <w:tc>
          <w:tcPr>
            <w:tcW w:type="dxa" w:w="4536"/>
            <w:vAlign w:val="center"/>
          </w:tcPr>
          <w:p>
            <w:pPr>
              <w:spacing w:before="40" w:after="40" w:line="276" w:lineRule="auto"/>
              <w:jc w:val="both"/>
            </w:pPr>
            <w:r>
              <w:rPr>
                <w:rFonts w:ascii="Times New Roman" w:hAnsi="Times New Roman"/>
                <w:b w:val="0"/>
                <w:i w:val="0"/>
                <w:sz w:val="19"/>
              </w:rPr>
              <w:t>• Triệt tiêu 100% nguy cơ thất thoát doanh thu từ thủ đoạn làm giả biên lai chuyển tiền (Fake Bill) nhờ cơ chế khóa cứng số tiền trong mã VietQR động và xác thực tự động.</w:t>
              <w:br/>
              <w:t>• Giải phóng 100% áp lực đối soát thủ công hàng đêm cho chủ cửa hàng nhờ động cơ đối soát thời gian thực 3 cấp độ.</w:t>
              <w:br/>
              <w:t>• Bảo mật tuyệt đối tài khoản ngân hàng cá nhân của chủ quán, không cần chia sẻ quyền truy cập hay mật khẩu cho nhân viên thu ngân thuê ngoài.</w:t>
              <w:br/>
              <w:t>• Cung cấp Sổ cái kiểm toán minh bạch, bất biến bảo vệ dữ liệu tài chính theo tiêu chuẩn mật mã học SHA-256 và Cây Merkle.</w:t>
            </w:r>
          </w:p>
        </w:tc>
      </w:tr>
      <w:tr>
        <w:tc>
          <w:tcPr>
            <w:tcW w:type="dxa" w:w="4536"/>
            <w:vAlign w:val="center"/>
          </w:tcPr>
          <w:p>
            <w:pPr>
              <w:spacing w:before="40" w:after="40" w:line="276" w:lineRule="auto"/>
              <w:jc w:val="left"/>
            </w:pPr>
            <w:r>
              <w:rPr>
                <w:rFonts w:ascii="Times New Roman" w:hAnsi="Times New Roman"/>
                <w:b/>
                <w:i w:val="0"/>
                <w:sz w:val="20"/>
              </w:rPr>
              <w:t>3. Kênh phân phối (Channels)</w:t>
            </w:r>
          </w:p>
        </w:tc>
        <w:tc>
          <w:tcPr>
            <w:tcW w:type="dxa" w:w="4536"/>
            <w:vAlign w:val="center"/>
          </w:tcPr>
          <w:p>
            <w:pPr>
              <w:spacing w:before="40" w:after="40" w:line="276" w:lineRule="auto"/>
              <w:jc w:val="both"/>
            </w:pPr>
            <w:r>
              <w:rPr>
                <w:rFonts w:ascii="Times New Roman" w:hAnsi="Times New Roman"/>
                <w:b w:val="0"/>
                <w:i w:val="0"/>
                <w:sz w:val="19"/>
              </w:rPr>
              <w:t>• Kênh trực tuyến: Website cổng dịch vụ SaaS (Software as a Service), cho phép khách hàng tự đăng ký tài khoản, dùng thử miễn phí và kích hoạt gói cước tự động trong 5 phút.</w:t>
              <w:br/>
              <w:t>• Kênh bán hàng trực tiếp: Đội ngũ phát triển thị trường (Direct Sales) tiếp cận trực tiếp các tuyến phố ẩm thực, khu chợ truyền thống và trung tâm thương mại bán lẻ.</w:t>
              <w:br/>
              <w:t>• Kênh đối tác giới thiệu: Hợp tác với các đơn vị cung cấp vật tư in ấn hóa đơn, các hội nhóm cộng đồng chủ quán F&amp;B trên mạng xã hội.</w:t>
            </w:r>
          </w:p>
        </w:tc>
      </w:tr>
      <w:tr>
        <w:tc>
          <w:tcPr>
            <w:tcW w:type="dxa" w:w="4536"/>
            <w:vAlign w:val="center"/>
          </w:tcPr>
          <w:p>
            <w:pPr>
              <w:spacing w:before="40" w:after="40" w:line="276" w:lineRule="auto"/>
              <w:jc w:val="left"/>
            </w:pPr>
            <w:r>
              <w:rPr>
                <w:rFonts w:ascii="Times New Roman" w:hAnsi="Times New Roman"/>
                <w:b/>
                <w:i w:val="0"/>
                <w:sz w:val="20"/>
              </w:rPr>
              <w:t>4. Quan hệ khách hàng (Customer Relationships)</w:t>
            </w:r>
          </w:p>
        </w:tc>
        <w:tc>
          <w:tcPr>
            <w:tcW w:type="dxa" w:w="4536"/>
            <w:vAlign w:val="center"/>
          </w:tcPr>
          <w:p>
            <w:pPr>
              <w:spacing w:before="40" w:after="40" w:line="276" w:lineRule="auto"/>
              <w:jc w:val="both"/>
            </w:pPr>
            <w:r>
              <w:rPr>
                <w:rFonts w:ascii="Times New Roman" w:hAnsi="Times New Roman"/>
                <w:b w:val="0"/>
                <w:i w:val="0"/>
                <w:sz w:val="19"/>
              </w:rPr>
              <w:t>• Mô hình tự phục vụ có hỗ trợ (Self-service with Automated Onboarding): Cung cấp tài liệu hướng dẫn trực quan, video ngắn 2 phút hướng dẫn thao tác.</w:t>
              <w:br/>
              <w:t>• Chăm sóc khách hàng đa kênh: Đường dây nóng hỗ trợ kỹ thuật, kênh chat Zalo OA hỗ trợ xử lý sự cố đối soát 24/7.</w:t>
              <w:br/>
              <w:t>• Đồng hành nâng cao: Định kỳ gửi báo cáo phân tích hiệu quả tài chính và gợi ý tối ưu hóa quy trình thu ngân cho chủ hộ kinh doanh.</w:t>
            </w:r>
          </w:p>
        </w:tc>
      </w:tr>
      <w:tr>
        <w:tc>
          <w:tcPr>
            <w:tcW w:type="dxa" w:w="4536"/>
            <w:vAlign w:val="center"/>
          </w:tcPr>
          <w:p>
            <w:pPr>
              <w:spacing w:before="40" w:after="40" w:line="276" w:lineRule="auto"/>
              <w:jc w:val="left"/>
            </w:pPr>
            <w:r>
              <w:rPr>
                <w:rFonts w:ascii="Times New Roman" w:hAnsi="Times New Roman"/>
                <w:b/>
                <w:i w:val="0"/>
                <w:sz w:val="20"/>
              </w:rPr>
              <w:t>5. Dòng doanh thu (Revenue Streams)</w:t>
            </w:r>
          </w:p>
        </w:tc>
        <w:tc>
          <w:tcPr>
            <w:tcW w:type="dxa" w:w="4536"/>
            <w:vAlign w:val="center"/>
          </w:tcPr>
          <w:p>
            <w:pPr>
              <w:spacing w:before="40" w:after="40" w:line="276" w:lineRule="auto"/>
              <w:jc w:val="both"/>
            </w:pPr>
            <w:r>
              <w:rPr>
                <w:rFonts w:ascii="Times New Roman" w:hAnsi="Times New Roman"/>
                <w:b w:val="0"/>
                <w:i w:val="0"/>
                <w:sz w:val="19"/>
              </w:rPr>
              <w:t>• Doanh thu thuê bao dịch vụ SaaS định kỳ: Thu phí theo tháng hoặc theo năm linh hoạt (Gói Cơ bản 99.000 VNĐ/tháng/cửa hàng; Gói Chuyên nghiệp 199.000 VNĐ/tháng/cửa hàng không giới hạn số lượng giao dịch).</w:t>
              <w:br/>
              <w:t>• Phí dịch vụ giá trị gia tăng: Phí kết nối mở rộng nhiều tài khoản ngân hàng, phí tích hợp phân hệ tự động xuất hóa đơn điện tử máy tính tiền, phí lưu trữ chứng từ kiểm toán dài hạn trên 5 năm.</w:t>
            </w:r>
          </w:p>
        </w:tc>
      </w:tr>
      <w:tr>
        <w:tc>
          <w:tcPr>
            <w:tcW w:type="dxa" w:w="4536"/>
            <w:vAlign w:val="center"/>
          </w:tcPr>
          <w:p>
            <w:pPr>
              <w:spacing w:before="40" w:after="40" w:line="276" w:lineRule="auto"/>
              <w:jc w:val="left"/>
            </w:pPr>
            <w:r>
              <w:rPr>
                <w:rFonts w:ascii="Times New Roman" w:hAnsi="Times New Roman"/>
                <w:b/>
                <w:i w:val="0"/>
                <w:sz w:val="20"/>
              </w:rPr>
              <w:t>6. Nguồn lực chính (Key Resources)</w:t>
            </w:r>
          </w:p>
        </w:tc>
        <w:tc>
          <w:tcPr>
            <w:tcW w:type="dxa" w:w="4536"/>
            <w:vAlign w:val="center"/>
          </w:tcPr>
          <w:p>
            <w:pPr>
              <w:spacing w:before="40" w:after="40" w:line="276" w:lineRule="auto"/>
              <w:jc w:val="both"/>
            </w:pPr>
            <w:r>
              <w:rPr>
                <w:rFonts w:ascii="Times New Roman" w:hAnsi="Times New Roman"/>
                <w:b w:val="0"/>
                <w:i w:val="0"/>
                <w:sz w:val="19"/>
              </w:rPr>
              <w:t>• Tài sản trí tuệ &amp; Công nghệ: Động cơ đối soát tự động 3 cấp độ, thuật toán so khớp chuỗi mờ Token Set Ratio, module Sổ cái băm SHA-256 và Cây Merkle.</w:t>
              <w:br/>
              <w:t>• Hạ tầng kỹ thuật số: Hệ thống máy chủ đám mây bảo mật cao, kết nối Open Banking API đa ngân hàng với độ trễ thấp dưới 2 giây.</w:t>
              <w:br/>
              <w:t>• Nguồn nhân lực: Đội ngũ kỹ sư phần mềm chuyên sâu về Fintech, mật mã học và an toàn thông tin.</w:t>
            </w:r>
          </w:p>
        </w:tc>
      </w:tr>
      <w:tr>
        <w:tc>
          <w:tcPr>
            <w:tcW w:type="dxa" w:w="4536"/>
            <w:vAlign w:val="center"/>
          </w:tcPr>
          <w:p>
            <w:pPr>
              <w:spacing w:before="40" w:after="40" w:line="276" w:lineRule="auto"/>
              <w:jc w:val="left"/>
            </w:pPr>
            <w:r>
              <w:rPr>
                <w:rFonts w:ascii="Times New Roman" w:hAnsi="Times New Roman"/>
                <w:b/>
                <w:i w:val="0"/>
                <w:sz w:val="20"/>
              </w:rPr>
              <w:t>7. Hoạt động chính (Key Activities)</w:t>
            </w:r>
          </w:p>
        </w:tc>
        <w:tc>
          <w:tcPr>
            <w:tcW w:type="dxa" w:w="4536"/>
            <w:vAlign w:val="center"/>
          </w:tcPr>
          <w:p>
            <w:pPr>
              <w:spacing w:before="40" w:after="40" w:line="276" w:lineRule="auto"/>
              <w:jc w:val="both"/>
            </w:pPr>
            <w:r>
              <w:rPr>
                <w:rFonts w:ascii="Times New Roman" w:hAnsi="Times New Roman"/>
                <w:b w:val="0"/>
                <w:i w:val="0"/>
                <w:sz w:val="19"/>
              </w:rPr>
              <w:t>• Nghiên cứu và phát triển phần mềm (R&amp;D): Liên tục tối ưu hóa thuật toán đối soát, nâng cấp giao diện người dùng và bảo trì kết nối Webhook ngân hàng 24/7.</w:t>
              <w:br/>
              <w:t>• Vận hành hệ thống: Giám sát an ninh mạng, kiểm soát tính sẵn sàng cao của hệ thống (Uptime 99.99%) và sao lưu dữ liệu Sổ cái định kỳ.</w:t>
              <w:br/>
              <w:t>• Tiếp thị và hỗ trợ khách hàng: Triển khai các chiến dịch truyền thông giáo dục thị trường về rủi ro fake bill và hướng dẫn chuyển đổi số.</w:t>
            </w:r>
          </w:p>
        </w:tc>
      </w:tr>
      <w:tr>
        <w:tc>
          <w:tcPr>
            <w:tcW w:type="dxa" w:w="4536"/>
            <w:vAlign w:val="center"/>
          </w:tcPr>
          <w:p>
            <w:pPr>
              <w:spacing w:before="40" w:after="40" w:line="276" w:lineRule="auto"/>
              <w:jc w:val="left"/>
            </w:pPr>
            <w:r>
              <w:rPr>
                <w:rFonts w:ascii="Times New Roman" w:hAnsi="Times New Roman"/>
                <w:b/>
                <w:i w:val="0"/>
                <w:sz w:val="20"/>
              </w:rPr>
              <w:t>8. Đối tác chính (Key Partnerships)</w:t>
            </w:r>
          </w:p>
        </w:tc>
        <w:tc>
          <w:tcPr>
            <w:tcW w:type="dxa" w:w="4536"/>
            <w:vAlign w:val="center"/>
          </w:tcPr>
          <w:p>
            <w:pPr>
              <w:spacing w:before="40" w:after="40" w:line="276" w:lineRule="auto"/>
              <w:jc w:val="both"/>
            </w:pPr>
            <w:r>
              <w:rPr>
                <w:rFonts w:ascii="Times New Roman" w:hAnsi="Times New Roman"/>
                <w:b w:val="0"/>
                <w:i w:val="0"/>
                <w:sz w:val="19"/>
              </w:rPr>
              <w:t>• Các ngân hàng thương mại số và Công ty Cổ phần Thanh toán Quốc gia Việt Nam (NAPAS): Hợp tác chuẩn hóa luồng dữ liệu VietQR và hạ tầng Open Banking.</w:t>
              <w:br/>
              <w:t>• Các đơn vị cung cấp hạ tầng kết nối biến động số dư uy tín (Casso, SePay): Đảm bảo đường truyền Webhook ngân hàng ổn định và bảo mật.</w:t>
              <w:br/>
              <w:t>• Các hiệp hội ngành nghề và câu lạc bộ F&amp;B: Cầu nối giới thiệu giải pháp tới cộng đồng hộ kinh doanh bán lẻ.</w:t>
            </w:r>
          </w:p>
        </w:tc>
      </w:tr>
      <w:tr>
        <w:tc>
          <w:tcPr>
            <w:tcW w:type="dxa" w:w="4536"/>
            <w:vAlign w:val="center"/>
          </w:tcPr>
          <w:p>
            <w:pPr>
              <w:spacing w:before="40" w:after="40" w:line="276" w:lineRule="auto"/>
              <w:jc w:val="left"/>
            </w:pPr>
            <w:r>
              <w:rPr>
                <w:rFonts w:ascii="Times New Roman" w:hAnsi="Times New Roman"/>
                <w:b/>
                <w:i w:val="0"/>
                <w:sz w:val="20"/>
              </w:rPr>
              <w:t>9. Cấu trúc chi phí (Cost Structure)</w:t>
            </w:r>
          </w:p>
        </w:tc>
        <w:tc>
          <w:tcPr>
            <w:tcW w:type="dxa" w:w="4536"/>
            <w:vAlign w:val="center"/>
          </w:tcPr>
          <w:p>
            <w:pPr>
              <w:spacing w:before="40" w:after="40" w:line="276" w:lineRule="auto"/>
              <w:jc w:val="both"/>
            </w:pPr>
            <w:r>
              <w:rPr>
                <w:rFonts w:ascii="Times New Roman" w:hAnsi="Times New Roman"/>
                <w:b w:val="0"/>
                <w:i w:val="0"/>
                <w:sz w:val="19"/>
              </w:rPr>
              <w:t>• Chi phí hạ tầng máy chủ đám mây (Cloud Infrastructure) và lưu trữ CSDL Microsoft SQL Server.</w:t>
              <w:br/>
              <w:t>• Chi phí duy trì cổng kết nối API ngân hàng và truyền tin Webhook bảo mật.</w:t>
              <w:br/>
              <w:t>• Chi phí nghiên cứu phát triển và đãi ngộ đội ngũ kỹ sư phần mềm.</w:t>
              <w:br/>
              <w:t>• Chi phí tiếp thị, bán hàng và chăm sóc khách hàng tại điểm bán.</w:t>
            </w:r>
          </w:p>
        </w:tc>
      </w:tr>
    </w:tbl>
    <w:p>
      <w:pPr>
        <w:spacing w:before="80" w:after="240" w:line="312" w:lineRule="auto"/>
        <w:jc w:val="center"/>
      </w:pPr>
      <w:r>
        <w:rPr>
          <w:rFonts w:ascii="Times New Roman" w:hAnsi="Times New Roman"/>
          <w:b w:val="0"/>
          <w:i/>
          <w:sz w:val="20"/>
        </w:rPr>
        <w:t>Bảng 2: Bảng tổng hợp chi tiết 9 thành phần trong mô hình Business Model Canvas</w:t>
      </w:r>
    </w:p>
    <w:p>
      <w:pPr>
        <w:spacing w:before="240" w:after="120" w:line="312" w:lineRule="auto"/>
        <w:jc w:val="left"/>
      </w:pPr>
      <w:r>
        <w:rPr>
          <w:rFonts w:ascii="Times New Roman" w:hAnsi="Times New Roman"/>
          <w:b/>
          <w:i w:val="0"/>
          <w:color w:val="1F4690"/>
          <w:sz w:val="26"/>
        </w:rPr>
        <w:t>2.2. Phân tích 9 thành phần trong mô hình Business Model Canvas</w:t>
      </w:r>
    </w:p>
    <w:p>
      <w:pPr>
        <w:spacing w:before="0" w:after="120" w:line="312" w:lineRule="auto"/>
        <w:jc w:val="both"/>
      </w:pPr>
      <w:r>
        <w:rPr>
          <w:rFonts w:ascii="Times New Roman" w:hAnsi="Times New Roman"/>
          <w:b w:val="0"/>
          <w:i w:val="0"/>
          <w:sz w:val="24"/>
        </w:rPr>
        <w:t>Dưới đây là phần phân tích chiều sâu từng thành phần trong mô hình kinh doanh nhằm chứng minh tính khả thi và bền vững của dự án [14]:</w:t>
      </w:r>
    </w:p>
    <w:p>
      <w:pPr>
        <w:spacing w:before="160" w:after="80" w:line="312" w:lineRule="auto"/>
        <w:jc w:val="left"/>
      </w:pPr>
      <w:r>
        <w:rPr>
          <w:rFonts w:ascii="Times New Roman" w:hAnsi="Times New Roman"/>
          <w:b/>
          <w:i/>
          <w:sz w:val="24"/>
        </w:rPr>
        <w:t>2.2.1. Phân khúc khách hàng (Customer Segments)</w:t>
      </w:r>
    </w:p>
    <w:p>
      <w:pPr>
        <w:spacing w:before="0" w:after="120" w:line="312" w:lineRule="auto"/>
        <w:jc w:val="both"/>
      </w:pPr>
      <w:r>
        <w:rPr>
          <w:rFonts w:ascii="Times New Roman" w:hAnsi="Times New Roman"/>
          <w:b w:val="0"/>
          <w:i w:val="0"/>
          <w:sz w:val="24"/>
        </w:rPr>
        <w:t>VietQR ReconHub không dàn trải nguồn lực cho toàn bộ thị trường mà tập trung định vị chính xác vào phân khúc hộ kinh doanh cá thể và doanh nghiệp siêu nhỏ (MSME) hoạt động trong lĩnh vực F&amp;B và bán lẻ tiêu dùng nhanh. Đây là nhóm khách hàng có đặc điểm: quy mô vừa phải, nhân sự thu ngân biến động thường xuyên, số lượng giao dịch chuyển khoản phát sinh liên tục trong khung giờ cao điểm nhưng chủ hộ kinh doanh lại không có mặt thường trực tại cửa hàng. Đối với nhóm khách hàng này, bài toán bảo vệ dòng tiền và chống thất thoát từ fake bill là mối quan tâm hàng đầu, vượt trên cả các tính năng quản lý kho hay chuỗi cung ứng phức tạp.</w:t>
      </w:r>
    </w:p>
    <w:p>
      <w:pPr>
        <w:spacing w:before="160" w:after="80" w:line="312" w:lineRule="auto"/>
        <w:jc w:val="left"/>
      </w:pPr>
      <w:r>
        <w:rPr>
          <w:rFonts w:ascii="Times New Roman" w:hAnsi="Times New Roman"/>
          <w:b/>
          <w:i/>
          <w:sz w:val="24"/>
        </w:rPr>
        <w:t>2.2.2. Tuyên ngôn giá trị cốt lõi (Value Propositions)</w:t>
      </w:r>
    </w:p>
    <w:p>
      <w:pPr>
        <w:spacing w:before="0" w:after="120" w:line="312" w:lineRule="auto"/>
        <w:jc w:val="both"/>
      </w:pPr>
      <w:r>
        <w:rPr>
          <w:rFonts w:ascii="Times New Roman" w:hAnsi="Times New Roman"/>
          <w:b w:val="0"/>
          <w:i w:val="0"/>
          <w:sz w:val="24"/>
        </w:rPr>
        <w:t>Giá trị cốt lõi lớn nhất mà VietQR ReconHub mang lại cho khách hàng là "Sự an tâm tuyệt đối và giải phóng thời gian quản lý". Bằng cách tự động hóa hoàn toàn khâu xác thực tiền về, giải pháp mang lại lợi ích 3 trong 1: Thứ nhất, triệt tiêu 100% rủi ro fake bill nhờ mã QR động khóa tiền; Thứ hai, bảo vệ an toàn thông tin tài khoản ngân hàng cá nhân của chủ quán; Thứ ba, tiết kiệm trung bình 1,5 giờ đối soát thủ công mỗi ngày cho chủ cửa hàng, chuyển hóa dữ liệu sổ sách thành bảng kiểm toán minh bạch chuẩn hóa phục vụ nghĩa vụ thuế.</w:t>
      </w:r>
    </w:p>
    <w:p>
      <w:pPr>
        <w:spacing w:before="160" w:after="80" w:line="312" w:lineRule="auto"/>
        <w:jc w:val="left"/>
      </w:pPr>
      <w:r>
        <w:rPr>
          <w:rFonts w:ascii="Times New Roman" w:hAnsi="Times New Roman"/>
          <w:b/>
          <w:i/>
          <w:sz w:val="24"/>
        </w:rPr>
        <w:t>2.2.3. Kênh phân phối và tiếp cận (Channels)</w:t>
      </w:r>
    </w:p>
    <w:p>
      <w:pPr>
        <w:spacing w:before="0" w:after="120" w:line="312" w:lineRule="auto"/>
        <w:jc w:val="both"/>
      </w:pPr>
      <w:r>
        <w:rPr>
          <w:rFonts w:ascii="Times New Roman" w:hAnsi="Times New Roman"/>
          <w:b w:val="0"/>
          <w:i w:val="0"/>
          <w:sz w:val="24"/>
        </w:rPr>
        <w:t>Chiến lược phân phối của nền tảng kết hợp mô hình Đám mây (Cloud-first) và tiếp cận trực tiếp (Hyper-local Direct Sales). Khách hàng có thể trải nghiệm sản phẩm ngay trên trình duyệt web chỉ với 3 thao tác đơn giản: Đăng ký email -&gt; Nhập số tài khoản ngân hàng thụ hưởng -&gt; Bắt đầu mở ca bán hàng. Đồng thời, nhóm xây dựng mạng lưới tiếp thị liên kết (Affiliate) với các đơn vị cung cấp thiết bị quầy thu ngân để mở rộng độ phủ thị trường với chi phí chuyển đổi khách hàng (CAC) tối ưu nhất.</w:t>
      </w:r>
    </w:p>
    <w:p>
      <w:pPr>
        <w:spacing w:before="160" w:after="80" w:line="312" w:lineRule="auto"/>
        <w:jc w:val="left"/>
      </w:pPr>
      <w:r>
        <w:rPr>
          <w:rFonts w:ascii="Times New Roman" w:hAnsi="Times New Roman"/>
          <w:b/>
          <w:i/>
          <w:sz w:val="24"/>
        </w:rPr>
        <w:t>2.2.4. Quan hệ khách hàng (Customer Relationships)</w:t>
      </w:r>
    </w:p>
    <w:p>
      <w:pPr>
        <w:spacing w:before="0" w:after="120" w:line="312" w:lineRule="auto"/>
        <w:jc w:val="both"/>
      </w:pPr>
      <w:r>
        <w:rPr>
          <w:rFonts w:ascii="Times New Roman" w:hAnsi="Times New Roman"/>
          <w:b w:val="0"/>
          <w:i w:val="0"/>
          <w:sz w:val="24"/>
        </w:rPr>
        <w:t>Nhằm duy trì tỷ lệ giữ chân khách hàng (Retention Rate) cao, VietQR ReconHub áp dụng chính sách chăm sóc tự động hóa thông minh kết hợp hỗ trợ chuyên trách. Hệ thống tự động cảnh báo cho chủ quán qua tin nhắn khi phát hiện các giao dịch bị lệch tiền bất thường hoặc ca bán hàng hoạt động quá giờ cam kết. Kênh hỗ trợ trực tuyến 24/7 bảo đảm giải đáp mọi thắc mắc kỹ thuật trong vòng 5 phút.</w:t>
      </w:r>
    </w:p>
    <w:p>
      <w:pPr>
        <w:spacing w:before="160" w:after="80" w:line="312" w:lineRule="auto"/>
        <w:jc w:val="left"/>
      </w:pPr>
      <w:r>
        <w:rPr>
          <w:rFonts w:ascii="Times New Roman" w:hAnsi="Times New Roman"/>
          <w:b/>
          <w:i/>
          <w:sz w:val="24"/>
        </w:rPr>
        <w:t>2.2.5. Dòng doanh thu (Revenue Streams)</w:t>
      </w:r>
    </w:p>
    <w:p>
      <w:pPr>
        <w:spacing w:before="0" w:after="120" w:line="312" w:lineRule="auto"/>
        <w:jc w:val="both"/>
      </w:pPr>
      <w:r>
        <w:rPr>
          <w:rFonts w:ascii="Times New Roman" w:hAnsi="Times New Roman"/>
          <w:b w:val="0"/>
          <w:i w:val="0"/>
          <w:sz w:val="24"/>
        </w:rPr>
        <w:t>Mô hình kinh doanh tạo ra dòng tiền định kỳ đều đặn và có tính dự báo cao thông qua hình thức thuê bao phần mềm SaaS (Subscription Model). Với mức giá chỉ từ 99.000 VNĐ/tháng (tương đương chi phí 1 ly cà phê mỗi tuần), rào cản chi phí đối với hộ kinh doanh là cực kỳ thấp. Bên cạnh phí thuê bao cốt lõi, nền tảng còn mở rộng các nguồn thu phụ trợ từ phí tích hợp dịch vụ hóa đơn điện tử và dịch vụ kiểm toán số liệu nâng cao cho các chuỗi bán lẻ.</w:t>
      </w:r>
    </w:p>
    <w:p>
      <w:pPr>
        <w:spacing w:before="160" w:after="80" w:line="312" w:lineRule="auto"/>
        <w:jc w:val="left"/>
      </w:pPr>
      <w:r>
        <w:rPr>
          <w:rFonts w:ascii="Times New Roman" w:hAnsi="Times New Roman"/>
          <w:b/>
          <w:i/>
          <w:sz w:val="24"/>
        </w:rPr>
        <w:t>2.2.6. Nguồn lực chính (Key Resources)</w:t>
      </w:r>
    </w:p>
    <w:p>
      <w:pPr>
        <w:spacing w:before="0" w:after="120" w:line="312" w:lineRule="auto"/>
        <w:jc w:val="both"/>
      </w:pPr>
      <w:r>
        <w:rPr>
          <w:rFonts w:ascii="Times New Roman" w:hAnsi="Times New Roman"/>
          <w:b w:val="0"/>
          <w:i w:val="0"/>
          <w:sz w:val="24"/>
        </w:rPr>
        <w:t>Nguồn lực giá trị nhất của dự án là Động cơ đối soát tự động 3 cấp độ và hạ tầng lưu trữ cơ sở dữ liệu mật mã học. Toàn bộ tài sản trí tuệ và giải thuật cốt lõi được bảo mật và làm chủ hoàn toàn bởi đội ngũ phát triển. Ngoài ra, mối quan hệ đối tác tin cậy với các cổng dữ liệu Open Banking là tài sản chiến lược đảm bảo tính ổn định và tốc độ truyền tin tức thời của hệ thống.</w:t>
      </w:r>
    </w:p>
    <w:p>
      <w:pPr>
        <w:spacing w:before="160" w:after="80" w:line="312" w:lineRule="auto"/>
        <w:jc w:val="left"/>
      </w:pPr>
      <w:r>
        <w:rPr>
          <w:rFonts w:ascii="Times New Roman" w:hAnsi="Times New Roman"/>
          <w:b/>
          <w:i/>
          <w:sz w:val="24"/>
        </w:rPr>
        <w:t>2.2.7. Hoạt động chính (Key Activities)</w:t>
      </w:r>
    </w:p>
    <w:p>
      <w:pPr>
        <w:spacing w:before="0" w:after="120" w:line="312" w:lineRule="auto"/>
        <w:jc w:val="both"/>
      </w:pPr>
      <w:r>
        <w:rPr>
          <w:rFonts w:ascii="Times New Roman" w:hAnsi="Times New Roman"/>
          <w:b w:val="0"/>
          <w:i w:val="0"/>
          <w:sz w:val="24"/>
        </w:rPr>
        <w:t>Hoạt động sống còn của nền tảng xoay quanh việc đảm bảo tính sẵn sàng cao độ (High Availability) của hạ tầng tiếp nhận Webhook ngân hàng. Đội ngũ kỹ thuật liên tục kiểm thử tải, giám sát an ninh mạng nhằm bảo đảm mọi bản tin chuyển tiền đều được xử lý trong vòng dưới 2 giây. Song song với đó là hoạt động nghiên cứu nâng cấp các giải thuật học máy và so khớp chuỗi nhằm tăng cường độ chính xác khi nhận diện các nội dung chuyển tiền bị viết tắt hoặc có dấu.</w:t>
      </w:r>
    </w:p>
    <w:p>
      <w:pPr>
        <w:spacing w:before="160" w:after="80" w:line="312" w:lineRule="auto"/>
        <w:jc w:val="left"/>
      </w:pPr>
      <w:r>
        <w:rPr>
          <w:rFonts w:ascii="Times New Roman" w:hAnsi="Times New Roman"/>
          <w:b/>
          <w:i/>
          <w:sz w:val="24"/>
        </w:rPr>
        <w:t>2.2.8. Đối tác chính (Key Partnerships)</w:t>
      </w:r>
    </w:p>
    <w:p>
      <w:pPr>
        <w:spacing w:before="0" w:after="120" w:line="312" w:lineRule="auto"/>
        <w:jc w:val="both"/>
      </w:pPr>
      <w:r>
        <w:rPr>
          <w:rFonts w:ascii="Times New Roman" w:hAnsi="Times New Roman"/>
          <w:b w:val="0"/>
          <w:i w:val="0"/>
          <w:sz w:val="24"/>
        </w:rPr>
        <w:t>Hệ sinh thái đối tác của VietQR ReconHub bao gồm 3 trụ cột: (1) Các ngân hàng thương mại và NAPAS — đơn vị ban hành tiêu chuẩn VietQR; (2) Các công ty cung cấp hạ tầng Open Banking — đơn vị trung chuyển bản tin biến động số dư; (3) Cộng đồng các chủ hộ kinh doanh F&amp;B — đối tác kiểm thử và lan tỏa giải pháp trong thực tế.</w:t>
      </w:r>
    </w:p>
    <w:p>
      <w:pPr>
        <w:spacing w:before="160" w:after="80" w:line="312" w:lineRule="auto"/>
        <w:jc w:val="left"/>
      </w:pPr>
      <w:r>
        <w:rPr>
          <w:rFonts w:ascii="Times New Roman" w:hAnsi="Times New Roman"/>
          <w:b/>
          <w:i/>
          <w:sz w:val="24"/>
        </w:rPr>
        <w:t>2.2.9. Cấu trúc chi phí (Cost Structure)</w:t>
      </w:r>
    </w:p>
    <w:p>
      <w:pPr>
        <w:spacing w:before="0" w:after="120" w:line="312" w:lineRule="auto"/>
        <w:jc w:val="both"/>
      </w:pPr>
      <w:r>
        <w:rPr>
          <w:rFonts w:ascii="Times New Roman" w:hAnsi="Times New Roman"/>
          <w:b w:val="0"/>
          <w:i w:val="0"/>
          <w:sz w:val="24"/>
        </w:rPr>
        <w:t>Cấu trúc chi phí của VietQR ReconHub là cấu trúc chi phí tinh gọn (Lean Cost Structure). Chi phí cố định hàng tháng ở mức thấp nhờ việc khai thác tối đa hạ tầng máy chủ ảo hóa đám mây có khả năng tự động co giãn tài nguyên theo tải giao dịch thực tế. Khi lượng người dùng tăng trưởng, chi phí biên trên mỗi giao dịch đối soát giảm dần tiệm cận 0 VNĐ, tạo ra lợi thế kinh tế nhờ quy mô (Economies of Scale) vượt trội so với các phần mềm POS truyền thống.</w:t>
      </w:r>
    </w:p>
    <w:p>
      <w:r>
        <w:br w:type="page"/>
      </w:r>
    </w:p>
    <w:p>
      <w:pPr>
        <w:spacing w:before="320" w:after="160" w:line="312" w:lineRule="auto"/>
        <w:jc w:val="left"/>
      </w:pPr>
      <w:r>
        <w:rPr>
          <w:rFonts w:ascii="Times New Roman" w:hAnsi="Times New Roman"/>
          <w:b/>
          <w:i w:val="0"/>
          <w:color w:val="102C57"/>
          <w:sz w:val="28"/>
        </w:rPr>
        <w:t>CHƯƠNG 3: THIẾT KẾ KIẾN TRÚC VÀ THỬ NGHIỆM MÔ HÌNH (THỰC NGHIỆM)</w:t>
      </w:r>
    </w:p>
    <w:p>
      <w:pPr>
        <w:spacing w:before="240" w:after="120" w:line="312" w:lineRule="auto"/>
        <w:jc w:val="left"/>
      </w:pPr>
      <w:r>
        <w:rPr>
          <w:rFonts w:ascii="Times New Roman" w:hAnsi="Times New Roman"/>
          <w:b/>
          <w:i w:val="0"/>
          <w:color w:val="1F4690"/>
          <w:sz w:val="26"/>
        </w:rPr>
        <w:t>3.1. Cấu trúc chung của nền tảng</w:t>
      </w:r>
    </w:p>
    <w:p>
      <w:pPr>
        <w:spacing w:before="0" w:after="120" w:line="312" w:lineRule="auto"/>
        <w:jc w:val="both"/>
      </w:pPr>
      <w:r>
        <w:rPr>
          <w:rFonts w:ascii="Times New Roman" w:hAnsi="Times New Roman"/>
          <w:b w:val="0"/>
          <w:i w:val="0"/>
          <w:sz w:val="24"/>
        </w:rPr>
        <w:t>Nền tảng VietQR ReconHub được xây dựng theo mô hình hệ thống Fintech dịch vụ hóa, tích hợp chặt chẽ giữa giao diện nghiệp vụ thu ngân tại quầy và dòng tiền ngân hàng số theo thời gian thực. Hệ thống bao gồm 5 nhóm phân hệ tính năng nòng cốt được liên kết liền mạch theo đúng quy chuẩn thiết kế phần mềm học thuật:</w:t>
      </w:r>
    </w:p>
    <w:p>
      <w:pPr>
        <w:spacing w:before="160" w:after="80" w:line="312" w:lineRule="auto"/>
        <w:jc w:val="left"/>
      </w:pPr>
      <w:r>
        <w:rPr>
          <w:rFonts w:ascii="Times New Roman" w:hAnsi="Times New Roman"/>
          <w:b/>
          <w:i/>
          <w:sz w:val="24"/>
        </w:rPr>
        <w:t>3.1.1. Nhóm tính năng chung</w:t>
      </w:r>
    </w:p>
    <w:p>
      <w:pPr>
        <w:spacing w:before="0" w:after="120" w:line="312" w:lineRule="auto"/>
        <w:jc w:val="both"/>
      </w:pPr>
      <w:r>
        <w:rPr>
          <w:rFonts w:ascii="Times New Roman" w:hAnsi="Times New Roman"/>
          <w:b w:val="0"/>
          <w:i w:val="0"/>
          <w:sz w:val="24"/>
        </w:rPr>
        <w:t>• Mô tả: Là nhóm tính năng nền tảng đóng vai trò làm khung xương cho toàn bộ ứng dụng, chịu trách nhiệm quản lý phiên làm việc, phân quyền người dùng và kiểm soát chu kỳ hoạt động của ca bán hàng.</w:t>
      </w:r>
    </w:p>
    <w:p>
      <w:pPr>
        <w:spacing w:before="0" w:after="120" w:line="312" w:lineRule="auto"/>
        <w:jc w:val="both"/>
      </w:pPr>
      <w:r>
        <w:rPr>
          <w:rFonts w:ascii="Times New Roman" w:hAnsi="Times New Roman"/>
          <w:b w:val="0"/>
          <w:i w:val="0"/>
          <w:sz w:val="24"/>
        </w:rPr>
        <w:t>• Chức năng: Nhóm tính năng này đảm nhận 3 chức năng chính:</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Quản lý tài khoản và phân quyền người dùng theo vai trò (Thu ngân - CASHIER, Kế toán đối soát - REVIEWER, và Quản lý cửa hàng - ADMIN) nhằm đảm bảo nguyên tắc phân tách trách nhiệm trong kiểm soát nội bộ.</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Khởi tạo và cấu hình ca bán hàng: Cho phép thiết lập định mức doanh thu cam kết trong ca (target_budget), số lượng đơn hàng tối đa, thời gian bắt đầu và kết thúc ca.</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Tự động kiểm soát trạng thái ca: Dịch vụ kiểm soát thời gian chạy ngầm theo múi giờ chuẩn Việt Nam (Asia/Ho_Chi_Minh), tự động phát hiện và đánh dấu cảnh báo đối với các ca làm việc bị kéo dài quá thời hạn quy định mà nhân viên chưa thực hiện chốt sổ.</w:t>
      </w:r>
    </w:p>
    <w:p>
      <w:pPr>
        <w:spacing w:before="0" w:after="120" w:line="312" w:lineRule="auto"/>
        <w:jc w:val="both"/>
      </w:pPr>
      <w:r>
        <w:rPr>
          <w:rFonts w:ascii="Times New Roman" w:hAnsi="Times New Roman"/>
          <w:b w:val="0"/>
          <w:i w:val="0"/>
          <w:sz w:val="24"/>
        </w:rPr>
        <w:t>• Cách thực hiện: Triển khai trên nền tảng Backend API bằng dịch vụ quản lý ca chuyên trách. Khi người dùng thực hiện mở ca, hệ thống kiểm tra tính hợp lệ của chỉ tiêu doanh thu (bắt buộc phải là số dương) và khoảng thời gian hoạt động, sau đó khởi tạo một bản ghi ca mới với trạng thái OPEN trong cơ sở dữ liệu quan hệ.</w:t>
      </w:r>
    </w:p>
    <w:p>
      <w:pPr>
        <w:spacing w:before="0" w:after="120" w:line="312" w:lineRule="auto"/>
        <w:jc w:val="both"/>
      </w:pPr>
      <w:r>
        <w:rPr>
          <w:rFonts w:ascii="Times New Roman" w:hAnsi="Times New Roman"/>
          <w:b w:val="0"/>
          <w:i w:val="0"/>
          <w:sz w:val="24"/>
        </w:rPr>
        <w:t>• Vai trò: Đóng vai trò nền móng giúp khoanh vùng toàn bộ dữ liệu đơn hàng và giao dịch chuyển khoản vào từng đơn vị kiểm toán duy nhất, ngăn ngừa sự nhầm lẫn số liệu giữa các ngày làm việc và giữa các nhân viên trực quầy khác nhau.</w:t>
      </w:r>
    </w:p>
    <w:p>
      <w:pPr>
        <w:spacing w:before="160" w:after="80" w:line="312" w:lineRule="auto"/>
        <w:jc w:val="left"/>
      </w:pPr>
      <w:r>
        <w:rPr>
          <w:rFonts w:ascii="Times New Roman" w:hAnsi="Times New Roman"/>
          <w:b/>
          <w:i/>
          <w:sz w:val="24"/>
        </w:rPr>
        <w:t>3.1.2. Nhóm tính năng thanh toán VietQR và bắt biến động số dư</w:t>
      </w:r>
    </w:p>
    <w:p>
      <w:pPr>
        <w:spacing w:before="0" w:after="120" w:line="312" w:lineRule="auto"/>
        <w:jc w:val="both"/>
      </w:pPr>
      <w:r>
        <w:rPr>
          <w:rFonts w:ascii="Times New Roman" w:hAnsi="Times New Roman"/>
          <w:b w:val="0"/>
          <w:i w:val="0"/>
          <w:sz w:val="24"/>
        </w:rPr>
        <w:t>• Mô tả: Là nhóm phân hệ giao tiếp trực tiếp với khách hàng và hạ tầng ngân hàng, chịu trách nhiệm tự động hóa khâu thanh toán không chạm và tiếp nhận dữ liệu dòng tiền tức thời.</w:t>
      </w:r>
    </w:p>
    <w:p>
      <w:pPr>
        <w:spacing w:before="0" w:after="120" w:line="312" w:lineRule="auto"/>
        <w:jc w:val="both"/>
      </w:pPr>
      <w:r>
        <w:rPr>
          <w:rFonts w:ascii="Times New Roman" w:hAnsi="Times New Roman"/>
          <w:b w:val="0"/>
          <w:i w:val="0"/>
          <w:sz w:val="24"/>
        </w:rPr>
        <w:t>• Chức năng: Cung cấp hai chức năng giao dịch then chốt:</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Phát hành mã VietQR động khóa cứng giá trị: Khi quầy POS tạo đơn hàng, hệ thống tự động sinh một chuỗi định dạng mã phản hồi nhanh theo đúng tiêu chuẩn kỹ thuật quốc gia VietQR do NAPAS ban hành [7] và EMVCo Merchant-Presented Mode [8]. Mã QR này nhúng cứng số tiền cần thanh toán và mã đơn hàng định danh (ví dụ: ORD1001) vào khối dữ liệu bổ sung (Additional Data Field Tag 62), ngăn chặn hoàn toàn việc khách hàng tự ý sửa đổi số tiền.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Tiếp nhận biến động số dư qua Webhook bảo mật: Khi khách hàng thực hiện chuyển tiền thành công, cổng ngân hàng sẽ gửi bản tin Webhook (HTTP POST Request) về hệ thống chứa đầy đủ thông tin giao dịch: mã tham chiếu (reference_code), số tiền thực nhận và nội dung chuyển khoản.</w:t>
      </w:r>
    </w:p>
    <w:p>
      <w:pPr>
        <w:spacing w:before="0" w:after="120" w:line="312" w:lineRule="auto"/>
        <w:jc w:val="both"/>
      </w:pPr>
      <w:r>
        <w:rPr>
          <w:rFonts w:ascii="Times New Roman" w:hAnsi="Times New Roman"/>
          <w:b w:val="0"/>
          <w:i w:val="0"/>
          <w:sz w:val="24"/>
        </w:rPr>
        <w:t>• Cách thực hiện: Để loại bỏ nguy cơ bị tin tặc gửi các bản tin Webhook giả mạo nhằm chiếm đoạt hàng hóa, hệ thống triển khai cơ chế xác thực thông điệp dựa trên mã băm HMAC-SHA256 theo tiêu chuẩn an ninh IETF RFC 2104 [9] và NIST FIPS PUB 198-1 [11]. Khi bản tin Webhook được gửi đến, hệ thống dùng khóa bí mật riêng của cửa hàng (webhook_secret) để tính toán lại chữ ký số độc lập. Hai chữ ký số được so sánh bằng giải thuật so sánh thời gian cố định nhằm triệt tiêu hoàn toàn nguy cơ bị tấn công dò thời gian (Timing Attack). Chỉ những bản tin có chữ ký hoàn toàn hợp lệ mới được đưa vào luồng đối soát.</w:t>
      </w:r>
    </w:p>
    <w:p>
      <w:pPr>
        <w:spacing w:before="0" w:after="120" w:line="312" w:lineRule="auto"/>
        <w:jc w:val="both"/>
      </w:pPr>
      <w:r>
        <w:rPr>
          <w:rFonts w:ascii="Times New Roman" w:hAnsi="Times New Roman"/>
          <w:b w:val="0"/>
          <w:i w:val="0"/>
          <w:sz w:val="24"/>
        </w:rPr>
        <w:t>• Vai trò: Thay thế hoàn toàn phương thức QR tĩnh truyền thống, loại trừ 100% rủi ro fake bill và đảm bảo dòng tiền thực tế được ghi nhận vào hệ thống chỉ sau 1 đến 2 giây kể từ khi khách hàng chuyển khoản thành công.</w:t>
      </w:r>
    </w:p>
    <w:p>
      <w:pPr>
        <w:spacing w:before="160" w:after="80" w:line="312" w:lineRule="auto"/>
        <w:jc w:val="left"/>
      </w:pPr>
      <w:r>
        <w:rPr>
          <w:rFonts w:ascii="Times New Roman" w:hAnsi="Times New Roman"/>
          <w:b/>
          <w:i/>
          <w:sz w:val="24"/>
        </w:rPr>
        <w:t>3.1.3. Nhóm tính năng động cơ đối soát tự động đa cấp độ</w:t>
      </w:r>
    </w:p>
    <w:p>
      <w:pPr>
        <w:spacing w:before="0" w:after="120" w:line="312" w:lineRule="auto"/>
        <w:jc w:val="both"/>
      </w:pPr>
      <w:r>
        <w:rPr>
          <w:rFonts w:ascii="Times New Roman" w:hAnsi="Times New Roman"/>
          <w:b w:val="0"/>
          <w:i w:val="0"/>
          <w:sz w:val="24"/>
        </w:rPr>
        <w:t>• Mô tả: Đóng vai trò là "trái tim công nghệ" của nền tảng VietQR ReconHub, tự động thực hiện việc phân tích cú pháp, so khớp và phân bổ dòng tiền từ tài khoản ngân hàng vào các hóa đơn tương ứng tại quầy thu ngân.</w:t>
      </w:r>
    </w:p>
    <w:p>
      <w:pPr>
        <w:spacing w:before="0" w:after="120" w:line="312" w:lineRule="auto"/>
        <w:jc w:val="both"/>
      </w:pPr>
      <w:r>
        <w:rPr>
          <w:rFonts w:ascii="Times New Roman" w:hAnsi="Times New Roman"/>
          <w:b w:val="0"/>
          <w:i w:val="0"/>
          <w:sz w:val="24"/>
        </w:rPr>
        <w:t>• Chức năng: Vận hành cơ chế đối soát tự động thông minh theo 3 cấp độ:</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Cấp 1 - Đối soát chính xác tuyệt đối (Exact Match): Áp dụng khi nội dung chuyển khoản chứa chính xác mã đơn hàng và số tiền chuyển đúng 100% giá trị hóa đơn. Hệ thống tự động chuyển trạng thái đơn hàng sang PAID (Đã thanh toán đủ) và thông báo cho thu ngân bàn giao hàng.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Cấp 2 - Đối soát chuyển thiếu và cộng dồn lũy kế (Partial Match &amp; Accumulation): Khi khách hàng chuyển thiếu tiền so với giá trị hóa đơn, hệ thống tự động chuyển trạng thái đơn hàng sang PARTIALLY_PAID (Thanh toán một phần) và hiển thị cảnh báo số tiền còn thiếu trên màn hình thu ngân. Khi khách hàng chuyển tiếp lần 2 cho đơn hàng đó, hệ thống tự động cộng dồn lũy kế tổng tiền thực thu và hoàn tất đơn hàng khi đã thu đủ 100%.</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Cấp 3 - Đối soát chuỗi mờ nội dung (Fuzzy Matching): Áp dụng khi khách hàng chuyển đúng số tiền nhưng nội dung chuyển khoản bị gõ sai cú pháp (như viết thêm họ tên, gõ nhầm chữ hoa chữ thường hoặc gõ thừa dấu tiếng Việt).</w:t>
      </w:r>
    </w:p>
    <w:p>
      <w:pPr>
        <w:spacing w:before="0" w:after="120" w:line="312" w:lineRule="auto"/>
        <w:jc w:val="both"/>
      </w:pPr>
      <w:r>
        <w:rPr>
          <w:rFonts w:ascii="Times New Roman" w:hAnsi="Times New Roman"/>
          <w:b w:val="0"/>
          <w:i w:val="0"/>
          <w:sz w:val="24"/>
        </w:rPr>
        <w:t>• Cách thực hiện: Giải thuật so khớp chuỗi mờ được xây dựng dựa trên thuật toán Token Set Ratio từ thư viện xử lý chuỗi cao cấp RapidFuzz. Thuật toán tiến hành chuẩn hóa văn bản, bóc tách chuỗi thành các tập từ tố (tokens), loại bỏ các ký tự trùng lặp và tính toán độ tương đồng toán học:</w:t>
      </w:r>
    </w:p>
    <w:p>
      <w:pPr>
        <w:spacing w:before="160" w:after="80"/>
        <w:jc w:val="center"/>
      </w:pPr>
      <w:r>
        <w:rPr>
          <w:rFonts w:ascii="Times New Roman" w:hAnsi="Times New Roman"/>
          <w:b/>
          <w:i/>
          <w:sz w:val="23"/>
        </w:rPr>
        <w:t>Similarity(S_bank, S_order) = [ 2 * |T_0 ∩ T_1| + |T_rem1 ∩ T_0| + |T_rem2 ∩ T_0| ] / Total_Tokens * 100%</w:t>
      </w:r>
    </w:p>
    <w:p>
      <w:pPr>
        <w:spacing w:before="0" w:after="160" w:line="300" w:lineRule="auto"/>
        <w:jc w:val="both"/>
      </w:pPr>
      <w:r>
        <w:rPr>
          <w:rFonts w:ascii="Times New Roman" w:hAnsi="Times New Roman"/>
          <w:sz w:val="22"/>
        </w:rPr>
        <w:t>Trong đó: T_0 là tập hợp các từ tố chung giữa nội dung chuyển khoản và mã hóa đơn; T_rem1 và T_rem2 là các từ tố riêng biệt còn lại. Nếu độ tương đồng đạt ngưỡng tin cậy từ 85% trở lên và số tiền khớp đúng, hệ thống tự động gán giao dịch vào đơn hàng mà không cần kế toán phải can thiệp thủ công.</w:t>
      </w:r>
    </w:p>
    <w:p>
      <w:pPr>
        <w:spacing w:before="0" w:after="120" w:line="312" w:lineRule="auto"/>
        <w:jc w:val="both"/>
      </w:pPr>
      <w:r>
        <w:rPr>
          <w:rFonts w:ascii="Times New Roman" w:hAnsi="Times New Roman"/>
          <w:b w:val="0"/>
          <w:i w:val="0"/>
          <w:sz w:val="24"/>
        </w:rPr>
        <w:t>• Vai trò: Nâng tỷ lệ tự động hóa đối soát của hệ thống lên mức trên 98%, giải phóng hoàn toàn gánh nặng kiểm tra thủ công cho nhân viên thu ngân và kế toán cửa hàng.</w:t>
      </w:r>
    </w:p>
    <w:p>
      <w:pPr>
        <w:spacing w:before="160" w:after="80" w:line="312" w:lineRule="auto"/>
        <w:jc w:val="left"/>
      </w:pPr>
      <w:r>
        <w:rPr>
          <w:rFonts w:ascii="Times New Roman" w:hAnsi="Times New Roman"/>
          <w:b/>
          <w:i/>
          <w:sz w:val="24"/>
        </w:rPr>
        <w:t>3.1.4. Nhóm tính năng bảo mật mật mã học, Sổ cái Hash Chain và Cây Merkle</w:t>
      </w:r>
    </w:p>
    <w:p>
      <w:pPr>
        <w:spacing w:before="0" w:after="120" w:line="312" w:lineRule="auto"/>
        <w:jc w:val="both"/>
      </w:pPr>
      <w:r>
        <w:rPr>
          <w:rFonts w:ascii="Times New Roman" w:hAnsi="Times New Roman"/>
          <w:b w:val="0"/>
          <w:i w:val="0"/>
          <w:sz w:val="24"/>
        </w:rPr>
        <w:t>• Mô tả: Phân hệ bảo vệ tính toàn vẹn và chống chối bỏ của dữ liệu giao dịch tài chính, ứng dụng các cấu trúc dữ liệu mật mã học hiện đại.</w:t>
      </w:r>
    </w:p>
    <w:p>
      <w:pPr>
        <w:spacing w:before="0" w:after="120" w:line="312" w:lineRule="auto"/>
        <w:jc w:val="both"/>
      </w:pPr>
      <w:r>
        <w:rPr>
          <w:rFonts w:ascii="Times New Roman" w:hAnsi="Times New Roman"/>
          <w:b w:val="0"/>
          <w:i w:val="0"/>
          <w:sz w:val="24"/>
        </w:rPr>
        <w:t>• Chức năng: Đảm bảo dữ liệu kế toán một khi đã ghi nhận thì không thể bị sửa đổi hoặc xóa bỏ trái phép bởi bất kỳ ai (kể cả quản trị viên có quyền truy cập trực tiếp vào máy chủ CSDL):</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Sổ cái bất biến liên kết chuỗi băm Append-Only SHA-256: Mọi biến động phân bổ dòng tiền đều được ghi nhận tuần tự vào bảng sổ cái. Mỗi bản ghi mới bắt buộc phải chứa mã băm SHA-256 của bản ghi liền trước, tạo thành một chuỗi băm liên tiếp không thể phá vỡ.</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Cây Merkle niêm phong ca làm việc (Merkle Tree Root): Khi ca bán hàng kết thúc, toàn bộ các mã băm giao dịch trong ca được gom lại thành các lá cây để tính toán giá trị gốc Cây Merkle (Merkle Root) [13]. Giá trị này đại diện duy nhất cho toàn bộ tính toàn vẹn của ca làm việc.</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Xác thực sinh trắc học không mật khẩu WebAuthn: Mọi quyết định can thiệp đối soát thủ công của kế toán đối với các giao dịch bất thường bắt buộc phải được ký duyệt bằng chữ ký số sinh trắc học (vân tay hoặc nhận diện khuôn mặt FIDO2) thông qua chuẩn WebAuthn của W3C [12].</w:t>
      </w:r>
    </w:p>
    <w:p>
      <w:pPr>
        <w:spacing w:before="0" w:after="120" w:line="312" w:lineRule="auto"/>
        <w:jc w:val="both"/>
      </w:pPr>
      <w:r>
        <w:rPr>
          <w:rFonts w:ascii="Times New Roman" w:hAnsi="Times New Roman"/>
          <w:b w:val="0"/>
          <w:i w:val="0"/>
          <w:sz w:val="24"/>
        </w:rPr>
        <w:t>• Cách thực hiện: Cơ chế liên kết khối băm SHA-256 [10] trong sổ cái được tính toán theo công thức:</w:t>
      </w:r>
    </w:p>
    <w:p>
      <w:pPr>
        <w:spacing w:before="160" w:after="80"/>
        <w:jc w:val="center"/>
      </w:pPr>
      <w:r>
        <w:rPr>
          <w:rFonts w:ascii="Times New Roman" w:hAnsi="Times New Roman"/>
          <w:b/>
          <w:i/>
          <w:sz w:val="23"/>
        </w:rPr>
        <w:t>H_i = SHA256( H_{i-1} || OrderID_i || Amount_i || Type_i || Timestamp_i )</w:t>
      </w:r>
    </w:p>
    <w:p>
      <w:pPr>
        <w:spacing w:before="0" w:after="160" w:line="300" w:lineRule="auto"/>
        <w:jc w:val="both"/>
      </w:pPr>
      <w:r>
        <w:rPr>
          <w:rFonts w:ascii="Times New Roman" w:hAnsi="Times New Roman"/>
          <w:sz w:val="22"/>
        </w:rPr>
        <w:t>Nếu bất kỳ kẻ gian nào truy cập vào CSDL để chỉnh sửa số tiền Amount_i hoặc thay đổi trạng thái, mã băm tính toán lại sẽ lập tức sai lệch so với H_i, làm gãy toàn bộ chuỗi băm và hệ thống sẽ lập tức kích hoạt cờ báo động vi phạm tính toàn vẹn.</w:t>
      </w:r>
    </w:p>
    <w:p>
      <w:pPr>
        <w:spacing w:before="0" w:after="120" w:line="312" w:lineRule="auto"/>
        <w:jc w:val="both"/>
      </w:pPr>
      <w:r>
        <w:rPr>
          <w:rFonts w:ascii="Times New Roman" w:hAnsi="Times New Roman"/>
          <w:b w:val="0"/>
          <w:i w:val="0"/>
          <w:sz w:val="24"/>
        </w:rPr>
        <w:t>Tại thời điểm chốt ca, các mã băm giao dịch được đưa vào cấu trúc Cây Merkle nhị phân theo công thức đệ quy:</w:t>
      </w:r>
    </w:p>
    <w:p>
      <w:pPr>
        <w:spacing w:before="160" w:after="80"/>
        <w:jc w:val="center"/>
      </w:pPr>
      <w:r>
        <w:rPr>
          <w:rFonts w:ascii="Times New Roman" w:hAnsi="Times New Roman"/>
          <w:b/>
          <w:i/>
          <w:sz w:val="23"/>
        </w:rPr>
        <w:t>H_parent = SHA256( H_left || H_right )</w:t>
      </w:r>
    </w:p>
    <w:p>
      <w:pPr>
        <w:spacing w:before="0" w:after="160" w:line="300" w:lineRule="auto"/>
        <w:jc w:val="both"/>
      </w:pPr>
      <w:r>
        <w:rPr>
          <w:rFonts w:ascii="Times New Roman" w:hAnsi="Times New Roman"/>
          <w:sz w:val="22"/>
        </w:rPr>
        <w:t>Giá trị băm cuối cùng tại nút gốc (Merkle Root) được lưu vĩnh viễn vào bảng chứng từ kiểm toán ca (shift_audits).</w:t>
      </w:r>
    </w:p>
    <w:p>
      <w:pPr>
        <w:spacing w:before="0" w:after="120" w:line="312" w:lineRule="auto"/>
        <w:jc w:val="both"/>
      </w:pPr>
      <w:r>
        <w:rPr>
          <w:rFonts w:ascii="Times New Roman" w:hAnsi="Times New Roman"/>
          <w:b w:val="0"/>
          <w:i w:val="0"/>
          <w:sz w:val="24"/>
        </w:rPr>
        <w:t>• Vai trò: Biến cuốn sổ quỹ bán hàng thành một chứng từ số hóa bất biến, loại trừ 100% rủi ro gian lận sửa số liệu nội bộ và tạo lập bằng chứng kiểm toán độc lập phục vụ cơ quan thanh tra thuế.</w:t>
      </w:r>
    </w:p>
    <w:p>
      <w:pPr>
        <w:spacing w:before="160" w:after="80" w:line="312" w:lineRule="auto"/>
        <w:jc w:val="left"/>
      </w:pPr>
      <w:r>
        <w:rPr>
          <w:rFonts w:ascii="Times New Roman" w:hAnsi="Times New Roman"/>
          <w:b/>
          <w:i/>
          <w:sz w:val="24"/>
        </w:rPr>
        <w:t>3.1.5. Nhóm tính năng báo cáo thống kê tài chính và chốt ca</w:t>
      </w:r>
    </w:p>
    <w:p>
      <w:pPr>
        <w:spacing w:before="0" w:after="120" w:line="312" w:lineRule="auto"/>
        <w:jc w:val="both"/>
      </w:pPr>
      <w:r>
        <w:rPr>
          <w:rFonts w:ascii="Times New Roman" w:hAnsi="Times New Roman"/>
          <w:b w:val="0"/>
          <w:i w:val="0"/>
          <w:sz w:val="24"/>
        </w:rPr>
        <w:t>• Mô tả: Cung cấp bức tranh toàn cảnh, đa chiều và trực quan về kết quả kinh doanh và tình trạng dòng tiền của từng ca làm việc.</w:t>
      </w:r>
    </w:p>
    <w:p>
      <w:pPr>
        <w:spacing w:before="0" w:after="120" w:line="312" w:lineRule="auto"/>
        <w:jc w:val="both"/>
      </w:pPr>
      <w:r>
        <w:rPr>
          <w:rFonts w:ascii="Times New Roman" w:hAnsi="Times New Roman"/>
          <w:b w:val="0"/>
          <w:i w:val="0"/>
          <w:sz w:val="24"/>
        </w:rPr>
        <w:t>• Chức năng: Tổng hợp và giám sát 5 chỉ tiêu tài chính cốt lõi; trực quan hóa cơ cấu dòng tiền bằng các biểu đồ hiện đại; hỗ trợ đối chiếu và kết xuất biên bản đối soát ca hoàn chỉnh.</w:t>
      </w:r>
    </w:p>
    <w:p>
      <w:pPr>
        <w:spacing w:before="0" w:after="120" w:line="312" w:lineRule="auto"/>
        <w:jc w:val="both"/>
      </w:pPr>
      <w:r>
        <w:rPr>
          <w:rFonts w:ascii="Times New Roman" w:hAnsi="Times New Roman"/>
          <w:b w:val="0"/>
          <w:i w:val="0"/>
          <w:sz w:val="24"/>
        </w:rPr>
        <w:t>• Cách thực hiện: Hệ thống thực thi liên tục các công thức cân đối dòng tiền kế toán kép theo thời gian thực:</w:t>
      </w:r>
    </w:p>
    <w:p>
      <w:pPr>
        <w:spacing w:before="160" w:after="80"/>
        <w:jc w:val="center"/>
      </w:pPr>
      <w:r>
        <w:rPr>
          <w:rFonts w:ascii="Times New Roman" w:hAnsi="Times New Roman"/>
          <w:b/>
          <w:i/>
          <w:sz w:val="23"/>
        </w:rPr>
        <w:t>Δ_reconcile = Σ (Tiền_thực_thu_ngân_hàng) - Σ (Tiền_đơn_hàng_đã_giao) = 0</w:t>
      </w:r>
    </w:p>
    <w:p>
      <w:pPr>
        <w:spacing w:before="0" w:after="160" w:line="300" w:lineRule="auto"/>
        <w:jc w:val="both"/>
      </w:pPr>
      <w:r>
        <w:rPr>
          <w:rFonts w:ascii="Times New Roman" w:hAnsi="Times New Roman"/>
          <w:sz w:val="22"/>
        </w:rPr>
        <w:t>Unallocated_Amount = Committed_Revenue - Allocated_QR_Amount</w:t>
      </w:r>
    </w:p>
    <w:p>
      <w:pPr>
        <w:spacing w:before="0" w:after="120" w:line="312" w:lineRule="auto"/>
        <w:jc w:val="both"/>
      </w:pPr>
      <w:r>
        <w:rPr>
          <w:rFonts w:ascii="Times New Roman" w:hAnsi="Times New Roman"/>
          <w:b w:val="0"/>
          <w:i w:val="0"/>
          <w:sz w:val="24"/>
        </w:rPr>
        <w:t>Hệ thống hiển thị rõ ràng 5 đại lượng: (1) Tổng cam kết định mức ca; (2) Doanh thu đã phát hành lệnh thu VietQR; (3) Doanh thu chưa phát hành lệnh thu; (4) Doanh thu đã thực thu đối soát thành công; (5) Doanh thu đã xuất mã QR nhưng chưa thu đủ tiền.</w:t>
      </w:r>
    </w:p>
    <w:p>
      <w:pPr>
        <w:spacing w:before="0" w:after="120" w:line="312" w:lineRule="auto"/>
        <w:jc w:val="both"/>
      </w:pPr>
      <w:r>
        <w:rPr>
          <w:rFonts w:ascii="Times New Roman" w:hAnsi="Times New Roman"/>
          <w:b w:val="0"/>
          <w:i w:val="0"/>
          <w:sz w:val="24"/>
        </w:rPr>
        <w:t>• Vai trò: Giúp chủ cửa hàng nắm bắt chính xác tiến độ doanh thu từng phút, phát hiện ngay các khoản tiền treo chưa đối soát để kịp thời xử lý trước khi đóng ca.</w:t>
      </w:r>
    </w:p>
    <w:p>
      <w:pPr>
        <w:spacing w:before="240" w:after="120" w:line="312" w:lineRule="auto"/>
        <w:jc w:val="left"/>
      </w:pPr>
      <w:r>
        <w:rPr>
          <w:rFonts w:ascii="Times New Roman" w:hAnsi="Times New Roman"/>
          <w:b/>
          <w:i w:val="0"/>
          <w:color w:val="1F4690"/>
          <w:sz w:val="26"/>
        </w:rPr>
        <w:t>3.2. Thiết kế nền tảng</w:t>
      </w:r>
    </w:p>
    <w:p>
      <w:pPr>
        <w:spacing w:before="160" w:after="80" w:line="312" w:lineRule="auto"/>
        <w:jc w:val="left"/>
      </w:pPr>
      <w:r>
        <w:rPr>
          <w:rFonts w:ascii="Times New Roman" w:hAnsi="Times New Roman"/>
          <w:b/>
          <w:i/>
          <w:sz w:val="24"/>
        </w:rPr>
        <w:t>3.2.1. Kiến trúc ứng dụng Client–Server phân tầng</w:t>
      </w:r>
    </w:p>
    <w:p>
      <w:pPr>
        <w:spacing w:before="0" w:after="120" w:line="312" w:lineRule="auto"/>
        <w:jc w:val="both"/>
      </w:pPr>
      <w:r>
        <w:rPr>
          <w:rFonts w:ascii="Times New Roman" w:hAnsi="Times New Roman"/>
          <w:b w:val="0"/>
          <w:i w:val="0"/>
          <w:sz w:val="24"/>
        </w:rPr>
        <w:t>Nền tảng VietQR ReconHub được kiến trúc theo mô hình Client–Server 3 tầng chuẩn mực (3-Tier Architecture), phân tách rõ ràng giữa tầng giao diện hiển thị, tầng xử lý logic nghiệp vụ và tầng lưu trữ dữ liệu tập trung:</w:t>
      </w:r>
    </w:p>
    <w:p>
      <w:pPr>
        <w:spacing w:before="240" w:after="60"/>
        <w:jc w:val="center"/>
      </w:pPr>
      <w:r>
        <w:rPr>
          <w:rFonts w:ascii="Times New Roman" w:hAnsi="Times New Roman"/>
          <w:b/>
          <w:sz w:val="22"/>
        </w:rPr>
        <w:t>Hình 3: Kiến trúc tổng thể hệ thống theo mô hình Client–Server phân tầng</w:t>
      </w:r>
    </w:p>
    <w:p>
      <w:pPr>
        <w:spacing w:before="0" w:after="240"/>
        <w:jc w:val="center"/>
      </w:pPr>
      <w:r>
        <w:rPr>
          <w:rFonts w:ascii="Times New Roman" w:hAnsi="Times New Roman"/>
          <w:i/>
          <w:color w:val="5F5F5F"/>
          <w:sz w:val="20"/>
        </w:rPr>
        <w:t>[Ghi chú chèn ảnh minh chứng: Sơ đồ kiến trúc 3 tầng: Tầng Client Web App, Tầng Backend API FastAPI, và Tầng CSDL quan hệ Microsoft SQL Server kết hợp Sổ cái mật mã học]</w:t>
      </w:r>
    </w:p>
    <w:p>
      <w:pPr>
        <w:spacing w:before="0" w:after="120" w:line="312" w:lineRule="auto"/>
        <w:jc w:val="both"/>
      </w:pPr>
      <w:r>
        <w:rPr>
          <w:rFonts w:ascii="Times New Roman" w:hAnsi="Times New Roman"/>
          <w:b w:val="0"/>
          <w:i w:val="0"/>
          <w:sz w:val="24"/>
        </w:rPr>
        <w:t>• Tầng giao diện người dùng (Frontend Web Application): Được xây dựng hoàn toàn trên nền tảng web tiêu chuẩn (HTML5, CSS3, JavaScript thuần và Bootstrap), tối ưu hóa tốc độ tải trang cực nhanh và tương thích hoàn hảo trên mọi kích thước màn hình. Giao diện được module hóa thành 5 màn hình tương tác chuyên biệt: Màn hình quản lý ca làm việc (index), Màn hình quầy thu ngân POS (pos), Màn hình giả lập cổng ngân hàng (bank-simulator), Màn hình xử lý đối soát lệch (reconciliation) và Màn hình bảng điều khiển Báo cáo &amp; Sổ quỹ (dashboard).</w:t>
      </w:r>
    </w:p>
    <w:p>
      <w:pPr>
        <w:spacing w:before="0" w:after="120" w:line="312" w:lineRule="auto"/>
        <w:jc w:val="both"/>
      </w:pPr>
      <w:r>
        <w:rPr>
          <w:rFonts w:ascii="Times New Roman" w:hAnsi="Times New Roman"/>
          <w:b w:val="0"/>
          <w:i w:val="0"/>
          <w:sz w:val="24"/>
        </w:rPr>
        <w:t>• Tầng xử lý nghiệp vụ trung tâm (Backend Services): Được xây dựng trên nền tảng ngôn ngữ Python kết hợp framework FastAPI hiện đại với ưu thế vượt trội về khả năng xử lý bất đồng bộ (Asynchronous I/O). Tầng này đóng vai trò hạt nhân điều phối toàn bộ các luồng dữ liệu của hệ thống: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Phân hệ tiếp nhận và xác thực Webhook: Xử lý các yêu cầu HTTP POST từ cổng ngân hàng, kiểm tra chữ ký số HMAC-SHA256 [9], kiểm tra tính duy nhất của mã giao dịch (Idempotency) để ngăn ngừa việc ghi nhận trùng lặp.</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Động cơ đối soát tự động: Thực thi giải thuật so khớp 3 cấp độ, tính toán phân bổ dòng tiền nguyên tử (Atomic Transaction) vào cơ sở dữ liệu.</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Dịch vụ truyền phát sự kiện thời gian thực: Sử dụng giao thức Server-Sent Events (SSE) để đẩy tức thì các thông báo giao dịch thành công về trình duyệt của thu ngân.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Module mật mã học và kiểm toán: Tính toán chuỗi băm liên tiếp SHA-256, dựng cấu trúc Cây Merkle và xác thực chứng chỉ sinh trắc học WebAuthn/FIDO2 [12].</w:t>
      </w:r>
    </w:p>
    <w:p>
      <w:pPr>
        <w:spacing w:before="0" w:after="120" w:line="312" w:lineRule="auto"/>
        <w:jc w:val="both"/>
      </w:pPr>
      <w:r>
        <w:rPr>
          <w:rFonts w:ascii="Times New Roman" w:hAnsi="Times New Roman"/>
          <w:b w:val="0"/>
          <w:i w:val="0"/>
          <w:sz w:val="24"/>
        </w:rPr>
        <w:t>• Tầng lưu trữ cơ sở dữ liệu quan hệ (Database Storage): Sử dụng hệ quản trị cơ sở dữ liệu quan hệ Microsoft SQL Server nhằm bảo đảm nghiêm ngặt các tiêu chuẩn ACID trong kế toán tài chính. Lược đồ cơ sở dữ liệu được chuẩn hóa ở mức dạng chuẩn 3 (3NF) với 10 thực thể dữ liệu liên kết chặt chẽ:</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2268"/>
        <w:gridCol w:w="2268"/>
        <w:gridCol w:w="2268"/>
        <w:gridCol w:w="2268"/>
      </w:tblGrid>
      <w:tr>
        <w:tc>
          <w:tcPr>
            <w:tcW w:type="dxa" w:w="2268"/>
            <w:vAlign w:val="center"/>
            <w:shd w:fill="D9E4F5"/>
          </w:tcPr>
          <w:p>
            <w:pPr>
              <w:spacing w:before="40" w:after="40" w:line="276" w:lineRule="auto"/>
              <w:jc w:val="center"/>
            </w:pPr>
            <w:r>
              <w:rPr>
                <w:rFonts w:ascii="Times New Roman" w:hAnsi="Times New Roman"/>
                <w:b/>
                <w:i w:val="0"/>
                <w:sz w:val="20"/>
              </w:rPr>
              <w:t>STT</w:t>
            </w:r>
          </w:p>
        </w:tc>
        <w:tc>
          <w:tcPr>
            <w:tcW w:type="dxa" w:w="2268"/>
            <w:vAlign w:val="center"/>
            <w:shd w:fill="D9E4F5"/>
          </w:tcPr>
          <w:p>
            <w:pPr>
              <w:spacing w:before="40" w:after="40" w:line="276" w:lineRule="auto"/>
              <w:jc w:val="center"/>
            </w:pPr>
            <w:r>
              <w:rPr>
                <w:rFonts w:ascii="Times New Roman" w:hAnsi="Times New Roman"/>
                <w:b/>
                <w:i w:val="0"/>
                <w:sz w:val="20"/>
              </w:rPr>
              <w:t>Tên bảng dữ liệu</w:t>
            </w:r>
          </w:p>
        </w:tc>
        <w:tc>
          <w:tcPr>
            <w:tcW w:type="dxa" w:w="2268"/>
            <w:vAlign w:val="center"/>
            <w:shd w:fill="D9E4F5"/>
          </w:tcPr>
          <w:p>
            <w:pPr>
              <w:spacing w:before="40" w:after="40" w:line="276" w:lineRule="auto"/>
              <w:jc w:val="center"/>
            </w:pPr>
            <w:r>
              <w:rPr>
                <w:rFonts w:ascii="Times New Roman" w:hAnsi="Times New Roman"/>
                <w:b/>
                <w:i w:val="0"/>
                <w:sz w:val="20"/>
              </w:rPr>
              <w:t>Vai trò nghiệp vụ trong hệ thống</w:t>
            </w:r>
          </w:p>
        </w:tc>
        <w:tc>
          <w:tcPr>
            <w:tcW w:type="dxa" w:w="2268"/>
            <w:vAlign w:val="center"/>
            <w:shd w:fill="D9E4F5"/>
          </w:tcPr>
          <w:p>
            <w:pPr>
              <w:spacing w:before="40" w:after="40" w:line="276" w:lineRule="auto"/>
              <w:jc w:val="center"/>
            </w:pPr>
            <w:r>
              <w:rPr>
                <w:rFonts w:ascii="Times New Roman" w:hAnsi="Times New Roman"/>
                <w:b/>
                <w:i w:val="0"/>
                <w:sz w:val="20"/>
              </w:rPr>
              <w:t>Ràng buộc kỹ thuật cốt lõi</w:t>
            </w:r>
          </w:p>
        </w:tc>
      </w:tr>
      <w:tr>
        <w:tc>
          <w:tcPr>
            <w:tcW w:type="dxa" w:w="2268"/>
            <w:vAlign w:val="center"/>
          </w:tcPr>
          <w:p>
            <w:pPr>
              <w:spacing w:before="40" w:after="40" w:line="276" w:lineRule="auto"/>
              <w:jc w:val="center"/>
            </w:pPr>
            <w:r>
              <w:rPr>
                <w:rFonts w:ascii="Times New Roman" w:hAnsi="Times New Roman"/>
                <w:b w:val="0"/>
                <w:i w:val="0"/>
                <w:sz w:val="18"/>
              </w:rPr>
              <w:t>1</w:t>
            </w:r>
          </w:p>
        </w:tc>
        <w:tc>
          <w:tcPr>
            <w:tcW w:type="dxa" w:w="2268"/>
            <w:vAlign w:val="center"/>
          </w:tcPr>
          <w:p>
            <w:pPr>
              <w:spacing w:before="40" w:after="40" w:line="276" w:lineRule="auto"/>
              <w:jc w:val="left"/>
            </w:pPr>
            <w:r>
              <w:rPr>
                <w:rFonts w:ascii="Times New Roman" w:hAnsi="Times New Roman"/>
                <w:b/>
                <w:i w:val="0"/>
                <w:sz w:val="18"/>
              </w:rPr>
              <w:t>users</w:t>
            </w:r>
          </w:p>
        </w:tc>
        <w:tc>
          <w:tcPr>
            <w:tcW w:type="dxa" w:w="2268"/>
            <w:vAlign w:val="center"/>
          </w:tcPr>
          <w:p>
            <w:pPr>
              <w:spacing w:before="40" w:after="40" w:line="276" w:lineRule="auto"/>
              <w:jc w:val="left"/>
            </w:pPr>
            <w:r>
              <w:rPr>
                <w:rFonts w:ascii="Times New Roman" w:hAnsi="Times New Roman"/>
                <w:b w:val="0"/>
                <w:i w:val="0"/>
                <w:sz w:val="18"/>
              </w:rPr>
              <w:t>Quản lý thông tin tài khoản đăng nhập, email và vai trò người dùng.</w:t>
            </w:r>
          </w:p>
        </w:tc>
        <w:tc>
          <w:tcPr>
            <w:tcW w:type="dxa" w:w="2268"/>
            <w:vAlign w:val="center"/>
          </w:tcPr>
          <w:p>
            <w:pPr>
              <w:spacing w:before="40" w:after="40" w:line="276" w:lineRule="auto"/>
              <w:jc w:val="left"/>
            </w:pPr>
            <w:r>
              <w:rPr>
                <w:rFonts w:ascii="Times New Roman" w:hAnsi="Times New Roman"/>
                <w:b w:val="0"/>
                <w:i w:val="0"/>
                <w:sz w:val="18"/>
              </w:rPr>
              <w:t>Khóa chính id, ràng buộc vai trò CHECK (role IN ('CASHIER', 'REVIEWER', 'ADMIN')).</w:t>
            </w:r>
          </w:p>
        </w:tc>
      </w:tr>
      <w:tr>
        <w:tc>
          <w:tcPr>
            <w:tcW w:type="dxa" w:w="2268"/>
            <w:vAlign w:val="center"/>
          </w:tcPr>
          <w:p>
            <w:pPr>
              <w:spacing w:before="40" w:after="40" w:line="276" w:lineRule="auto"/>
              <w:jc w:val="center"/>
            </w:pPr>
            <w:r>
              <w:rPr>
                <w:rFonts w:ascii="Times New Roman" w:hAnsi="Times New Roman"/>
                <w:b w:val="0"/>
                <w:i w:val="0"/>
                <w:sz w:val="18"/>
              </w:rPr>
              <w:t>2</w:t>
            </w:r>
          </w:p>
        </w:tc>
        <w:tc>
          <w:tcPr>
            <w:tcW w:type="dxa" w:w="2268"/>
            <w:vAlign w:val="center"/>
          </w:tcPr>
          <w:p>
            <w:pPr>
              <w:spacing w:before="40" w:after="40" w:line="276" w:lineRule="auto"/>
              <w:jc w:val="left"/>
            </w:pPr>
            <w:r>
              <w:rPr>
                <w:rFonts w:ascii="Times New Roman" w:hAnsi="Times New Roman"/>
                <w:b/>
                <w:i w:val="0"/>
                <w:sz w:val="18"/>
              </w:rPr>
              <w:t>cashiers</w:t>
            </w:r>
          </w:p>
        </w:tc>
        <w:tc>
          <w:tcPr>
            <w:tcW w:type="dxa" w:w="2268"/>
            <w:vAlign w:val="center"/>
          </w:tcPr>
          <w:p>
            <w:pPr>
              <w:spacing w:before="40" w:after="40" w:line="276" w:lineRule="auto"/>
              <w:jc w:val="left"/>
            </w:pPr>
            <w:r>
              <w:rPr>
                <w:rFonts w:ascii="Times New Roman" w:hAnsi="Times New Roman"/>
                <w:b w:val="0"/>
                <w:i w:val="0"/>
                <w:sz w:val="18"/>
              </w:rPr>
              <w:t>Hồ sơ nhân viên thu ngân gắn với ca làm việc và quầy bán hàng.</w:t>
            </w:r>
          </w:p>
        </w:tc>
        <w:tc>
          <w:tcPr>
            <w:tcW w:type="dxa" w:w="2268"/>
            <w:vAlign w:val="center"/>
          </w:tcPr>
          <w:p>
            <w:pPr>
              <w:spacing w:before="40" w:after="40" w:line="276" w:lineRule="auto"/>
              <w:jc w:val="left"/>
            </w:pPr>
            <w:r>
              <w:rPr>
                <w:rFonts w:ascii="Times New Roman" w:hAnsi="Times New Roman"/>
                <w:b w:val="0"/>
                <w:i w:val="0"/>
                <w:sz w:val="18"/>
              </w:rPr>
              <w:t>Khóa chính id, khóa ngoại liên kết bảng users và merchants.</w:t>
            </w:r>
          </w:p>
        </w:tc>
      </w:tr>
      <w:tr>
        <w:tc>
          <w:tcPr>
            <w:tcW w:type="dxa" w:w="2268"/>
            <w:vAlign w:val="center"/>
          </w:tcPr>
          <w:p>
            <w:pPr>
              <w:spacing w:before="40" w:after="40" w:line="276" w:lineRule="auto"/>
              <w:jc w:val="center"/>
            </w:pPr>
            <w:r>
              <w:rPr>
                <w:rFonts w:ascii="Times New Roman" w:hAnsi="Times New Roman"/>
                <w:b w:val="0"/>
                <w:i w:val="0"/>
                <w:sz w:val="18"/>
              </w:rPr>
              <w:t>3</w:t>
            </w:r>
          </w:p>
        </w:tc>
        <w:tc>
          <w:tcPr>
            <w:tcW w:type="dxa" w:w="2268"/>
            <w:vAlign w:val="center"/>
          </w:tcPr>
          <w:p>
            <w:pPr>
              <w:spacing w:before="40" w:after="40" w:line="276" w:lineRule="auto"/>
              <w:jc w:val="left"/>
            </w:pPr>
            <w:r>
              <w:rPr>
                <w:rFonts w:ascii="Times New Roman" w:hAnsi="Times New Roman"/>
                <w:b/>
                <w:i w:val="0"/>
                <w:sz w:val="18"/>
              </w:rPr>
              <w:t>merchants</w:t>
            </w:r>
          </w:p>
        </w:tc>
        <w:tc>
          <w:tcPr>
            <w:tcW w:type="dxa" w:w="2268"/>
            <w:vAlign w:val="center"/>
          </w:tcPr>
          <w:p>
            <w:pPr>
              <w:spacing w:before="40" w:after="40" w:line="276" w:lineRule="auto"/>
              <w:jc w:val="left"/>
            </w:pPr>
            <w:r>
              <w:rPr>
                <w:rFonts w:ascii="Times New Roman" w:hAnsi="Times New Roman"/>
                <w:b w:val="0"/>
                <w:i w:val="0"/>
                <w:sz w:val="18"/>
              </w:rPr>
              <w:t>Thông tin điểm kinh doanh, ngân hàng thụ hưởng và khóa bảo mật Webhook.</w:t>
            </w:r>
          </w:p>
        </w:tc>
        <w:tc>
          <w:tcPr>
            <w:tcW w:type="dxa" w:w="2268"/>
            <w:vAlign w:val="center"/>
          </w:tcPr>
          <w:p>
            <w:pPr>
              <w:spacing w:before="40" w:after="40" w:line="276" w:lineRule="auto"/>
              <w:jc w:val="left"/>
            </w:pPr>
            <w:r>
              <w:rPr>
                <w:rFonts w:ascii="Times New Roman" w:hAnsi="Times New Roman"/>
                <w:b w:val="0"/>
                <w:i w:val="0"/>
                <w:sz w:val="18"/>
              </w:rPr>
              <w:t>Khóa chính id, mã định danh merchant duy nhất, lưu webhook_secret.</w:t>
            </w:r>
          </w:p>
        </w:tc>
      </w:tr>
      <w:tr>
        <w:tc>
          <w:tcPr>
            <w:tcW w:type="dxa" w:w="2268"/>
            <w:vAlign w:val="center"/>
          </w:tcPr>
          <w:p>
            <w:pPr>
              <w:spacing w:before="40" w:after="40" w:line="276" w:lineRule="auto"/>
              <w:jc w:val="center"/>
            </w:pPr>
            <w:r>
              <w:rPr>
                <w:rFonts w:ascii="Times New Roman" w:hAnsi="Times New Roman"/>
                <w:b w:val="0"/>
                <w:i w:val="0"/>
                <w:sz w:val="18"/>
              </w:rPr>
              <w:t>4</w:t>
            </w:r>
          </w:p>
        </w:tc>
        <w:tc>
          <w:tcPr>
            <w:tcW w:type="dxa" w:w="2268"/>
            <w:vAlign w:val="center"/>
          </w:tcPr>
          <w:p>
            <w:pPr>
              <w:spacing w:before="40" w:after="40" w:line="276" w:lineRule="auto"/>
              <w:jc w:val="left"/>
            </w:pPr>
            <w:r>
              <w:rPr>
                <w:rFonts w:ascii="Times New Roman" w:hAnsi="Times New Roman"/>
                <w:b/>
                <w:i w:val="0"/>
                <w:sz w:val="18"/>
              </w:rPr>
              <w:t>shifts</w:t>
            </w:r>
          </w:p>
        </w:tc>
        <w:tc>
          <w:tcPr>
            <w:tcW w:type="dxa" w:w="2268"/>
            <w:vAlign w:val="center"/>
          </w:tcPr>
          <w:p>
            <w:pPr>
              <w:spacing w:before="40" w:after="40" w:line="276" w:lineRule="auto"/>
              <w:jc w:val="left"/>
            </w:pPr>
            <w:r>
              <w:rPr>
                <w:rFonts w:ascii="Times New Roman" w:hAnsi="Times New Roman"/>
                <w:b w:val="0"/>
                <w:i w:val="0"/>
                <w:sz w:val="18"/>
              </w:rPr>
              <w:t>Quản lý ca bán hàng, định mức cam kết doanh thu và thời hạn ca.</w:t>
            </w:r>
          </w:p>
        </w:tc>
        <w:tc>
          <w:tcPr>
            <w:tcW w:type="dxa" w:w="2268"/>
            <w:vAlign w:val="center"/>
          </w:tcPr>
          <w:p>
            <w:pPr>
              <w:spacing w:before="40" w:after="40" w:line="276" w:lineRule="auto"/>
              <w:jc w:val="left"/>
            </w:pPr>
            <w:r>
              <w:rPr>
                <w:rFonts w:ascii="Times New Roman" w:hAnsi="Times New Roman"/>
                <w:b w:val="0"/>
                <w:i w:val="0"/>
                <w:sz w:val="18"/>
              </w:rPr>
              <w:t>Khóa chính id, kiểm tra target_budget &gt; 0, ràng buộc trạng thái CHECK.</w:t>
            </w:r>
          </w:p>
        </w:tc>
      </w:tr>
      <w:tr>
        <w:tc>
          <w:tcPr>
            <w:tcW w:type="dxa" w:w="2268"/>
            <w:vAlign w:val="center"/>
          </w:tcPr>
          <w:p>
            <w:pPr>
              <w:spacing w:before="40" w:after="40" w:line="276" w:lineRule="auto"/>
              <w:jc w:val="center"/>
            </w:pPr>
            <w:r>
              <w:rPr>
                <w:rFonts w:ascii="Times New Roman" w:hAnsi="Times New Roman"/>
                <w:b w:val="0"/>
                <w:i w:val="0"/>
                <w:sz w:val="18"/>
              </w:rPr>
              <w:t>5</w:t>
            </w:r>
          </w:p>
        </w:tc>
        <w:tc>
          <w:tcPr>
            <w:tcW w:type="dxa" w:w="2268"/>
            <w:vAlign w:val="center"/>
          </w:tcPr>
          <w:p>
            <w:pPr>
              <w:spacing w:before="40" w:after="40" w:line="276" w:lineRule="auto"/>
              <w:jc w:val="left"/>
            </w:pPr>
            <w:r>
              <w:rPr>
                <w:rFonts w:ascii="Times New Roman" w:hAnsi="Times New Roman"/>
                <w:b/>
                <w:i w:val="0"/>
                <w:sz w:val="18"/>
              </w:rPr>
              <w:t>orders</w:t>
            </w:r>
          </w:p>
        </w:tc>
        <w:tc>
          <w:tcPr>
            <w:tcW w:type="dxa" w:w="2268"/>
            <w:vAlign w:val="center"/>
          </w:tcPr>
          <w:p>
            <w:pPr>
              <w:spacing w:before="40" w:after="40" w:line="276" w:lineRule="auto"/>
              <w:jc w:val="left"/>
            </w:pPr>
            <w:r>
              <w:rPr>
                <w:rFonts w:ascii="Times New Roman" w:hAnsi="Times New Roman"/>
                <w:b w:val="0"/>
                <w:i w:val="0"/>
                <w:sz w:val="18"/>
              </w:rPr>
              <w:t>Lưu trữ đơn hàng phát sinh, số tiền thanh toán và trạng thái xử lý.</w:t>
            </w:r>
          </w:p>
        </w:tc>
        <w:tc>
          <w:tcPr>
            <w:tcW w:type="dxa" w:w="2268"/>
            <w:vAlign w:val="center"/>
          </w:tcPr>
          <w:p>
            <w:pPr>
              <w:spacing w:before="40" w:after="40" w:line="276" w:lineRule="auto"/>
              <w:jc w:val="left"/>
            </w:pPr>
            <w:r>
              <w:rPr>
                <w:rFonts w:ascii="Times New Roman" w:hAnsi="Times New Roman"/>
                <w:b w:val="0"/>
                <w:i w:val="0"/>
                <w:sz w:val="18"/>
              </w:rPr>
              <w:t>Khóa chính id, mã đơn hàng order_code duy nhất, trạng thái UNPAID/PAID.</w:t>
            </w:r>
          </w:p>
        </w:tc>
      </w:tr>
      <w:tr>
        <w:tc>
          <w:tcPr>
            <w:tcW w:type="dxa" w:w="2268"/>
            <w:vAlign w:val="center"/>
          </w:tcPr>
          <w:p>
            <w:pPr>
              <w:spacing w:before="40" w:after="40" w:line="276" w:lineRule="auto"/>
              <w:jc w:val="center"/>
            </w:pPr>
            <w:r>
              <w:rPr>
                <w:rFonts w:ascii="Times New Roman" w:hAnsi="Times New Roman"/>
                <w:b w:val="0"/>
                <w:i w:val="0"/>
                <w:sz w:val="18"/>
              </w:rPr>
              <w:t>6</w:t>
            </w:r>
          </w:p>
        </w:tc>
        <w:tc>
          <w:tcPr>
            <w:tcW w:type="dxa" w:w="2268"/>
            <w:vAlign w:val="center"/>
          </w:tcPr>
          <w:p>
            <w:pPr>
              <w:spacing w:before="40" w:after="40" w:line="276" w:lineRule="auto"/>
              <w:jc w:val="left"/>
            </w:pPr>
            <w:r>
              <w:rPr>
                <w:rFonts w:ascii="Times New Roman" w:hAnsi="Times New Roman"/>
                <w:b/>
                <w:i w:val="0"/>
                <w:sz w:val="18"/>
              </w:rPr>
              <w:t>payment_requests</w:t>
            </w:r>
          </w:p>
        </w:tc>
        <w:tc>
          <w:tcPr>
            <w:tcW w:type="dxa" w:w="2268"/>
            <w:vAlign w:val="center"/>
          </w:tcPr>
          <w:p>
            <w:pPr>
              <w:spacing w:before="40" w:after="40" w:line="276" w:lineRule="auto"/>
              <w:jc w:val="left"/>
            </w:pPr>
            <w:r>
              <w:rPr>
                <w:rFonts w:ascii="Times New Roman" w:hAnsi="Times New Roman"/>
                <w:b w:val="0"/>
                <w:i w:val="0"/>
                <w:sz w:val="18"/>
              </w:rPr>
              <w:t>Yêu cầu thanh toán mã VietQR động khóa cứng số tiền gắn với đơn hàng.</w:t>
            </w:r>
          </w:p>
        </w:tc>
        <w:tc>
          <w:tcPr>
            <w:tcW w:type="dxa" w:w="2268"/>
            <w:vAlign w:val="center"/>
          </w:tcPr>
          <w:p>
            <w:pPr>
              <w:spacing w:before="40" w:after="40" w:line="276" w:lineRule="auto"/>
              <w:jc w:val="left"/>
            </w:pPr>
            <w:r>
              <w:rPr>
                <w:rFonts w:ascii="Times New Roman" w:hAnsi="Times New Roman"/>
                <w:b w:val="0"/>
                <w:i w:val="0"/>
                <w:sz w:val="18"/>
              </w:rPr>
              <w:t>Khóa chính id, mã request_code duy nhất, liên kết chặt chẽ với order_id.</w:t>
            </w:r>
          </w:p>
        </w:tc>
      </w:tr>
      <w:tr>
        <w:tc>
          <w:tcPr>
            <w:tcW w:type="dxa" w:w="2268"/>
            <w:vAlign w:val="center"/>
          </w:tcPr>
          <w:p>
            <w:pPr>
              <w:spacing w:before="40" w:after="40" w:line="276" w:lineRule="auto"/>
              <w:jc w:val="center"/>
            </w:pPr>
            <w:r>
              <w:rPr>
                <w:rFonts w:ascii="Times New Roman" w:hAnsi="Times New Roman"/>
                <w:b w:val="0"/>
                <w:i w:val="0"/>
                <w:sz w:val="18"/>
              </w:rPr>
              <w:t>7</w:t>
            </w:r>
          </w:p>
        </w:tc>
        <w:tc>
          <w:tcPr>
            <w:tcW w:type="dxa" w:w="2268"/>
            <w:vAlign w:val="center"/>
          </w:tcPr>
          <w:p>
            <w:pPr>
              <w:spacing w:before="40" w:after="40" w:line="276" w:lineRule="auto"/>
              <w:jc w:val="left"/>
            </w:pPr>
            <w:r>
              <w:rPr>
                <w:rFonts w:ascii="Times New Roman" w:hAnsi="Times New Roman"/>
                <w:b/>
                <w:i w:val="0"/>
                <w:sz w:val="18"/>
              </w:rPr>
              <w:t>bank_transactions</w:t>
            </w:r>
          </w:p>
        </w:tc>
        <w:tc>
          <w:tcPr>
            <w:tcW w:type="dxa" w:w="2268"/>
            <w:vAlign w:val="center"/>
          </w:tcPr>
          <w:p>
            <w:pPr>
              <w:spacing w:before="40" w:after="40" w:line="276" w:lineRule="auto"/>
              <w:jc w:val="left"/>
            </w:pPr>
            <w:r>
              <w:rPr>
                <w:rFonts w:ascii="Times New Roman" w:hAnsi="Times New Roman"/>
                <w:b w:val="0"/>
                <w:i w:val="0"/>
                <w:sz w:val="18"/>
              </w:rPr>
              <w:t>Giao dịch chuyển khoản ngân hàng nhận được từ Webhook thời gian thực.</w:t>
            </w:r>
          </w:p>
        </w:tc>
        <w:tc>
          <w:tcPr>
            <w:tcW w:type="dxa" w:w="2268"/>
            <w:vAlign w:val="center"/>
          </w:tcPr>
          <w:p>
            <w:pPr>
              <w:spacing w:before="40" w:after="40" w:line="276" w:lineRule="auto"/>
              <w:jc w:val="left"/>
            </w:pPr>
            <w:r>
              <w:rPr>
                <w:rFonts w:ascii="Times New Roman" w:hAnsi="Times New Roman"/>
                <w:b w:val="0"/>
                <w:i w:val="0"/>
                <w:sz w:val="18"/>
              </w:rPr>
              <w:t>Khóa chính id, mã tham chiếu reference_code duy nhất chống ghi nhận trùng.</w:t>
            </w:r>
          </w:p>
        </w:tc>
      </w:tr>
      <w:tr>
        <w:tc>
          <w:tcPr>
            <w:tcW w:type="dxa" w:w="2268"/>
            <w:vAlign w:val="center"/>
          </w:tcPr>
          <w:p>
            <w:pPr>
              <w:spacing w:before="40" w:after="40" w:line="276" w:lineRule="auto"/>
              <w:jc w:val="center"/>
            </w:pPr>
            <w:r>
              <w:rPr>
                <w:rFonts w:ascii="Times New Roman" w:hAnsi="Times New Roman"/>
                <w:b w:val="0"/>
                <w:i w:val="0"/>
                <w:sz w:val="18"/>
              </w:rPr>
              <w:t>8</w:t>
            </w:r>
          </w:p>
        </w:tc>
        <w:tc>
          <w:tcPr>
            <w:tcW w:type="dxa" w:w="2268"/>
            <w:vAlign w:val="center"/>
          </w:tcPr>
          <w:p>
            <w:pPr>
              <w:spacing w:before="40" w:after="40" w:line="276" w:lineRule="auto"/>
              <w:jc w:val="left"/>
            </w:pPr>
            <w:r>
              <w:rPr>
                <w:rFonts w:ascii="Times New Roman" w:hAnsi="Times New Roman"/>
                <w:b/>
                <w:i w:val="0"/>
                <w:sz w:val="18"/>
              </w:rPr>
              <w:t>payment_allocations</w:t>
            </w:r>
          </w:p>
        </w:tc>
        <w:tc>
          <w:tcPr>
            <w:tcW w:type="dxa" w:w="2268"/>
            <w:vAlign w:val="center"/>
          </w:tcPr>
          <w:p>
            <w:pPr>
              <w:spacing w:before="40" w:after="40" w:line="276" w:lineRule="auto"/>
              <w:jc w:val="left"/>
            </w:pPr>
            <w:r>
              <w:rPr>
                <w:rFonts w:ascii="Times New Roman" w:hAnsi="Times New Roman"/>
                <w:b w:val="0"/>
                <w:i w:val="0"/>
                <w:sz w:val="18"/>
              </w:rPr>
              <w:t>Sổ cái bất biến ghi nhận dòng tiền đối soát theo chuỗi băm SHA-256.</w:t>
            </w:r>
          </w:p>
        </w:tc>
        <w:tc>
          <w:tcPr>
            <w:tcW w:type="dxa" w:w="2268"/>
            <w:vAlign w:val="center"/>
          </w:tcPr>
          <w:p>
            <w:pPr>
              <w:spacing w:before="40" w:after="40" w:line="276" w:lineRule="auto"/>
              <w:jc w:val="left"/>
            </w:pPr>
            <w:r>
              <w:rPr>
                <w:rFonts w:ascii="Times New Roman" w:hAnsi="Times New Roman"/>
                <w:b w:val="0"/>
                <w:i w:val="0"/>
                <w:sz w:val="18"/>
              </w:rPr>
              <w:t>Khóa chính id, lưu prev_hash và record_hash, liên kết ngân hàng và đơn.</w:t>
            </w:r>
          </w:p>
        </w:tc>
      </w:tr>
      <w:tr>
        <w:tc>
          <w:tcPr>
            <w:tcW w:type="dxa" w:w="2268"/>
            <w:vAlign w:val="center"/>
          </w:tcPr>
          <w:p>
            <w:pPr>
              <w:spacing w:before="40" w:after="40" w:line="276" w:lineRule="auto"/>
              <w:jc w:val="center"/>
            </w:pPr>
            <w:r>
              <w:rPr>
                <w:rFonts w:ascii="Times New Roman" w:hAnsi="Times New Roman"/>
                <w:b w:val="0"/>
                <w:i w:val="0"/>
                <w:sz w:val="18"/>
              </w:rPr>
              <w:t>9</w:t>
            </w:r>
          </w:p>
        </w:tc>
        <w:tc>
          <w:tcPr>
            <w:tcW w:type="dxa" w:w="2268"/>
            <w:vAlign w:val="center"/>
          </w:tcPr>
          <w:p>
            <w:pPr>
              <w:spacing w:before="40" w:after="40" w:line="276" w:lineRule="auto"/>
              <w:jc w:val="left"/>
            </w:pPr>
            <w:r>
              <w:rPr>
                <w:rFonts w:ascii="Times New Roman" w:hAnsi="Times New Roman"/>
                <w:b/>
                <w:i w:val="0"/>
                <w:sz w:val="18"/>
              </w:rPr>
              <w:t>decisions</w:t>
            </w:r>
          </w:p>
        </w:tc>
        <w:tc>
          <w:tcPr>
            <w:tcW w:type="dxa" w:w="2268"/>
            <w:vAlign w:val="center"/>
          </w:tcPr>
          <w:p>
            <w:pPr>
              <w:spacing w:before="40" w:after="40" w:line="276" w:lineRule="auto"/>
              <w:jc w:val="left"/>
            </w:pPr>
            <w:r>
              <w:rPr>
                <w:rFonts w:ascii="Times New Roman" w:hAnsi="Times New Roman"/>
                <w:b w:val="0"/>
                <w:i w:val="0"/>
                <w:sz w:val="18"/>
              </w:rPr>
              <w:t>Lịch sử các quyết định can thiệp thủ công của Kế toán kèm chữ ký WebAuthn.</w:t>
            </w:r>
          </w:p>
        </w:tc>
        <w:tc>
          <w:tcPr>
            <w:tcW w:type="dxa" w:w="2268"/>
            <w:vAlign w:val="center"/>
          </w:tcPr>
          <w:p>
            <w:pPr>
              <w:spacing w:before="40" w:after="40" w:line="276" w:lineRule="auto"/>
              <w:jc w:val="left"/>
            </w:pPr>
            <w:r>
              <w:rPr>
                <w:rFonts w:ascii="Times New Roman" w:hAnsi="Times New Roman"/>
                <w:b w:val="0"/>
                <w:i w:val="0"/>
                <w:sz w:val="18"/>
              </w:rPr>
              <w:t>Khóa chính id, kiểm tra loại quyết định CHECK, lưu chữ ký số sinh trắc học.</w:t>
            </w:r>
          </w:p>
        </w:tc>
      </w:tr>
      <w:tr>
        <w:tc>
          <w:tcPr>
            <w:tcW w:type="dxa" w:w="2268"/>
            <w:vAlign w:val="center"/>
          </w:tcPr>
          <w:p>
            <w:pPr>
              <w:spacing w:before="40" w:after="40" w:line="276" w:lineRule="auto"/>
              <w:jc w:val="center"/>
            </w:pPr>
            <w:r>
              <w:rPr>
                <w:rFonts w:ascii="Times New Roman" w:hAnsi="Times New Roman"/>
                <w:b w:val="0"/>
                <w:i w:val="0"/>
                <w:sz w:val="18"/>
              </w:rPr>
              <w:t>10</w:t>
            </w:r>
          </w:p>
        </w:tc>
        <w:tc>
          <w:tcPr>
            <w:tcW w:type="dxa" w:w="2268"/>
            <w:vAlign w:val="center"/>
          </w:tcPr>
          <w:p>
            <w:pPr>
              <w:spacing w:before="40" w:after="40" w:line="276" w:lineRule="auto"/>
              <w:jc w:val="left"/>
            </w:pPr>
            <w:r>
              <w:rPr>
                <w:rFonts w:ascii="Times New Roman" w:hAnsi="Times New Roman"/>
                <w:b/>
                <w:i w:val="0"/>
                <w:sz w:val="18"/>
              </w:rPr>
              <w:t>shift_audits</w:t>
            </w:r>
          </w:p>
        </w:tc>
        <w:tc>
          <w:tcPr>
            <w:tcW w:type="dxa" w:w="2268"/>
            <w:vAlign w:val="center"/>
          </w:tcPr>
          <w:p>
            <w:pPr>
              <w:spacing w:before="40" w:after="40" w:line="276" w:lineRule="auto"/>
              <w:jc w:val="left"/>
            </w:pPr>
            <w:r>
              <w:rPr>
                <w:rFonts w:ascii="Times New Roman" w:hAnsi="Times New Roman"/>
                <w:b w:val="0"/>
                <w:i w:val="0"/>
                <w:sz w:val="18"/>
              </w:rPr>
              <w:t>Chứng từ kiểm toán toàn vẹn ca làm việc gồm giá trị Merkle Root chốt sổ.</w:t>
            </w:r>
          </w:p>
        </w:tc>
        <w:tc>
          <w:tcPr>
            <w:tcW w:type="dxa" w:w="2268"/>
            <w:vAlign w:val="center"/>
          </w:tcPr>
          <w:p>
            <w:pPr>
              <w:spacing w:before="40" w:after="40" w:line="276" w:lineRule="auto"/>
              <w:jc w:val="left"/>
            </w:pPr>
            <w:r>
              <w:rPr>
                <w:rFonts w:ascii="Times New Roman" w:hAnsi="Times New Roman"/>
                <w:b w:val="0"/>
                <w:i w:val="0"/>
                <w:sz w:val="18"/>
              </w:rPr>
              <w:t>Khóa chính id, khóa ngoại duy nhất tới shift_id, lưu merkle_root vĩnh viễn.</w:t>
            </w:r>
          </w:p>
        </w:tc>
      </w:tr>
    </w:tbl>
    <w:p>
      <w:pPr>
        <w:spacing w:before="80" w:after="240" w:line="312" w:lineRule="auto"/>
        <w:jc w:val="center"/>
      </w:pPr>
      <w:r>
        <w:rPr>
          <w:rFonts w:ascii="Times New Roman" w:hAnsi="Times New Roman"/>
          <w:b w:val="0"/>
          <w:i/>
          <w:sz w:val="20"/>
        </w:rPr>
        <w:t>Bảng 3: Cấu trúc lược đồ dữ liệu đối soát và sổ cái mật mã học trên Microsoft SQL Server</w:t>
      </w:r>
    </w:p>
    <w:p>
      <w:pPr>
        <w:spacing w:before="160" w:after="80" w:line="312" w:lineRule="auto"/>
        <w:jc w:val="left"/>
      </w:pPr>
      <w:r>
        <w:rPr>
          <w:rFonts w:ascii="Times New Roman" w:hAnsi="Times New Roman"/>
          <w:b/>
          <w:i/>
          <w:sz w:val="24"/>
        </w:rPr>
        <w:t>3.2.2. Thiết kế tính năng ứng dụng và quy trình nghiệp vụ khép kín</w:t>
      </w:r>
    </w:p>
    <w:p>
      <w:pPr>
        <w:spacing w:before="0" w:after="120" w:line="312" w:lineRule="auto"/>
        <w:jc w:val="both"/>
      </w:pPr>
      <w:r>
        <w:rPr>
          <w:rFonts w:ascii="Times New Roman" w:hAnsi="Times New Roman"/>
          <w:b w:val="0"/>
          <w:i w:val="0"/>
          <w:sz w:val="24"/>
        </w:rPr>
        <w:t>Quy trình vận hành đối soát của hệ thống được thiết kế thành một vòng đời khép kín gồm 6 giai đoạn nối tiếp nhau:</w:t>
      </w:r>
    </w:p>
    <w:p>
      <w:pPr>
        <w:spacing w:before="240" w:after="60"/>
        <w:jc w:val="center"/>
      </w:pPr>
      <w:r>
        <w:rPr>
          <w:rFonts w:ascii="Times New Roman" w:hAnsi="Times New Roman"/>
          <w:b/>
          <w:sz w:val="22"/>
        </w:rPr>
        <w:t>Hình 4: Quy trình đối soát dòng tiền khép kín tại quầy thu ngân</w:t>
      </w:r>
    </w:p>
    <w:p>
      <w:pPr>
        <w:spacing w:before="0" w:after="240"/>
        <w:jc w:val="center"/>
      </w:pPr>
      <w:r>
        <w:rPr>
          <w:rFonts w:ascii="Times New Roman" w:hAnsi="Times New Roman"/>
          <w:i/>
          <w:color w:val="5F5F5F"/>
          <w:sz w:val="20"/>
        </w:rPr>
        <w:t>[Ghi chú chèn ảnh minh chứng: Sơ đồ quy trình 6 bước khép kín: Mở ca -&gt; Tạo đơn -&gt; Sinh mã VietQR động -&gt; Khách chuyển tiền -&gt; Nhận Webhook -&gt; Đối soát tự động 3 cấp -&gt; Thông báo quầy thu ngân -&gt; Đóng ca &amp; Chốt cây Merkle]</w:t>
      </w:r>
    </w:p>
    <w:p>
      <w:pPr>
        <w:spacing w:before="0" w:after="120" w:line="312" w:lineRule="auto"/>
        <w:jc w:val="both"/>
      </w:pPr>
      <w:r>
        <w:rPr>
          <w:rFonts w:ascii="Times New Roman" w:hAnsi="Times New Roman"/>
          <w:b w:val="0"/>
          <w:i w:val="0"/>
          <w:sz w:val="24"/>
        </w:rPr>
        <w:t>Giai đoạn 1: Mở ca làm việc. Quản lý cửa hàng đăng nhập vào hệ thống, thiết lập tên ca và cam kết chỉ tiêu doanh thu mục tiêu. Ca làm việc được kích hoạt ở trạng thái OPEN, sẵn sàng cho nhân viên thu ngân bán hàng.</w:t>
      </w:r>
    </w:p>
    <w:p>
      <w:pPr>
        <w:spacing w:before="0" w:after="120" w:line="312" w:lineRule="auto"/>
        <w:jc w:val="both"/>
      </w:pPr>
      <w:r>
        <w:rPr>
          <w:rFonts w:ascii="Times New Roman" w:hAnsi="Times New Roman"/>
          <w:b w:val="0"/>
          <w:i w:val="0"/>
          <w:sz w:val="24"/>
        </w:rPr>
        <w:t>Giai đoạn 2: Tạo đơn và xuất mã VietQR động. Tại quầy thu ngân, nhân viên tạo đơn hàng mới. Hệ thống tự động khóa cứng số tiền của đơn hàng và mã hóa đơn định danh vào một mã VietQR động chuẩn NAPAS [7], hiển thị trực quan lên màn hình phụ hướng về phía khách hàng.</w:t>
      </w:r>
    </w:p>
    <w:p>
      <w:pPr>
        <w:spacing w:before="0" w:after="120" w:line="312" w:lineRule="auto"/>
        <w:jc w:val="both"/>
      </w:pPr>
      <w:r>
        <w:rPr>
          <w:rFonts w:ascii="Times New Roman" w:hAnsi="Times New Roman"/>
          <w:b w:val="0"/>
          <w:i w:val="0"/>
          <w:sz w:val="24"/>
        </w:rPr>
        <w:t>Giai đoạn 3: Thanh toán và truyền bản tin Webhook. Khách hàng sử dụng ứng dụng ngân hàng quét mã VietQR và thực hiện lệnh chuyển khoản. Ngay khi tiền vào tài khoản ngân hàng của chủ quán, cổng ngân hàng lập tức phát bản tin Webhook có ký chữ ký số HMAC-SHA256 [9] về máy chủ Backend của hệ thống.</w:t>
      </w:r>
    </w:p>
    <w:p>
      <w:pPr>
        <w:spacing w:before="0" w:after="120" w:line="312" w:lineRule="auto"/>
        <w:jc w:val="both"/>
      </w:pPr>
      <w:r>
        <w:rPr>
          <w:rFonts w:ascii="Times New Roman" w:hAnsi="Times New Roman"/>
          <w:b w:val="0"/>
          <w:i w:val="0"/>
          <w:sz w:val="24"/>
        </w:rPr>
        <w:t>Giai đoạn 4: Đối soát tự động và thông báo tức thời. Động cơ đối soát tiếp nhận dữ liệu, xác thực chữ ký bảo mật, kiểm tra mã giao dịch duy nhất và kích hoạt giải thuật so khớp 3 cấp độ. Khi dữ liệu khớp đúng, hệ thống tự động cập nhật trạng thái đơn hàng sang PAID, đồng thời đẩy tín hiệu qua kênh Server-Sent Events về quầy thu ngân để tự động đóng màn hình mã QR và phát tín hiệu xanh xác nhận thành công. Nhân viên bàn giao hàng hóa cho khách mà không cần hỏi chủ quán.</w:t>
      </w:r>
    </w:p>
    <w:p>
      <w:pPr>
        <w:spacing w:before="0" w:after="120" w:line="312" w:lineRule="auto"/>
        <w:jc w:val="both"/>
      </w:pPr>
      <w:r>
        <w:rPr>
          <w:rFonts w:ascii="Times New Roman" w:hAnsi="Times New Roman"/>
          <w:b w:val="0"/>
          <w:i w:val="0"/>
          <w:sz w:val="24"/>
        </w:rPr>
        <w:t>Giai đoạn 5: Xử lý ngoại lệ đối soát lệch. Với các giao dịch khách chuyển thiếu tiền hoặc gõ sai nội dung, hệ thống đưa vào danh sách đối soát ngoại lệ. Kế toán sử dụng màn hình đối soát nâng cao, thực hiện ghép đơn và xác thực danh tính bằng chữ ký số sinh trắc học WebAuthn [12] để hoàn tất.</w:t>
      </w:r>
    </w:p>
    <w:p>
      <w:pPr>
        <w:spacing w:before="0" w:after="120" w:line="312" w:lineRule="auto"/>
        <w:jc w:val="both"/>
      </w:pPr>
      <w:r>
        <w:rPr>
          <w:rFonts w:ascii="Times New Roman" w:hAnsi="Times New Roman"/>
          <w:b w:val="0"/>
          <w:i w:val="0"/>
          <w:sz w:val="24"/>
        </w:rPr>
        <w:t>Giai đoạn 6: Kiểm toán toàn vẹn và chốt ca. Cuối ngày, quản lý truy cập màn hình báo cáo Dashboard để đối chiếu 5 chỉ tiêu tài chính. Hệ thống kiểm tra toàn vẹn chuỗi băm Sổ cái SHA-256 [10], tính toán giá trị Merkle Root [13], xuất biên bản đối soát và đóng ca làm việc an toàn.</w:t>
      </w:r>
    </w:p>
    <w:p>
      <w:pPr>
        <w:spacing w:before="240" w:after="120" w:line="312" w:lineRule="auto"/>
        <w:jc w:val="left"/>
      </w:pPr>
      <w:r>
        <w:rPr>
          <w:rFonts w:ascii="Times New Roman" w:hAnsi="Times New Roman"/>
          <w:b/>
          <w:i w:val="0"/>
          <w:color w:val="1F4690"/>
          <w:sz w:val="26"/>
        </w:rPr>
        <w:t>3.3. Xây dựng kịch bản và thử nghiệm mô hình thực tế</w:t>
      </w:r>
    </w:p>
    <w:p>
      <w:pPr>
        <w:spacing w:before="0" w:after="120" w:line="312" w:lineRule="auto"/>
        <w:jc w:val="both"/>
      </w:pPr>
      <w:r>
        <w:rPr>
          <w:rFonts w:ascii="Times New Roman" w:hAnsi="Times New Roman"/>
          <w:b w:val="0"/>
          <w:i w:val="0"/>
          <w:sz w:val="24"/>
        </w:rPr>
        <w:t>Nhằm kiểm chứng tính khả thi kỹ thuật, độ ổn định của kiến trúc và tính chính xác của các thuật toán nghiệp vụ trong môi trường vận hành thực tế, nhóm nghiên cứu đã xây dựng một kịch bản thử nghiệm mô phỏng toàn diện một ca bán hàng giờ cao điểm tại điểm bán lẻ.</w:t>
      </w:r>
    </w:p>
    <w:p>
      <w:pPr>
        <w:spacing w:before="160" w:after="80" w:line="312" w:lineRule="auto"/>
        <w:jc w:val="left"/>
      </w:pPr>
      <w:r>
        <w:rPr>
          <w:rFonts w:ascii="Times New Roman" w:hAnsi="Times New Roman"/>
          <w:b/>
          <w:i/>
          <w:sz w:val="24"/>
        </w:rPr>
        <w:t>3.3.1. Chuẩn bị dữ liệu kiểm thử</w:t>
      </w:r>
    </w:p>
    <w:p>
      <w:pPr>
        <w:spacing w:before="0" w:after="120" w:line="312" w:lineRule="auto"/>
        <w:jc w:val="both"/>
      </w:pPr>
      <w:r>
        <w:rPr>
          <w:rFonts w:ascii="Times New Roman" w:hAnsi="Times New Roman"/>
          <w:b w:val="0"/>
          <w:i w:val="0"/>
          <w:sz w:val="24"/>
        </w:rPr>
        <w:t>Dữ liệu kiểm thử được thiết lập theo đúng nguyên lý kế toán kép với bộ chỉ tiêu tài chính chặt chẽ, đại diện cho đầy đủ các tình huống giao dịch phát sinh trong thực tế (Bảng 4):</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3024"/>
        <w:gridCol w:w="3024"/>
        <w:gridCol w:w="3024"/>
      </w:tblGrid>
      <w:tr>
        <w:tc>
          <w:tcPr>
            <w:tcW w:type="dxa" w:w="3024"/>
            <w:vAlign w:val="center"/>
            <w:shd w:fill="D9E4F5"/>
          </w:tcPr>
          <w:p>
            <w:pPr>
              <w:spacing w:before="40" w:after="40" w:line="276" w:lineRule="auto"/>
              <w:jc w:val="center"/>
            </w:pPr>
            <w:r>
              <w:rPr>
                <w:rFonts w:ascii="Times New Roman" w:hAnsi="Times New Roman"/>
                <w:b/>
                <w:i w:val="0"/>
                <w:sz w:val="21"/>
              </w:rPr>
              <w:t>Chỉ tiêu tài chính kiểm soát</w:t>
            </w:r>
          </w:p>
        </w:tc>
        <w:tc>
          <w:tcPr>
            <w:tcW w:type="dxa" w:w="3024"/>
            <w:vAlign w:val="center"/>
            <w:shd w:fill="D9E4F5"/>
          </w:tcPr>
          <w:p>
            <w:pPr>
              <w:spacing w:before="40" w:after="40" w:line="276" w:lineRule="auto"/>
              <w:jc w:val="center"/>
            </w:pPr>
            <w:r>
              <w:rPr>
                <w:rFonts w:ascii="Times New Roman" w:hAnsi="Times New Roman"/>
                <w:b/>
                <w:i w:val="0"/>
                <w:sz w:val="21"/>
              </w:rPr>
              <w:t>Số tiền thiết lập (VNĐ)</w:t>
            </w:r>
          </w:p>
        </w:tc>
        <w:tc>
          <w:tcPr>
            <w:tcW w:type="dxa" w:w="3024"/>
            <w:vAlign w:val="center"/>
            <w:shd w:fill="D9E4F5"/>
          </w:tcPr>
          <w:p>
            <w:pPr>
              <w:spacing w:before="40" w:after="40" w:line="276" w:lineRule="auto"/>
              <w:jc w:val="center"/>
            </w:pPr>
            <w:r>
              <w:rPr>
                <w:rFonts w:ascii="Times New Roman" w:hAnsi="Times New Roman"/>
                <w:b/>
                <w:i w:val="0"/>
                <w:sz w:val="21"/>
              </w:rPr>
              <w:t>Mô tả ý nghĩa nghiệp vụ kế toán</w:t>
            </w:r>
          </w:p>
        </w:tc>
      </w:tr>
      <w:tr>
        <w:tc>
          <w:tcPr>
            <w:tcW w:type="dxa" w:w="3024"/>
            <w:vAlign w:val="center"/>
          </w:tcPr>
          <w:p>
            <w:pPr>
              <w:spacing w:before="40" w:after="40" w:line="276" w:lineRule="auto"/>
              <w:jc w:val="left"/>
            </w:pPr>
            <w:r>
              <w:rPr>
                <w:rFonts w:ascii="Times New Roman" w:hAnsi="Times New Roman"/>
                <w:b/>
                <w:i w:val="0"/>
                <w:sz w:val="19"/>
              </w:rPr>
              <w:t>1. Tổng doanh thu cam kết ca (Committed)</w:t>
            </w:r>
          </w:p>
        </w:tc>
        <w:tc>
          <w:tcPr>
            <w:tcW w:type="dxa" w:w="3024"/>
            <w:vAlign w:val="center"/>
          </w:tcPr>
          <w:p>
            <w:pPr>
              <w:spacing w:before="40" w:after="40" w:line="276" w:lineRule="auto"/>
              <w:jc w:val="right"/>
            </w:pPr>
            <w:r>
              <w:rPr>
                <w:rFonts w:ascii="Times New Roman" w:hAnsi="Times New Roman"/>
                <w:b w:val="0"/>
                <w:i w:val="0"/>
                <w:sz w:val="19"/>
              </w:rPr>
              <w:t>100.000.000 VNĐ</w:t>
            </w:r>
          </w:p>
        </w:tc>
        <w:tc>
          <w:tcPr>
            <w:tcW w:type="dxa" w:w="3024"/>
            <w:vAlign w:val="center"/>
          </w:tcPr>
          <w:p>
            <w:pPr>
              <w:spacing w:before="40" w:after="40" w:line="276" w:lineRule="auto"/>
              <w:jc w:val="left"/>
            </w:pPr>
            <w:r>
              <w:rPr>
                <w:rFonts w:ascii="Times New Roman" w:hAnsi="Times New Roman"/>
                <w:b w:val="0"/>
                <w:i w:val="0"/>
                <w:sz w:val="19"/>
              </w:rPr>
              <w:t>Định mức doanh thu mục tiêu thiết lập khi bắt đầu mở ca bán hàng.</w:t>
            </w:r>
          </w:p>
        </w:tc>
      </w:tr>
      <w:tr>
        <w:tc>
          <w:tcPr>
            <w:tcW w:type="dxa" w:w="3024"/>
            <w:vAlign w:val="center"/>
          </w:tcPr>
          <w:p>
            <w:pPr>
              <w:spacing w:before="40" w:after="40" w:line="276" w:lineRule="auto"/>
              <w:jc w:val="left"/>
            </w:pPr>
            <w:r>
              <w:rPr>
                <w:rFonts w:ascii="Times New Roman" w:hAnsi="Times New Roman"/>
                <w:b/>
                <w:i w:val="0"/>
                <w:sz w:val="19"/>
              </w:rPr>
              <w:t>2. Đã phát hành yêu cầu thu VietQR (Allocated)</w:t>
            </w:r>
          </w:p>
        </w:tc>
        <w:tc>
          <w:tcPr>
            <w:tcW w:type="dxa" w:w="3024"/>
            <w:vAlign w:val="center"/>
          </w:tcPr>
          <w:p>
            <w:pPr>
              <w:spacing w:before="40" w:after="40" w:line="276" w:lineRule="auto"/>
              <w:jc w:val="right"/>
            </w:pPr>
            <w:r>
              <w:rPr>
                <w:rFonts w:ascii="Times New Roman" w:hAnsi="Times New Roman"/>
                <w:b w:val="0"/>
                <w:i w:val="0"/>
                <w:sz w:val="19"/>
              </w:rPr>
              <w:t>90.000.000 VNĐ</w:t>
            </w:r>
          </w:p>
        </w:tc>
        <w:tc>
          <w:tcPr>
            <w:tcW w:type="dxa" w:w="3024"/>
            <w:vAlign w:val="center"/>
          </w:tcPr>
          <w:p>
            <w:pPr>
              <w:spacing w:before="40" w:after="40" w:line="276" w:lineRule="auto"/>
              <w:jc w:val="left"/>
            </w:pPr>
            <w:r>
              <w:rPr>
                <w:rFonts w:ascii="Times New Roman" w:hAnsi="Times New Roman"/>
                <w:b w:val="0"/>
                <w:i w:val="0"/>
                <w:sz w:val="19"/>
              </w:rPr>
              <w:t>Tổng giá trị của 4 đơn hàng đã được quầy thu ngân tạo và xuất mã QR.</w:t>
            </w:r>
          </w:p>
        </w:tc>
      </w:tr>
      <w:tr>
        <w:tc>
          <w:tcPr>
            <w:tcW w:type="dxa" w:w="3024"/>
            <w:vAlign w:val="center"/>
          </w:tcPr>
          <w:p>
            <w:pPr>
              <w:spacing w:before="40" w:after="40" w:line="276" w:lineRule="auto"/>
              <w:jc w:val="left"/>
            </w:pPr>
            <w:r>
              <w:rPr>
                <w:rFonts w:ascii="Times New Roman" w:hAnsi="Times New Roman"/>
                <w:b/>
                <w:i w:val="0"/>
                <w:sz w:val="19"/>
              </w:rPr>
              <w:t>3. Doanh thu chưa phát hành lệnh thu</w:t>
            </w:r>
          </w:p>
        </w:tc>
        <w:tc>
          <w:tcPr>
            <w:tcW w:type="dxa" w:w="3024"/>
            <w:vAlign w:val="center"/>
          </w:tcPr>
          <w:p>
            <w:pPr>
              <w:spacing w:before="40" w:after="40" w:line="276" w:lineRule="auto"/>
              <w:jc w:val="right"/>
            </w:pPr>
            <w:r>
              <w:rPr>
                <w:rFonts w:ascii="Times New Roman" w:hAnsi="Times New Roman"/>
                <w:b w:val="0"/>
                <w:i w:val="0"/>
                <w:sz w:val="19"/>
              </w:rPr>
              <w:t>10.000.000 VNĐ</w:t>
            </w:r>
          </w:p>
        </w:tc>
        <w:tc>
          <w:tcPr>
            <w:tcW w:type="dxa" w:w="3024"/>
            <w:vAlign w:val="center"/>
          </w:tcPr>
          <w:p>
            <w:pPr>
              <w:spacing w:before="40" w:after="40" w:line="276" w:lineRule="auto"/>
              <w:jc w:val="left"/>
            </w:pPr>
            <w:r>
              <w:rPr>
                <w:rFonts w:ascii="Times New Roman" w:hAnsi="Times New Roman"/>
                <w:b w:val="0"/>
                <w:i w:val="0"/>
                <w:sz w:val="19"/>
              </w:rPr>
              <w:t>Khoản chênh lệch hạn mức ca chưa sử dụng (100tr - 90tr = 10tr).</w:t>
            </w:r>
          </w:p>
        </w:tc>
      </w:tr>
      <w:tr>
        <w:tc>
          <w:tcPr>
            <w:tcW w:type="dxa" w:w="3024"/>
            <w:vAlign w:val="center"/>
          </w:tcPr>
          <w:p>
            <w:pPr>
              <w:spacing w:before="40" w:after="40" w:line="276" w:lineRule="auto"/>
              <w:jc w:val="left"/>
            </w:pPr>
            <w:r>
              <w:rPr>
                <w:rFonts w:ascii="Times New Roman" w:hAnsi="Times New Roman"/>
                <w:b/>
                <w:i w:val="0"/>
                <w:sz w:val="19"/>
              </w:rPr>
              <w:t>4. Đã xác nhận thực thu đối soát (Confirmed Paid)</w:t>
            </w:r>
          </w:p>
        </w:tc>
        <w:tc>
          <w:tcPr>
            <w:tcW w:type="dxa" w:w="3024"/>
            <w:vAlign w:val="center"/>
          </w:tcPr>
          <w:p>
            <w:pPr>
              <w:spacing w:before="40" w:after="40" w:line="276" w:lineRule="auto"/>
              <w:jc w:val="right"/>
            </w:pPr>
            <w:r>
              <w:rPr>
                <w:rFonts w:ascii="Times New Roman" w:hAnsi="Times New Roman"/>
                <w:b w:val="0"/>
                <w:i w:val="0"/>
                <w:sz w:val="19"/>
              </w:rPr>
              <w:t>75.000.000 VNĐ</w:t>
            </w:r>
          </w:p>
        </w:tc>
        <w:tc>
          <w:tcPr>
            <w:tcW w:type="dxa" w:w="3024"/>
            <w:vAlign w:val="center"/>
          </w:tcPr>
          <w:p>
            <w:pPr>
              <w:spacing w:before="40" w:after="40" w:line="276" w:lineRule="auto"/>
              <w:jc w:val="left"/>
            </w:pPr>
            <w:r>
              <w:rPr>
                <w:rFonts w:ascii="Times New Roman" w:hAnsi="Times New Roman"/>
                <w:b w:val="0"/>
                <w:i w:val="0"/>
                <w:sz w:val="19"/>
              </w:rPr>
              <w:t>Tổng số tiền ngân hàng đã nhận và đối soát thành công khớp vào đơn hàng.</w:t>
            </w:r>
          </w:p>
        </w:tc>
      </w:tr>
      <w:tr>
        <w:tc>
          <w:tcPr>
            <w:tcW w:type="dxa" w:w="3024"/>
            <w:vAlign w:val="center"/>
          </w:tcPr>
          <w:p>
            <w:pPr>
              <w:spacing w:before="40" w:after="40" w:line="276" w:lineRule="auto"/>
              <w:jc w:val="left"/>
            </w:pPr>
            <w:r>
              <w:rPr>
                <w:rFonts w:ascii="Times New Roman" w:hAnsi="Times New Roman"/>
                <w:b/>
                <w:i w:val="0"/>
                <w:sz w:val="19"/>
              </w:rPr>
              <w:t>5. Đã xuất mã QR nhưng chưa thu đủ tiền</w:t>
            </w:r>
          </w:p>
        </w:tc>
        <w:tc>
          <w:tcPr>
            <w:tcW w:type="dxa" w:w="3024"/>
            <w:vAlign w:val="center"/>
          </w:tcPr>
          <w:p>
            <w:pPr>
              <w:spacing w:before="40" w:after="40" w:line="276" w:lineRule="auto"/>
              <w:jc w:val="right"/>
            </w:pPr>
            <w:r>
              <w:rPr>
                <w:rFonts w:ascii="Times New Roman" w:hAnsi="Times New Roman"/>
                <w:b w:val="0"/>
                <w:i w:val="0"/>
                <w:sz w:val="19"/>
              </w:rPr>
              <w:t>15.000.000 VNĐ</w:t>
            </w:r>
          </w:p>
        </w:tc>
        <w:tc>
          <w:tcPr>
            <w:tcW w:type="dxa" w:w="3024"/>
            <w:vAlign w:val="center"/>
          </w:tcPr>
          <w:p>
            <w:pPr>
              <w:spacing w:before="40" w:after="40" w:line="276" w:lineRule="auto"/>
              <w:jc w:val="left"/>
            </w:pPr>
            <w:r>
              <w:rPr>
                <w:rFonts w:ascii="Times New Roman" w:hAnsi="Times New Roman"/>
                <w:b w:val="0"/>
                <w:i w:val="0"/>
                <w:sz w:val="19"/>
              </w:rPr>
              <w:t>Các đơn hàng đang chờ khách thanh toán hoặc mới thanh toán một phần.</w:t>
            </w:r>
          </w:p>
        </w:tc>
      </w:tr>
      <w:tr>
        <w:tc>
          <w:tcPr>
            <w:tcW w:type="dxa" w:w="3024"/>
            <w:vAlign w:val="center"/>
          </w:tcPr>
          <w:p>
            <w:pPr>
              <w:spacing w:before="40" w:after="40" w:line="276" w:lineRule="auto"/>
              <w:jc w:val="left"/>
            </w:pPr>
            <w:r>
              <w:rPr>
                <w:rFonts w:ascii="Times New Roman" w:hAnsi="Times New Roman"/>
                <w:b/>
                <w:i w:val="0"/>
                <w:sz w:val="19"/>
              </w:rPr>
              <w:t>6. Tiền ngân hàng chưa phân bổ (Tiền treo)</w:t>
            </w:r>
          </w:p>
        </w:tc>
        <w:tc>
          <w:tcPr>
            <w:tcW w:type="dxa" w:w="3024"/>
            <w:vAlign w:val="center"/>
          </w:tcPr>
          <w:p>
            <w:pPr>
              <w:spacing w:before="40" w:after="40" w:line="276" w:lineRule="auto"/>
              <w:jc w:val="right"/>
            </w:pPr>
            <w:r>
              <w:rPr>
                <w:rFonts w:ascii="Times New Roman" w:hAnsi="Times New Roman"/>
                <w:b w:val="0"/>
                <w:i w:val="0"/>
                <w:sz w:val="19"/>
              </w:rPr>
              <w:t>5.000.000 VNĐ</w:t>
            </w:r>
          </w:p>
        </w:tc>
        <w:tc>
          <w:tcPr>
            <w:tcW w:type="dxa" w:w="3024"/>
            <w:vAlign w:val="center"/>
          </w:tcPr>
          <w:p>
            <w:pPr>
              <w:spacing w:before="40" w:after="40" w:line="276" w:lineRule="auto"/>
              <w:jc w:val="left"/>
            </w:pPr>
            <w:r>
              <w:rPr>
                <w:rFonts w:ascii="Times New Roman" w:hAnsi="Times New Roman"/>
                <w:b w:val="0"/>
                <w:i w:val="0"/>
                <w:sz w:val="19"/>
              </w:rPr>
              <w:t>Khoản tiền khách chuyển vào nhưng không ghi mã đơn, chờ kế toán giải trình.</w:t>
            </w:r>
          </w:p>
        </w:tc>
      </w:tr>
    </w:tbl>
    <w:p>
      <w:pPr>
        <w:spacing w:before="80" w:after="240" w:line="312" w:lineRule="auto"/>
        <w:jc w:val="center"/>
      </w:pPr>
      <w:r>
        <w:rPr>
          <w:rFonts w:ascii="Times New Roman" w:hAnsi="Times New Roman"/>
          <w:b w:val="0"/>
          <w:i/>
          <w:sz w:val="20"/>
        </w:rPr>
        <w:t>Bảng 4: Bộ chỉ tiêu tài chính kiểm soát ca kinh doanh thực nghiệm</w:t>
      </w:r>
    </w:p>
    <w:p>
      <w:pPr>
        <w:spacing w:before="160" w:after="80" w:line="312" w:lineRule="auto"/>
        <w:jc w:val="left"/>
      </w:pPr>
      <w:r>
        <w:rPr>
          <w:rFonts w:ascii="Times New Roman" w:hAnsi="Times New Roman"/>
          <w:b/>
          <w:i/>
          <w:sz w:val="24"/>
        </w:rPr>
        <w:t>3.3.2. Xây dựng giao diện ứng dụng</w:t>
      </w:r>
    </w:p>
    <w:p>
      <w:pPr>
        <w:spacing w:before="0" w:after="120" w:line="312" w:lineRule="auto"/>
        <w:jc w:val="both"/>
      </w:pPr>
      <w:r>
        <w:rPr>
          <w:rFonts w:ascii="Times New Roman" w:hAnsi="Times New Roman"/>
          <w:b w:val="0"/>
          <w:i w:val="0"/>
          <w:sz w:val="24"/>
        </w:rPr>
        <w:t>Toàn bộ hệ thống giao diện được thiết kế hiện đại, bố cục khoa học, giúp người dùng dễ dàng theo dõi và thao tác:</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Trang Quản lý ca (index): Khu vực trung tâm hiển thị trạng thái ca hiện tại (Chưa mở ca hoặc Đang mở bán), nút thao tác mở ca và bảng danh sách lịch sử các ca làm việc.</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Trang Quầy thu ngân POS (pos): Giao diện chia 2 cột tối ưu: bên trái là biểu mẫu nhập đơn hàng mới (số tiền, ghi chú); bên phải là bảng danh sách đơn hàng trong ca hiển thị trạng thái thanh toán thời gian thực kèm cửa sổ Modal hiển thị ảnh mã VietQR động.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Trang Cổng ngân hàng mô phỏng (bank-simulator): Đóng vai trò là công cụ kiểm thử độc lập, cho phép chọn đơn hàng, tùy chỉnh số tiền và nội dung chuyển tiền, tự động tính toán chữ ký HMAC-SHA256 và phát bản tin Webhook về máy chủ.</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Trang Xử lý đối soát nâng cao (reconciliation): Phân hệ dành riêng cho kế toán, hiển thị các giao dịch ngân hàng chưa được khớp (tiền treo), hỗ trợ tìm kiếm đơn hàng theo độ tương đồng và tích hợp cửa sổ xác thực sinh trắc học WebAuthn.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Trang Báo cáo &amp; Kiểm toán Dashboard (dashboard): Hiển thị 5 thẻ KPI tài chính lớn, biểu đồ cơ cấu dòng tiền Chart.js và bảng chi tiết kiểm toán chuỗi băm Sổ cái SHA-256 kèm mã Merkle Root.</w:t>
      </w:r>
    </w:p>
    <w:p>
      <w:pPr>
        <w:spacing w:before="160" w:after="80" w:line="312" w:lineRule="auto"/>
        <w:jc w:val="left"/>
      </w:pPr>
      <w:r>
        <w:rPr>
          <w:rFonts w:ascii="Times New Roman" w:hAnsi="Times New Roman"/>
          <w:b/>
          <w:i/>
          <w:sz w:val="24"/>
        </w:rPr>
        <w:t>3.3.3. Các thư viện công nghệ cần thiết</w:t>
      </w:r>
    </w:p>
    <w:p>
      <w:pPr>
        <w:spacing w:before="0" w:after="120" w:line="312" w:lineRule="auto"/>
        <w:jc w:val="both"/>
      </w:pPr>
      <w:r>
        <w:rPr>
          <w:rFonts w:ascii="Times New Roman" w:hAnsi="Times New Roman"/>
          <w:b w:val="0"/>
          <w:i w:val="0"/>
          <w:sz w:val="24"/>
        </w:rPr>
        <w:t>Hệ thống ứng dụng các thư viện phần mềm chuyên sâu được tối ưu hóa về hiệu năng và độ tin cậy:</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Thư viện kiến trúc dịch vụ FastAPI: Framework xử lý API tốc độ cao dựa trên tiêu chuẩn ASGI, hỗ trợ mô hình xử lý bất đồng bộ đa luồng (Async/Await) giúp tiếp nhận đồng thời hàng trăm kết nối Webhook từ ngân hàng mà không gây nghẽn hệ thống.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Thư viện kiểm soát mô hình dữ liệu Pydantic: Tự động hóa việc kiểm tra cấu trúc và kiểu dữ liệu của các bản tin JSON đầu vào, loại bỏ hoàn toàn các yêu cầu không hợp lệ ngay từ tầng biên trước khi đưa vào CSDL.</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Thư viện ánh xạ cơ sở dữ liệu SQLAlchemy &amp; Trình điều khiển PyODBC: Cung cấp lớp trừu tượng hóa CSDL mạnh mẽ, quản lý các phiên kết nối (Connection Pooling) tối ưu và ngăn chặn tuyệt đối các nguy cơ tấn công SQL Injection.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Thư viện thuật toán chuỗi RapidFuzz: Được viết bằng ngôn ngữ C++ với hiệu năng xử lý cực nhanh, cung cấp giải thuật đo lường khoảng cách chuỗi Token Set Ratio phục vụ việc so khớp nội dung chuyển khoản mờ.</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Thư viện bảo mật mật mã học và sinh trắc học: Sử dụng module chuẩn hashlib để tính toán chuỗi băm an toàn SHA-256 [10], module hmac phục vụ xác thực bản tin Webhook [11] và thư viện py_webauthn tuân thủ chuẩn FIDO2/WebAuthn của W3C [12].</w:t>
      </w:r>
    </w:p>
    <w:p>
      <w:pPr>
        <w:spacing w:before="160" w:after="80" w:line="312" w:lineRule="auto"/>
        <w:jc w:val="left"/>
      </w:pPr>
      <w:r>
        <w:rPr>
          <w:rFonts w:ascii="Times New Roman" w:hAnsi="Times New Roman"/>
          <w:b/>
          <w:i/>
          <w:sz w:val="24"/>
        </w:rPr>
        <w:t>3.3.4. Công nghệ sử dụng trong hệ thống</w:t>
      </w:r>
    </w:p>
    <w:p>
      <w:pPr>
        <w:spacing w:before="0" w:after="120" w:line="312" w:lineRule="auto"/>
        <w:jc w:val="both"/>
      </w:pPr>
      <w:r>
        <w:rPr>
          <w:rFonts w:ascii="Times New Roman" w:hAnsi="Times New Roman"/>
          <w:b w:val="0"/>
          <w:i w:val="0"/>
          <w:sz w:val="24"/>
        </w:rPr>
        <w:t>Hệ sinh thái công nghệ của VietQR ReconHub được lựa chọn đồng bộ, đảm bảo tính ổn định và khả năng mở rộng linh hoạt:</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Nền tảng ngôn ngữ lập trình Python 3.12: Ngôn ngữ cốt lõi phát triển toàn bộ hệ thống dịch vụ Backend nhờ cú pháp trong sáng, hệ sinh thái thư viện tài chính phong phú và khả năng tối ưu hóa bộ nhớ vượt trội.</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Hệ quản trị CSDL quan hệ Microsoft SQL Server: Lưu trữ toàn bộ dữ liệu kế toán và sổ cái bất biến, bảo đảm nghiêm ngặt các nguyên lý ACID, hỗ trợ các chỉ mục duy nhất và ràng buộc kiểm tra toàn vẹn phức tạp.</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Công nghệ giao diện người dùng Web thuần: Kết hợp HTML5, CSS3, JavaScript ES6 và Bootstrap, loại bỏ sự phụ thuộc vào các framework nặng nề, đảm bảo giao diện tải nhẹ và mượt mà trên mọi thiết bị.</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Công nghệ truyền thông hướng sự kiện Server-Sent Events (SSE): Thiết lập kênh kết nối một chiều liên tục từ máy chủ về trình duyệt, giúp thu ngân nhận được tín hiệu thanh toán thành công ngay lập tức mà không cần phải tải lại trang.</w:t>
      </w:r>
    </w:p>
    <w:p>
      <w:pPr>
        <w:spacing w:before="160" w:after="80" w:line="312" w:lineRule="auto"/>
        <w:jc w:val="left"/>
      </w:pPr>
      <w:r>
        <w:rPr>
          <w:rFonts w:ascii="Times New Roman" w:hAnsi="Times New Roman"/>
          <w:b/>
          <w:i/>
          <w:sz w:val="24"/>
        </w:rPr>
        <w:t>3.3.5. Tiến trình thử nghiệm kịch bản đề xuất và minh chứng hoạt động</w:t>
      </w:r>
    </w:p>
    <w:p>
      <w:pPr>
        <w:spacing w:before="0" w:after="120" w:line="312" w:lineRule="auto"/>
        <w:jc w:val="both"/>
      </w:pPr>
      <w:r>
        <w:rPr>
          <w:rFonts w:ascii="Times New Roman" w:hAnsi="Times New Roman"/>
          <w:b w:val="0"/>
          <w:i w:val="0"/>
          <w:sz w:val="24"/>
        </w:rPr>
        <w:t>Dưới đây là tiến trình thử nghiệm chi tiết 6 kịch bản nghiệp vụ thực tế, được minh chứng trực quan qua toàn bộ 15 hình ảnh chụp màn hình hoạt động của hệ thống:</w:t>
      </w:r>
    </w:p>
    <w:p>
      <w:pPr>
        <w:spacing w:before="120" w:after="120" w:line="312" w:lineRule="auto"/>
        <w:jc w:val="both"/>
      </w:pPr>
      <w:r>
        <w:rPr>
          <w:rFonts w:ascii="Times New Roman" w:hAnsi="Times New Roman"/>
          <w:b/>
          <w:i w:val="0"/>
          <w:sz w:val="24"/>
        </w:rPr>
        <w:t>Kịch bản 1: Khởi tạo và kích hoạt ca bán hàng mới</w:t>
      </w:r>
    </w:p>
    <w:p>
      <w:pPr>
        <w:spacing w:before="0" w:after="120" w:line="312" w:lineRule="auto"/>
        <w:jc w:val="both"/>
      </w:pPr>
      <w:r>
        <w:rPr>
          <w:rFonts w:ascii="Times New Roman" w:hAnsi="Times New Roman"/>
          <w:b w:val="0"/>
          <w:i w:val="0"/>
          <w:sz w:val="24"/>
        </w:rPr>
        <w:t>Mục tiêu thực nghiệm là khởi tạo một ca kinh doanh mới cho cửa hàng, thiết lập định mức doanh thu cam kết để làm căn cứ đối soát tài chính. Người dùng truy cập phân hệ quản lý ca. Khi cơ sở dữ liệu ở trạng thái sạch, hệ thống hiển thị bảng thông báo chưa mở ca, sẵn sàng kích hoạt ca mới.</w:t>
      </w:r>
    </w:p>
    <w:p>
      <w:pPr>
        <w:spacing w:before="240" w:after="60"/>
        <w:jc w:val="center"/>
      </w:pPr>
      <w:r>
        <w:rPr>
          <w:rFonts w:ascii="Times New Roman" w:hAnsi="Times New Roman"/>
          <w:b/>
          <w:sz w:val="22"/>
        </w:rPr>
        <w:t>Hình 5: Giao diện Quản lý ca bán hàng khi chưa kích hoạt ca</w:t>
      </w:r>
    </w:p>
    <w:p>
      <w:pPr>
        <w:spacing w:before="0" w:after="240"/>
        <w:jc w:val="center"/>
      </w:pPr>
      <w:r>
        <w:rPr>
          <w:rFonts w:ascii="Times New Roman" w:hAnsi="Times New Roman"/>
          <w:i/>
          <w:color w:val="5F5F5F"/>
          <w:sz w:val="20"/>
        </w:rPr>
        <w:t>[Ghi chú chèn ảnh minh chứng: Chụp ảnh toàn màn hình trang chủ quản lý ca tại phân hệ index khi hệ thống chưa có ca nào mở, hiển thị thông báo sẵn sàng mở ca mới]</w:t>
      </w:r>
    </w:p>
    <w:p>
      <w:pPr>
        <w:spacing w:before="0" w:after="120" w:line="312" w:lineRule="auto"/>
        <w:jc w:val="both"/>
      </w:pPr>
      <w:r>
        <w:rPr>
          <w:rFonts w:ascii="Times New Roman" w:hAnsi="Times New Roman"/>
          <w:b w:val="0"/>
          <w:i w:val="0"/>
          <w:sz w:val="24"/>
        </w:rPr>
        <w:t>Người dùng nhấp chọn mở ca mới, một biểu mẫu tương tác xuất hiện yêu cầu thiết lập các thông số hoạt động: Tên ca kinh doanh, Doanh thu mục tiêu cam kết 100.000.000 VNĐ, cùng thời gian bắt đầu và kết thúc ca.</w:t>
      </w:r>
    </w:p>
    <w:p>
      <w:pPr>
        <w:spacing w:before="240" w:after="60"/>
        <w:jc w:val="center"/>
      </w:pPr>
      <w:r>
        <w:rPr>
          <w:rFonts w:ascii="Times New Roman" w:hAnsi="Times New Roman"/>
          <w:b/>
          <w:sz w:val="22"/>
        </w:rPr>
        <w:t>Hình 6: Biểu mẫu thiết lập mục tiêu và thông tin mở ca làm việc mới</w:t>
      </w:r>
    </w:p>
    <w:p>
      <w:pPr>
        <w:spacing w:before="0" w:after="240"/>
        <w:jc w:val="center"/>
      </w:pPr>
      <w:r>
        <w:rPr>
          <w:rFonts w:ascii="Times New Roman" w:hAnsi="Times New Roman"/>
          <w:i/>
          <w:color w:val="5F5F5F"/>
          <w:sz w:val="20"/>
        </w:rPr>
        <w:t>[Ghi chú chèn ảnh minh chứng: Chụp ảnh cửa sổ biểu mẫu nhập thông tin mở ca làm việc với chỉ tiêu doanh thu cam kết 100.000.000 VNĐ và thời gian vận hành của ca]</w:t>
      </w:r>
    </w:p>
    <w:p>
      <w:pPr>
        <w:spacing w:before="0" w:after="120" w:line="312" w:lineRule="auto"/>
        <w:jc w:val="both"/>
      </w:pPr>
      <w:r>
        <w:rPr>
          <w:rFonts w:ascii="Times New Roman" w:hAnsi="Times New Roman"/>
          <w:b w:val="0"/>
          <w:i w:val="0"/>
          <w:sz w:val="24"/>
        </w:rPr>
        <w:t>Sau khi bấm xác nhận, hệ thống kiểm tra tính hợp lệ của dữ liệu, ghi một bản ghi mới với trạng thái OPEN vào cơ sở dữ liệu. Màn hình trang chủ lập tức chuyển đổi trạng thái hiển thị biểu tượng ca đang mở bán thành công, sẵn sàng chuyển tiếp sang quầy thu ngân POS.</w:t>
      </w:r>
    </w:p>
    <w:p>
      <w:pPr>
        <w:spacing w:before="240" w:after="60"/>
        <w:jc w:val="center"/>
      </w:pPr>
      <w:r>
        <w:rPr>
          <w:rFonts w:ascii="Times New Roman" w:hAnsi="Times New Roman"/>
          <w:b/>
          <w:sz w:val="22"/>
        </w:rPr>
        <w:t>Hình 7: Giao diện ca bán hàng được kích hoạt thành công trên hệ thống</w:t>
      </w:r>
    </w:p>
    <w:p>
      <w:pPr>
        <w:spacing w:before="0" w:after="240"/>
        <w:jc w:val="center"/>
      </w:pPr>
      <w:r>
        <w:rPr>
          <w:rFonts w:ascii="Times New Roman" w:hAnsi="Times New Roman"/>
          <w:i/>
          <w:color w:val="5F5F5F"/>
          <w:sz w:val="20"/>
        </w:rPr>
        <w:t>[Ghi chú chèn ảnh minh chứng: Chụp ảnh màn hình quản lý ca khi ca kinh doanh đã được kích hoạt thành công với biểu tượng ca đang hoạt động và nút chuyển hướng quầy thu ngân]</w:t>
      </w:r>
    </w:p>
    <w:p>
      <w:pPr>
        <w:spacing w:before="120" w:after="120" w:line="312" w:lineRule="auto"/>
        <w:jc w:val="both"/>
      </w:pPr>
      <w:r>
        <w:rPr>
          <w:rFonts w:ascii="Times New Roman" w:hAnsi="Times New Roman"/>
          <w:b/>
          <w:i w:val="0"/>
          <w:sz w:val="24"/>
        </w:rPr>
        <w:t>Kịch bản 2: Quầy thu ngân POS tạo đơn hàng và phát hành mã VietQR động khóa tiền</w:t>
      </w:r>
    </w:p>
    <w:p>
      <w:pPr>
        <w:spacing w:before="0" w:after="120" w:line="312" w:lineRule="auto"/>
        <w:jc w:val="both"/>
      </w:pPr>
      <w:r>
        <w:rPr>
          <w:rFonts w:ascii="Times New Roman" w:hAnsi="Times New Roman"/>
          <w:b w:val="0"/>
          <w:i w:val="0"/>
          <w:sz w:val="24"/>
        </w:rPr>
        <w:t>Mục tiêu thực nghiệm là kiểm chứng khả năng tự động tạo đơn hàng và sinh mã VietQR động khóa cứng giá trị theo tiêu chuẩn NAPAS [7]. Tại quầy thu ngân, nhân viên nhập đơn hàng ORD1001 với giá trị 40.000.000 VNĐ. Hệ thống tự động tạo mã đơn và hiển thị trong danh sách chờ thu ở trạng thái UNPAID (Chưa thanh toán).</w:t>
      </w:r>
    </w:p>
    <w:p>
      <w:pPr>
        <w:spacing w:before="240" w:after="60"/>
        <w:jc w:val="center"/>
      </w:pPr>
      <w:r>
        <w:rPr>
          <w:rFonts w:ascii="Times New Roman" w:hAnsi="Times New Roman"/>
          <w:b/>
          <w:sz w:val="22"/>
        </w:rPr>
        <w:t>Hình 8: Giao diện quầy thu ngân POS và danh sách đơn hàng chờ thanh toán</w:t>
      </w:r>
    </w:p>
    <w:p>
      <w:pPr>
        <w:spacing w:before="0" w:after="240"/>
        <w:jc w:val="center"/>
      </w:pPr>
      <w:r>
        <w:rPr>
          <w:rFonts w:ascii="Times New Roman" w:hAnsi="Times New Roman"/>
          <w:i/>
          <w:color w:val="5F5F5F"/>
          <w:sz w:val="20"/>
        </w:rPr>
        <w:t>[Ghi chú chèn ảnh minh chứng: Chụp ảnh toàn màn hình quầy thu ngân POS với biểu mẫu nhập đơn bên trái và bảng danh sách đơn hàng bên phải hiển thị đơn ORD1001 chưa thanh toán]</w:t>
      </w:r>
    </w:p>
    <w:p>
      <w:pPr>
        <w:spacing w:before="0" w:after="120" w:line="312" w:lineRule="auto"/>
        <w:jc w:val="both"/>
      </w:pPr>
      <w:r>
        <w:rPr>
          <w:rFonts w:ascii="Times New Roman" w:hAnsi="Times New Roman"/>
          <w:b w:val="0"/>
          <w:i w:val="0"/>
          <w:sz w:val="24"/>
        </w:rPr>
        <w:t>Hệ thống tự động phát hành cửa sổ hiển thị mã VietQR động theo chuẩn EMVCo và NAPAS. Mã này đã được nhúng sẵn và khóa cứng chính xác số tiền 40.000.000 VNĐ và cú pháp chuyển khoản định danh ORD1001. Khách hàng chỉ việc quét mã và bấm chuyển tiền mà không cần nhập tay bất kỳ thông tin nào.</w:t>
      </w:r>
    </w:p>
    <w:p>
      <w:pPr>
        <w:spacing w:before="240" w:after="60"/>
        <w:jc w:val="center"/>
      </w:pPr>
      <w:r>
        <w:rPr>
          <w:rFonts w:ascii="Times New Roman" w:hAnsi="Times New Roman"/>
          <w:b/>
          <w:sz w:val="22"/>
        </w:rPr>
        <w:t>Hình 9: Cửa sổ phát hành mã VietQR động khóa cứng giá trị và mã đơn hàng</w:t>
      </w:r>
    </w:p>
    <w:p>
      <w:pPr>
        <w:spacing w:before="0" w:after="240"/>
        <w:jc w:val="center"/>
      </w:pPr>
      <w:r>
        <w:rPr>
          <w:rFonts w:ascii="Times New Roman" w:hAnsi="Times New Roman"/>
          <w:i/>
          <w:color w:val="5F5F5F"/>
          <w:sz w:val="20"/>
        </w:rPr>
        <w:t>[Ghi chú chèn ảnh minh chứng: Chụp ảnh cửa sổ hiển thị mã VietQR động của đơn hàng ORD1001 hiển thị rõ số tiền 40.000.000 VNĐ và nội dung chuyển khoản được khóa cứng]</w:t>
      </w:r>
    </w:p>
    <w:p>
      <w:pPr>
        <w:spacing w:before="120" w:after="120" w:line="312" w:lineRule="auto"/>
        <w:jc w:val="both"/>
      </w:pPr>
      <w:r>
        <w:rPr>
          <w:rFonts w:ascii="Times New Roman" w:hAnsi="Times New Roman"/>
          <w:b/>
          <w:i w:val="0"/>
          <w:sz w:val="24"/>
        </w:rPr>
        <w:t>Kịch bản 3: Nhận Webhook ngân hàng và đối soát tự động khớp 100%</w:t>
      </w:r>
    </w:p>
    <w:p>
      <w:pPr>
        <w:spacing w:before="0" w:after="120" w:line="312" w:lineRule="auto"/>
        <w:jc w:val="both"/>
      </w:pPr>
      <w:r>
        <w:rPr>
          <w:rFonts w:ascii="Times New Roman" w:hAnsi="Times New Roman"/>
          <w:b w:val="0"/>
          <w:i w:val="0"/>
          <w:sz w:val="24"/>
        </w:rPr>
        <w:t>Mục tiêu thực nghiệm là kiểm tra khả năng tiếp nhận Webhook ngân hàng, xác thực chữ ký bảo mật HMAC-SHA256 và đối soát khớp chính xác 100% trong thời gian thực. Tại phân hệ cổng ngân hàng mô phỏng, người kiểm thử chọn đơn ORD1001 và kích hoạt lệnh chuyển khoản với số tiền 40.000.000 VNĐ, nội dung ghi đúng TT ORD1001.</w:t>
      </w:r>
    </w:p>
    <w:p>
      <w:pPr>
        <w:spacing w:before="240" w:after="60"/>
        <w:jc w:val="center"/>
      </w:pPr>
      <w:r>
        <w:rPr>
          <w:rFonts w:ascii="Times New Roman" w:hAnsi="Times New Roman"/>
          <w:b/>
          <w:sz w:val="22"/>
        </w:rPr>
        <w:t>Hình 10: Giao diện Cổng ngân hàng mô phỏng tiếp nhận và truyền bản tin Webhook</w:t>
      </w:r>
    </w:p>
    <w:p>
      <w:pPr>
        <w:spacing w:before="0" w:after="240"/>
        <w:jc w:val="center"/>
      </w:pPr>
      <w:r>
        <w:rPr>
          <w:rFonts w:ascii="Times New Roman" w:hAnsi="Times New Roman"/>
          <w:i/>
          <w:color w:val="5F5F5F"/>
          <w:sz w:val="20"/>
        </w:rPr>
        <w:t>[Ghi chú chèn ảnh minh chứng: Chụp ảnh phân hệ cổng ngân hàng mô phỏng khi kích hoạt gửi bản tin chuyển khoản ngân hàng thành công kèm chữ ký số bảo mật HMAC-SHA256]</w:t>
      </w:r>
    </w:p>
    <w:p>
      <w:pPr>
        <w:spacing w:before="0" w:after="120" w:line="312" w:lineRule="auto"/>
        <w:jc w:val="both"/>
      </w:pPr>
      <w:r>
        <w:rPr>
          <w:rFonts w:ascii="Times New Roman" w:hAnsi="Times New Roman"/>
          <w:b w:val="0"/>
          <w:i w:val="0"/>
          <w:sz w:val="24"/>
        </w:rPr>
        <w:t>Hệ thống tiếp nhận bản tin Webhook, xác thực chữ ký số HMAC hoàn toàn hợp lệ, kiểm tra mã giao dịch duy nhất chưa từng xuất hiện trong CSDL và kích hoạt động cơ đối soát. Dữ liệu khớp chính xác 100%: đơn hàng ORD1001 lập tức được cập nhật sang trạng thái PAID (Đã thanh toán đủ), đồng thời tín hiệu thời gian thực được đẩy qua kênh Server-Sent Events về quầy thu ngân. Màn hình thu ngân tự động chuyển sang thông báo màu xanh xác nhận giao dịch thành công tức thì mà không cần tải lại trang.</w:t>
      </w:r>
    </w:p>
    <w:p>
      <w:pPr>
        <w:spacing w:before="240" w:after="60"/>
        <w:jc w:val="center"/>
      </w:pPr>
      <w:r>
        <w:rPr>
          <w:rFonts w:ascii="Times New Roman" w:hAnsi="Times New Roman"/>
          <w:b/>
          <w:sz w:val="22"/>
        </w:rPr>
        <w:t>Hình 11: Màn hình thu ngân nhận thông báo xác nhận thanh toán thành công tức thì</w:t>
      </w:r>
    </w:p>
    <w:p>
      <w:pPr>
        <w:spacing w:before="0" w:after="240"/>
        <w:jc w:val="center"/>
      </w:pPr>
      <w:r>
        <w:rPr>
          <w:rFonts w:ascii="Times New Roman" w:hAnsi="Times New Roman"/>
          <w:i/>
          <w:color w:val="5F5F5F"/>
          <w:sz w:val="20"/>
        </w:rPr>
        <w:t>[Ghi chú chèn ảnh minh chứng: Chụp ảnh màn hình quầy thu ngân POS khi đơn hàng ORD1001 đã tự động chuyển sang trạng thái PAID màu xanh lá cây và hiển thị thông báo thu đủ tiền]</w:t>
      </w:r>
    </w:p>
    <w:p>
      <w:pPr>
        <w:spacing w:before="120" w:after="120" w:line="312" w:lineRule="auto"/>
        <w:jc w:val="both"/>
      </w:pPr>
      <w:r>
        <w:rPr>
          <w:rFonts w:ascii="Times New Roman" w:hAnsi="Times New Roman"/>
          <w:b/>
          <w:i w:val="0"/>
          <w:sz w:val="24"/>
        </w:rPr>
        <w:t>Kịch bản 4: Xử lý ngoại lệ khách hàng chuyển thiếu tiền và tự động cộng dồn lũy kế</w:t>
      </w:r>
    </w:p>
    <w:p>
      <w:pPr>
        <w:spacing w:before="0" w:after="120" w:line="312" w:lineRule="auto"/>
        <w:jc w:val="both"/>
      </w:pPr>
      <w:r>
        <w:rPr>
          <w:rFonts w:ascii="Times New Roman" w:hAnsi="Times New Roman"/>
          <w:b w:val="0"/>
          <w:i w:val="0"/>
          <w:sz w:val="24"/>
        </w:rPr>
        <w:t>Mục tiêu thực nghiệm là kiểm chứng trí thông minh của động cơ đối soát trong việc phát hiện khách hàng gõ nhầm chuyển thiếu tiền, và khả năng tự động cộng dồn nhiều lần chuyển tiền cho một đơn hàng. Tại quầy thu ngân, nhân viên tạo đơn hàng ORD1003 trị giá 15.000.000 VNĐ. Khách hàng thực hiện chuyển khoản lần 1 nhưng chỉ chuyển 10.000.000 VNĐ (thiếu 5.000.000 VNĐ). Động cơ đối soát phát hiện chênh lệch, tự động chuyển đơn sang trạng thái PARTIALLY_PAID (Thanh toán một phần) và hiển thị cảnh báo nổi bật màu vàng cam trên màn hình thu ngân.</w:t>
      </w:r>
    </w:p>
    <w:p>
      <w:pPr>
        <w:spacing w:before="240" w:after="60"/>
        <w:jc w:val="center"/>
      </w:pPr>
      <w:r>
        <w:rPr>
          <w:rFonts w:ascii="Times New Roman" w:hAnsi="Times New Roman"/>
          <w:b/>
          <w:sz w:val="22"/>
        </w:rPr>
        <w:t>Hình 12: Cảnh báo đơn hàng thanh toán thiếu tiền và tự động cộng dồn lũy kế</w:t>
      </w:r>
    </w:p>
    <w:p>
      <w:pPr>
        <w:spacing w:before="0" w:after="240"/>
        <w:jc w:val="center"/>
      </w:pPr>
      <w:r>
        <w:rPr>
          <w:rFonts w:ascii="Times New Roman" w:hAnsi="Times New Roman"/>
          <w:i/>
          <w:color w:val="5F5F5F"/>
          <w:sz w:val="20"/>
        </w:rPr>
        <w:t>[Ghi chú chèn ảnh minh chứng: Chụp ảnh cảnh báo đơn hàng nhận thiếu tiền trên giao diện thu ngân hiển thị rõ số tiền đã nhận 10 triệu và số tiền còn thiếu 5 triệu đồng]</w:t>
      </w:r>
    </w:p>
    <w:p>
      <w:pPr>
        <w:spacing w:before="0" w:after="120" w:line="312" w:lineRule="auto"/>
        <w:jc w:val="both"/>
      </w:pPr>
      <w:r>
        <w:rPr>
          <w:rFonts w:ascii="Times New Roman" w:hAnsi="Times New Roman"/>
          <w:b w:val="0"/>
          <w:i w:val="0"/>
          <w:sz w:val="24"/>
        </w:rPr>
        <w:t>Khách hàng thực hiện chuyển tiếp số tiền 5.000.000 VNĐ lần hai với cùng nội dung đơn hàng. Động cơ đối soát tiếp nhận bản tin Webhook lần 2, tự động tính tổng lũy kế các lần chuyển (10tr + 5tr = 15tr, đạt 100% giá trị đơn hàng), ghi nhận bản ghi băm thứ hai vào sổ cái và chính thức hoàn tất đơn hàng sang trạng thái PAID thành công.</w:t>
      </w:r>
    </w:p>
    <w:p>
      <w:pPr>
        <w:spacing w:before="120" w:after="120" w:line="312" w:lineRule="auto"/>
        <w:jc w:val="both"/>
      </w:pPr>
      <w:r>
        <w:rPr>
          <w:rFonts w:ascii="Times New Roman" w:hAnsi="Times New Roman"/>
          <w:b/>
          <w:i w:val="0"/>
          <w:sz w:val="24"/>
        </w:rPr>
        <w:t>Kịch bản 5: Xử lý đối soát lệch nội dung và can thiệp bằng sinh trắc học WebAuthn</w:t>
      </w:r>
    </w:p>
    <w:p>
      <w:pPr>
        <w:spacing w:before="0" w:after="120" w:line="312" w:lineRule="auto"/>
        <w:jc w:val="both"/>
      </w:pPr>
      <w:r>
        <w:rPr>
          <w:rFonts w:ascii="Times New Roman" w:hAnsi="Times New Roman"/>
          <w:b w:val="0"/>
          <w:i w:val="0"/>
          <w:sz w:val="24"/>
        </w:rPr>
        <w:t>Mục tiêu thực nghiệm là kiểm chứng khả năng xử lý các giao dịch khách hàng chuyển tiền nhưng không ghi mã đơn hàng (tiền treo), và quy trình phê duyệt can thiệp thủ công có xác thực chữ ký số sinh trắc học FIDO2/WebAuthn [12]. Tài khoản ngân hàng nhận được một khoản tiền 5.000.000 VNĐ với nội dung chung chung "Nguyen Van A chuyen tien". Kế toán truy cập phân hệ đối soát nâng cao, hệ thống tự động gợi ý đơn hàng phù hợp có giá trị tương ứng.</w:t>
      </w:r>
    </w:p>
    <w:p>
      <w:pPr>
        <w:spacing w:before="240" w:after="60"/>
        <w:jc w:val="center"/>
      </w:pPr>
      <w:r>
        <w:rPr>
          <w:rFonts w:ascii="Times New Roman" w:hAnsi="Times New Roman"/>
          <w:b/>
          <w:sz w:val="22"/>
        </w:rPr>
        <w:t>Hình 13: Màn hình xử lý đối soát nâng cao cho các đơn hàng chuyển sai nội dung</w:t>
      </w:r>
    </w:p>
    <w:p>
      <w:pPr>
        <w:spacing w:before="0" w:after="240"/>
        <w:jc w:val="center"/>
      </w:pPr>
      <w:r>
        <w:rPr>
          <w:rFonts w:ascii="Times New Roman" w:hAnsi="Times New Roman"/>
          <w:i/>
          <w:color w:val="5F5F5F"/>
          <w:sz w:val="20"/>
        </w:rPr>
        <w:t>[Ghi chú chèn ảnh minh chứng: Chụp ảnh phân hệ đối soát nâng cao hiển thị danh sách các khoản tiền treo ngân hàng chưa được gán kèm công cụ tìm kiếm và ghép đơn]</w:t>
      </w:r>
    </w:p>
    <w:p>
      <w:pPr>
        <w:spacing w:before="0" w:after="120" w:line="312" w:lineRule="auto"/>
        <w:jc w:val="both"/>
      </w:pPr>
      <w:r>
        <w:rPr>
          <w:rFonts w:ascii="Times New Roman" w:hAnsi="Times New Roman"/>
          <w:b w:val="0"/>
          <w:i w:val="0"/>
          <w:sz w:val="24"/>
        </w:rPr>
        <w:t>Kế toán thực hiện thao tác ghép khoản tiền treo vào đơn hàng hợp lệ và nhập lý do giải trình. Nhằm ngăn chặn hành vi thông đồng gian lận nội bộ, hệ thống lập tức kích hoạt cửa sổ xác thực an ninh sinh trắc học WebAuthn, yêu cầu người duyệt phải quét vân tay hoặc nhận diện khuôn mặt trên thiết bị để ký số chứng thực.</w:t>
      </w:r>
    </w:p>
    <w:p>
      <w:pPr>
        <w:spacing w:before="240" w:after="60"/>
        <w:jc w:val="center"/>
      </w:pPr>
      <w:r>
        <w:rPr>
          <w:rFonts w:ascii="Times New Roman" w:hAnsi="Times New Roman"/>
          <w:b/>
          <w:sz w:val="22"/>
        </w:rPr>
        <w:t>Hình 14: Hộp thoại xác thực sinh trắc học không mật khẩu WebAuthn/FIDO2 khi duyệt ghép đơn</w:t>
      </w:r>
    </w:p>
    <w:p>
      <w:pPr>
        <w:spacing w:before="0" w:after="240"/>
        <w:jc w:val="center"/>
      </w:pPr>
      <w:r>
        <w:rPr>
          <w:rFonts w:ascii="Times New Roman" w:hAnsi="Times New Roman"/>
          <w:i/>
          <w:color w:val="5F5F5F"/>
          <w:sz w:val="20"/>
        </w:rPr>
        <w:t>[Ghi chú chèn ảnh minh chứng: Chụp ảnh cửa sổ thông báo bảo mật sinh trắc học WebAuthn của trình duyệt yêu cầu quét vân tay hoặc xác thực thiết bị để hoàn tất ký số]</w:t>
      </w:r>
    </w:p>
    <w:p>
      <w:pPr>
        <w:spacing w:before="0" w:after="120" w:line="312" w:lineRule="auto"/>
        <w:jc w:val="both"/>
      </w:pPr>
      <w:r>
        <w:rPr>
          <w:rFonts w:ascii="Times New Roman" w:hAnsi="Times New Roman"/>
          <w:b w:val="0"/>
          <w:i w:val="0"/>
          <w:sz w:val="24"/>
        </w:rPr>
        <w:t>Sau khi xác thực sinh trắc học thành công, hệ thống ghi nhận quyết định vào bảng decisions kèm chữ ký số và cập nhật đơn hàng thành công, lưu lại toàn bộ dấu vết kiểm toán độc lập.</w:t>
      </w:r>
    </w:p>
    <w:p>
      <w:pPr>
        <w:spacing w:before="240" w:after="60"/>
        <w:jc w:val="center"/>
      </w:pPr>
      <w:r>
        <w:rPr>
          <w:rFonts w:ascii="Times New Roman" w:hAnsi="Times New Roman"/>
          <w:b/>
          <w:sz w:val="22"/>
        </w:rPr>
        <w:t>Hình 15: Giao diện nhật ký giải trình quyết định đối soát ngoại lệ được ghi nhận thành công</w:t>
      </w:r>
    </w:p>
    <w:p>
      <w:pPr>
        <w:spacing w:before="0" w:after="240"/>
        <w:jc w:val="center"/>
      </w:pPr>
      <w:r>
        <w:rPr>
          <w:rFonts w:ascii="Times New Roman" w:hAnsi="Times New Roman"/>
          <w:i/>
          <w:color w:val="5F5F5F"/>
          <w:sz w:val="20"/>
        </w:rPr>
        <w:t>[Ghi chú chèn ảnh minh chứng: Chụp ảnh bảng nhật ký giải trình hiển thị quyết định can thiệp thủ công đã được phê duyệt kèm chữ ký số xác thực sinh trắc học]</w:t>
      </w:r>
    </w:p>
    <w:p>
      <w:pPr>
        <w:spacing w:before="120" w:after="120" w:line="312" w:lineRule="auto"/>
        <w:jc w:val="both"/>
      </w:pPr>
      <w:r>
        <w:rPr>
          <w:rFonts w:ascii="Times New Roman" w:hAnsi="Times New Roman"/>
          <w:b/>
          <w:i w:val="0"/>
          <w:sz w:val="24"/>
        </w:rPr>
        <w:t>Kịch bản 6: Báo cáo tài chính Dashboard và kiểm toán toàn vẹn Sổ cái SHA-256 / Merkle Root</w:t>
      </w:r>
    </w:p>
    <w:p>
      <w:pPr>
        <w:spacing w:before="0" w:after="120" w:line="312" w:lineRule="auto"/>
        <w:jc w:val="both"/>
      </w:pPr>
      <w:r>
        <w:rPr>
          <w:rFonts w:ascii="Times New Roman" w:hAnsi="Times New Roman"/>
          <w:b w:val="0"/>
          <w:i w:val="0"/>
          <w:sz w:val="24"/>
        </w:rPr>
        <w:t>Mục tiêu thực nghiệm là kiểm chứng sự chuẩn xác của các công thức tài chính trên bảng điều khiển Dashboard và kiểm tra tính bất biến của chuỗi băm Sổ cái / Cây Merkle [13]. Kết thúc ca bán hàng, người quản lý truy cập phân hệ Báo cáo &amp; Sổ quỹ. Hệ thống hiển thị trực quan 5 thẻ chỉ tiêu tài chính cốt lõi hoàn toàn khớp đúng với bộ số liệu kiểm thử chuẩn mực (100tr cam kết, 90tr xuất QR, 75tr thực thu, 10tr chưa xuất QR, 15tr chờ thu).</w:t>
      </w:r>
    </w:p>
    <w:p>
      <w:pPr>
        <w:spacing w:before="240" w:after="60"/>
        <w:jc w:val="center"/>
      </w:pPr>
      <w:r>
        <w:rPr>
          <w:rFonts w:ascii="Times New Roman" w:hAnsi="Times New Roman"/>
          <w:b/>
          <w:sz w:val="22"/>
        </w:rPr>
        <w:t>Hình 16: Giao diện Báo cáo tài chính Dashboard với 5 chỉ tiêu KPI cốt lõi</w:t>
      </w:r>
    </w:p>
    <w:p>
      <w:pPr>
        <w:spacing w:before="0" w:after="240"/>
        <w:jc w:val="center"/>
      </w:pPr>
      <w:r>
        <w:rPr>
          <w:rFonts w:ascii="Times New Roman" w:hAnsi="Times New Roman"/>
          <w:i/>
          <w:color w:val="5F5F5F"/>
          <w:sz w:val="20"/>
        </w:rPr>
        <w:t>[Ghi chú chèn ảnh minh chứng: Chụp ảnh toàn màn hình trang Dashboard hiển thị 5 thẻ chỉ tiêu tài chính lớn với các con số chuẩn xác và tiến độ hoàn thành ca]</w:t>
      </w:r>
    </w:p>
    <w:p>
      <w:pPr>
        <w:spacing w:before="0" w:after="120" w:line="312" w:lineRule="auto"/>
        <w:jc w:val="both"/>
      </w:pPr>
      <w:r>
        <w:rPr>
          <w:rFonts w:ascii="Times New Roman" w:hAnsi="Times New Roman"/>
          <w:b w:val="0"/>
          <w:i w:val="0"/>
          <w:sz w:val="24"/>
        </w:rPr>
        <w:t>Hệ thống biểu đồ Chart.js tự động trực quan hóa cơ cấu phân bổ dòng tiền: tỷ lệ phần trăm tiền đã thực thu đối soát thành công (75%), tiền đang chờ thanh toán (15%) và hạn mức chưa phát hành (10%).</w:t>
      </w:r>
    </w:p>
    <w:p>
      <w:pPr>
        <w:spacing w:before="240" w:after="60"/>
        <w:jc w:val="center"/>
      </w:pPr>
      <w:r>
        <w:rPr>
          <w:rFonts w:ascii="Times New Roman" w:hAnsi="Times New Roman"/>
          <w:b/>
          <w:sz w:val="22"/>
        </w:rPr>
        <w:t>Hình 17: Biểu đồ tròn phân tích cơ cấu phân bổ dòng tiền trong ca kinh doanh</w:t>
      </w:r>
    </w:p>
    <w:p>
      <w:pPr>
        <w:spacing w:before="0" w:after="240"/>
        <w:jc w:val="center"/>
      </w:pPr>
      <w:r>
        <w:rPr>
          <w:rFonts w:ascii="Times New Roman" w:hAnsi="Times New Roman"/>
          <w:i/>
          <w:color w:val="5F5F5F"/>
          <w:sz w:val="20"/>
        </w:rPr>
        <w:t>[Ghi chú chèn ảnh minh chứng: Chụp ảnh biểu đồ tròn phân tích cơ cấu dòng tiền hiển thị tỷ trọng phân bổ chính xác của các nhóm doanh thu trong ca bán hàng]</w:t>
      </w:r>
    </w:p>
    <w:p>
      <w:pPr>
        <w:spacing w:before="0" w:after="120" w:line="312" w:lineRule="auto"/>
        <w:jc w:val="both"/>
      </w:pPr>
      <w:r>
        <w:rPr>
          <w:rFonts w:ascii="Times New Roman" w:hAnsi="Times New Roman"/>
          <w:b w:val="0"/>
          <w:i w:val="0"/>
          <w:sz w:val="24"/>
        </w:rPr>
        <w:t>Người dùng cuộn xuống khu vực kiểm toán mật mã học. Hệ thống thực thi giải thuật quét toàn bộ chuỗi băm Sổ cái và hiển thị huy hiệu xác nhận: "Trạng thái sổ cái: Toàn vẹn tuyệt đối — 100% bản ghi hợp lệ". Bảng chi tiết liệt kê chuỗi băm liên kết SHA-256 từ bản ghi gốc (GENESIS) đến giao dịch cuối cùng.</w:t>
      </w:r>
    </w:p>
    <w:p>
      <w:pPr>
        <w:spacing w:before="240" w:after="60"/>
        <w:jc w:val="center"/>
      </w:pPr>
      <w:r>
        <w:rPr>
          <w:rFonts w:ascii="Times New Roman" w:hAnsi="Times New Roman"/>
          <w:b/>
          <w:sz w:val="22"/>
        </w:rPr>
        <w:t>Hình 18: Bảng kiểm toán tính toàn vẹn của chuỗi băm Sổ cái SHA-256</w:t>
      </w:r>
    </w:p>
    <w:p>
      <w:pPr>
        <w:spacing w:before="0" w:after="240"/>
        <w:jc w:val="center"/>
      </w:pPr>
      <w:r>
        <w:rPr>
          <w:rFonts w:ascii="Times New Roman" w:hAnsi="Times New Roman"/>
          <w:i/>
          <w:color w:val="5F5F5F"/>
          <w:sz w:val="20"/>
        </w:rPr>
        <w:t>[Ghi chú chèn ảnh minh chứng: Chụp ảnh bảng kiểm toán mật mã học hiển thị danh sách các khối sổ cái kèm chuỗi băm SHA-256 và huy hiệu xác nhận tính toàn vẹn 100%]</w:t>
      </w:r>
    </w:p>
    <w:p>
      <w:pPr>
        <w:spacing w:before="0" w:after="120" w:line="312" w:lineRule="auto"/>
        <w:jc w:val="both"/>
      </w:pPr>
      <w:r>
        <w:rPr>
          <w:rFonts w:ascii="Times New Roman" w:hAnsi="Times New Roman"/>
          <w:b w:val="0"/>
          <w:i w:val="0"/>
          <w:sz w:val="24"/>
        </w:rPr>
        <w:t>Cuối cùng, hệ thống trực quan hóa cấu trúc Cây Merkle và tính toán giá trị băm Merkle Root duy nhất để niêm phong chứng từ kiểm toán chốt ca làm việc, hoàn tất vòng đời đối soát an toàn tuyệt đối.</w:t>
      </w:r>
    </w:p>
    <w:p>
      <w:pPr>
        <w:spacing w:before="240" w:after="60"/>
        <w:jc w:val="center"/>
      </w:pPr>
      <w:r>
        <w:rPr>
          <w:rFonts w:ascii="Times New Roman" w:hAnsi="Times New Roman"/>
          <w:b/>
          <w:sz w:val="22"/>
        </w:rPr>
        <w:t>Hình 19: Cấu trúc Cây Merkle trực quan hóa và giá trị Merkle Root niêm phong ca làm việc</w:t>
      </w:r>
    </w:p>
    <w:p>
      <w:pPr>
        <w:spacing w:before="0" w:after="240"/>
        <w:jc w:val="center"/>
      </w:pPr>
      <w:r>
        <w:rPr>
          <w:rFonts w:ascii="Times New Roman" w:hAnsi="Times New Roman"/>
          <w:i/>
          <w:color w:val="5F5F5F"/>
          <w:sz w:val="20"/>
        </w:rPr>
        <w:t>[Ghi chú chèn ảnh minh chứng: Chụp ảnh cây Merkle trực quan hóa hiển thị các nút lá giao dịch, các nút trung gian và giá trị Merkle Root niêm phong chốt ca]</w:t>
      </w:r>
    </w:p>
    <w:p>
      <w:r>
        <w:br w:type="page"/>
      </w:r>
    </w:p>
    <w:p>
      <w:pPr>
        <w:spacing w:before="320" w:after="160" w:line="312" w:lineRule="auto"/>
        <w:jc w:val="left"/>
      </w:pPr>
      <w:r>
        <w:rPr>
          <w:rFonts w:ascii="Times New Roman" w:hAnsi="Times New Roman"/>
          <w:b/>
          <w:i w:val="0"/>
          <w:color w:val="102C57"/>
          <w:sz w:val="28"/>
        </w:rPr>
        <w:t>CHƯƠNG 4: ĐÁNH GIÁ TÍNH KHẢ THI VÀ ĐỀ XUẤT, KHUYẾN NGHỊ</w:t>
      </w:r>
    </w:p>
    <w:p>
      <w:pPr>
        <w:spacing w:before="240" w:after="120" w:line="312" w:lineRule="auto"/>
        <w:jc w:val="left"/>
      </w:pPr>
      <w:r>
        <w:rPr>
          <w:rFonts w:ascii="Times New Roman" w:hAnsi="Times New Roman"/>
          <w:b/>
          <w:i w:val="0"/>
          <w:color w:val="1F4690"/>
          <w:sz w:val="26"/>
        </w:rPr>
        <w:t>4.1. Đánh giá tính khả thi của bài toán</w:t>
      </w:r>
    </w:p>
    <w:p>
      <w:pPr>
        <w:spacing w:before="0" w:after="120" w:line="312" w:lineRule="auto"/>
        <w:jc w:val="both"/>
      </w:pPr>
      <w:r>
        <w:rPr>
          <w:rFonts w:ascii="Times New Roman" w:hAnsi="Times New Roman"/>
          <w:b w:val="0"/>
          <w:i w:val="0"/>
          <w:sz w:val="24"/>
        </w:rPr>
        <w:t>Từ thực tiễn khảo sát thị trường thanh toán số bán lẻ và kết quả thực nghiệm hoàn chỉnh của đề tài trong khuôn khổ Bài kiểm tra số 2, nhóm nghiên cứu tiến hành đánh giá toàn diện tính khả thi của giải pháp trên các khía cạnh cốt lõi:</w:t>
      </w:r>
    </w:p>
    <w:p>
      <w:pPr>
        <w:spacing w:before="160" w:after="80" w:line="312" w:lineRule="auto"/>
        <w:jc w:val="left"/>
      </w:pPr>
      <w:r>
        <w:rPr>
          <w:rFonts w:ascii="Times New Roman" w:hAnsi="Times New Roman"/>
          <w:b/>
          <w:i/>
          <w:sz w:val="24"/>
        </w:rPr>
        <w:t>4.1.1. Đánh giá cấu trúc chi phí</w:t>
      </w:r>
    </w:p>
    <w:p>
      <w:pPr>
        <w:spacing w:before="0" w:after="120" w:line="312" w:lineRule="auto"/>
        <w:jc w:val="both"/>
      </w:pPr>
      <w:r>
        <w:rPr>
          <w:rFonts w:ascii="Times New Roman" w:hAnsi="Times New Roman"/>
          <w:b w:val="0"/>
          <w:i w:val="0"/>
          <w:sz w:val="24"/>
        </w:rPr>
        <w:t>Dựa trên phạm vi triển khai và quy mô vận hành thực tế, nhóm đánh giá cấu trúc chi phí của mô hình ở mức đặc biệt tối ưu, phù hợp với năng lực tài chính của các dự án khởi nghiệp công nghệ tài chính:</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Chi phí xây dựng nền tảng công nghệ: Việc tận dụng toàn bộ hệ sinh thái phần mềm mã nguồn mở chuẩn mực (Python, FastAPI, Linux, HTML5/CSS3) giúp tiết kiệm 100% chi phí mua bản quyền phần mềm nền tảng ban đầu.</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Chi phí hạ tầng máy chủ vận hành: Nhờ kiến trúc bất đồng bộ (Asynchronous I/O) tối ưu hóa tài nguyên, một máy chủ đám mây cấu hình tiêu chuẩn có thể phục vụ đồng thời hàng trăm cửa hàng bán lẻ với chi phí duy trì hàng tháng chỉ từ 1.500.000 đến 3.000.000 VNĐ.</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Chi phí kết nối hạ tầng dữ liệu ngân hàng: Chi phí bản quyền cổng Webhook Open Banking theo lưu lượng giao dịch thực tế ở mức rất thấp, trung bình chỉ từ 100 đến 300 VNĐ trên một giao dịch thành công.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Chi phí triển khai tại điểm bán: Bằng 0 VNĐ về phần cứng, do hộ kinh doanh sử dụng trực tiếp điện thoại, máy tính bảng hoặc máy tính xách tay có sẵn tại quầy mà không cần mua thêm máy quẹt thẻ POS đắt tiền.</w:t>
      </w:r>
    </w:p>
    <w:p>
      <w:pPr>
        <w:spacing w:before="160" w:after="80" w:line="312" w:lineRule="auto"/>
        <w:jc w:val="left"/>
      </w:pPr>
      <w:r>
        <w:rPr>
          <w:rFonts w:ascii="Times New Roman" w:hAnsi="Times New Roman"/>
          <w:b/>
          <w:i/>
          <w:sz w:val="24"/>
        </w:rPr>
        <w:t>4.1.2. Dự báo doanh thu và biên lợi nhuận</w:t>
      </w:r>
    </w:p>
    <w:p>
      <w:pPr>
        <w:spacing w:before="0" w:after="120" w:line="312" w:lineRule="auto"/>
        <w:jc w:val="both"/>
      </w:pPr>
      <w:r>
        <w:rPr>
          <w:rFonts w:ascii="Times New Roman" w:hAnsi="Times New Roman"/>
          <w:b w:val="0"/>
          <w:i w:val="0"/>
          <w:sz w:val="24"/>
        </w:rPr>
        <w:t>Dựa trên mô hình kinh doanh phần mềm dịch vụ (SaaS) và kết quả phân tích quy mô thị trường mục tiêu, nền tảng sở hữu tiềm năng sinh lời rất lớn với các dòng doanh thu ổn định:</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Doanh thu thuê bao dịch vụ cốt lõi: Với mức phí dịch vụ định kỳ từ 99.000 đến 199.000 VNĐ/tháng/cửa hàng, khi đạt quy mô 1.000 điểm bán hoạt động thường xuyên, doanh thu định kỳ hàng tháng (MRR) ước tính đạt từ 100 đến 200 triệu VNĐ, tương đương doanh thu hàng năm từ 1,2 đến 2,4 tỷ VNĐ.</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Doanh thu từ các gói tính năng giá trị gia tăng: Cung cấp các phân hệ kiểm toán dữ liệu chuyên sâu cho chuỗi cửa hàng, tích hợp hóa đơn điện tử máy tính tiền tự động hoặc gói lưu trữ chứng từ kiểm toán trên 5 năm phục vụ quyết toán thuế.</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Biên lợi nhuận gộp kỳ vọng: Do chi phí biến đổi trên mỗi khách hàng bổ sung là rất nhỏ, biên lợi nhuận gộp của mô hình ước tính đạt trên 65% khi hệ thống vượt qua điểm hòa vốn.</w:t>
      </w:r>
    </w:p>
    <w:p>
      <w:pPr>
        <w:spacing w:before="160" w:after="80" w:line="312" w:lineRule="auto"/>
        <w:jc w:val="left"/>
      </w:pPr>
      <w:r>
        <w:rPr>
          <w:rFonts w:ascii="Times New Roman" w:hAnsi="Times New Roman"/>
          <w:b/>
          <w:i/>
          <w:sz w:val="24"/>
        </w:rPr>
        <w:t>4.1.3. Khả năng hoàn vốn đầu tư</w:t>
      </w:r>
    </w:p>
    <w:p>
      <w:pPr>
        <w:spacing w:before="0" w:after="120" w:line="312" w:lineRule="auto"/>
        <w:jc w:val="both"/>
      </w:pPr>
      <w:r>
        <w:rPr>
          <w:rFonts w:ascii="Times New Roman" w:hAnsi="Times New Roman"/>
          <w:b w:val="0"/>
          <w:i w:val="0"/>
          <w:sz w:val="24"/>
        </w:rPr>
        <w:t>Dựa trên mối tương quan giữa chi phí đầu tư phát triển ban đầu, chi phí duy trì hạ tầng hàng tháng và các nguồn doanh thu thuê bao dự kiến, nhóm đánh giá dự án có khả năng hoàn vốn đầu tư rất nhanh chóng: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Điểm hòa vốn (Break-even Point): Dự án chỉ cần thu hút và duy trì tối thiểu từ 250 đến 300 điểm bán lẻ trả phí định kỳ là đã có thể trang trải toàn bộ chi phí vận hành hạ tầng và nhân sự hỗ trợ.</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Thời gian hoàn vốn dự kiến: Với tốc độ tiếp cận thị trường và chuyển đổi khách hàng thực tế thông qua các kênh tiếp thị số và mạng lưới đối tác quầy thu ngân, thời gian hoàn vốn đầu tư ban đầu ước tính chỉ từ 6 đến 9 tháng kể từ thời điểm chính thức thương mại hóa.</w:t>
      </w:r>
    </w:p>
    <w:p>
      <w:pPr>
        <w:spacing w:before="160" w:after="80" w:line="312" w:lineRule="auto"/>
        <w:jc w:val="left"/>
      </w:pPr>
      <w:r>
        <w:rPr>
          <w:rFonts w:ascii="Times New Roman" w:hAnsi="Times New Roman"/>
          <w:b/>
          <w:i/>
          <w:sz w:val="24"/>
        </w:rPr>
        <w:t>4.1.4. Tính khả thi về mặt kỹ thuật và công nghệ</w:t>
      </w:r>
    </w:p>
    <w:p>
      <w:pPr>
        <w:spacing w:before="0" w:after="120" w:line="312" w:lineRule="auto"/>
        <w:jc w:val="both"/>
      </w:pPr>
      <w:r>
        <w:rPr>
          <w:rFonts w:ascii="Times New Roman" w:hAnsi="Times New Roman"/>
          <w:b w:val="0"/>
          <w:i w:val="0"/>
          <w:sz w:val="24"/>
        </w:rPr>
        <w:t>Xét trên khía cạnh công nghệ phần mềm, toàn bộ các giải pháp kỹ thuật của đề tài đã đạt độ chín muồi và sẵn sàng vận hành ổn định trong môi trường thực tế:</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Hạ tầng chuyển mạch quốc gia và tiêu chuẩn VietQR: Hệ thống thanh toán liên ngân hàng 24/7 của NAPAS và tiêu chuẩn nhận diện mã VietQR [7] đã phủ sóng 100% các ngân hàng thương mại tại Việt Nam, đảm bảo mọi khách hàng đều có thể quét mã thanh toán tức thời.</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Chuẩn bảo mật dữ liệu toàn cầu: Các cơ chế xác thực Webhook HMAC-SHA256 [9], Sổ cái bất biến SHA-256 [10], Cây Merkle [13] và chuẩn xác thực sinh trắc học WebAuthn [12] đều là các tiêu chuẩn mở quốc tế đã được kiểm chứng an ninh nghiêm ngặt, không phụ thuộc vào bất kỳ công nghệ độc quyền nào.</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Khả năng mở rộng hệ thống (Scalability): Kiến trúc Client–Server phân tầng và CSDL quan hệ Microsoft SQL Server cho phép hệ thống dễ dàng nâng cấp mở rộng tài nguyên (Scale-up và Scale-out) để phục vụ hàng triệu giao dịch mỗi ngày mà không làm suy giảm hiệu năng.</w:t>
      </w:r>
    </w:p>
    <w:p>
      <w:pPr>
        <w:spacing w:before="160" w:after="80" w:line="312" w:lineRule="auto"/>
        <w:jc w:val="left"/>
      </w:pPr>
      <w:r>
        <w:rPr>
          <w:rFonts w:ascii="Times New Roman" w:hAnsi="Times New Roman"/>
          <w:b/>
          <w:i/>
          <w:sz w:val="24"/>
        </w:rPr>
        <w:t>4.1.5. Đánh giá rủi ro và giải pháp phòng ngừa</w:t>
      </w:r>
    </w:p>
    <w:p>
      <w:pPr>
        <w:spacing w:before="0" w:after="120" w:line="312" w:lineRule="auto"/>
        <w:jc w:val="both"/>
      </w:pPr>
      <w:r>
        <w:rPr>
          <w:rFonts w:ascii="Times New Roman" w:hAnsi="Times New Roman"/>
          <w:b w:val="0"/>
          <w:i w:val="0"/>
          <w:sz w:val="24"/>
        </w:rPr>
        <w:t>Bên cạnh các yếu tố thuận lợi, nhóm cũng nhận diện rõ các rủi ro vận hành tiềm ẩn và xây dựng các giải pháp kiểm soát chủ động (Bảng 6):</w:t>
      </w:r>
    </w:p>
    <w:tbl>
      <w:tblPr>
        <w:tblW w:type="auto" w:w="0"/>
        <w:jc w:val="center"/>
        <w:tblLook w:firstColumn="1" w:firstRow="1" w:lastColumn="0" w:lastRow="0" w:noHBand="0" w:noVBand="1" w:val="04A0"/>
        <w:tblBorders>
          <w:top w:val="single" w:sz="6" w:space="0" w:color="CCCCCC"/>
          <w:left w:val="single" w:sz="6" w:space="0" w:color="CCCCCC"/>
          <w:bottom w:val="single" w:sz="8" w:space="0" w:color="888888"/>
          <w:right w:val="single" w:sz="6" w:space="0" w:color="CCCCCC"/>
          <w:insideH w:val="single" w:sz="4" w:space="0" w:color="E0E0E0"/>
          <w:insideV w:val="single" w:sz="4" w:space="0" w:color="E0E0E0"/>
        </w:tblBorders>
      </w:tblPr>
      <w:tblGrid>
        <w:gridCol w:w="3024"/>
        <w:gridCol w:w="3024"/>
        <w:gridCol w:w="3024"/>
      </w:tblGrid>
      <w:tr>
        <w:tc>
          <w:tcPr>
            <w:tcW w:type="dxa" w:w="3024"/>
            <w:vAlign w:val="center"/>
            <w:shd w:fill="D9E4F5"/>
          </w:tcPr>
          <w:p>
            <w:pPr>
              <w:spacing w:before="40" w:after="40" w:line="276" w:lineRule="auto"/>
              <w:jc w:val="center"/>
            </w:pPr>
            <w:r>
              <w:rPr>
                <w:rFonts w:ascii="Times New Roman" w:hAnsi="Times New Roman"/>
                <w:b/>
                <w:i w:val="0"/>
                <w:sz w:val="20"/>
              </w:rPr>
              <w:t>Nhóm rủi ro nhận diện</w:t>
            </w:r>
          </w:p>
        </w:tc>
        <w:tc>
          <w:tcPr>
            <w:tcW w:type="dxa" w:w="3024"/>
            <w:vAlign w:val="center"/>
            <w:shd w:fill="D9E4F5"/>
          </w:tcPr>
          <w:p>
            <w:pPr>
              <w:spacing w:before="40" w:after="40" w:line="276" w:lineRule="auto"/>
              <w:jc w:val="center"/>
            </w:pPr>
            <w:r>
              <w:rPr>
                <w:rFonts w:ascii="Times New Roman" w:hAnsi="Times New Roman"/>
                <w:b/>
                <w:i w:val="0"/>
                <w:sz w:val="20"/>
              </w:rPr>
              <w:t>Phân tích tác động tiềm ẩn</w:t>
            </w:r>
          </w:p>
        </w:tc>
        <w:tc>
          <w:tcPr>
            <w:tcW w:type="dxa" w:w="3024"/>
            <w:vAlign w:val="center"/>
            <w:shd w:fill="D9E4F5"/>
          </w:tcPr>
          <w:p>
            <w:pPr>
              <w:spacing w:before="40" w:after="40" w:line="276" w:lineRule="auto"/>
              <w:jc w:val="center"/>
            </w:pPr>
            <w:r>
              <w:rPr>
                <w:rFonts w:ascii="Times New Roman" w:hAnsi="Times New Roman"/>
                <w:b/>
                <w:i w:val="0"/>
                <w:sz w:val="20"/>
              </w:rPr>
              <w:t>Biện pháp phòng ngừa và kiểm soát</w:t>
            </w:r>
          </w:p>
        </w:tc>
      </w:tr>
      <w:tr>
        <w:tc>
          <w:tcPr>
            <w:tcW w:type="dxa" w:w="3024"/>
            <w:vAlign w:val="center"/>
          </w:tcPr>
          <w:p>
            <w:pPr>
              <w:spacing w:before="40" w:after="40" w:line="276" w:lineRule="auto"/>
              <w:jc w:val="center"/>
            </w:pPr>
            <w:r>
              <w:rPr>
                <w:rFonts w:ascii="Times New Roman" w:hAnsi="Times New Roman"/>
                <w:b/>
                <w:i w:val="0"/>
                <w:sz w:val="19"/>
              </w:rPr>
              <w:t>Rủi ro độ trễ kết nối Webhook ngân hàng</w:t>
            </w:r>
          </w:p>
        </w:tc>
        <w:tc>
          <w:tcPr>
            <w:tcW w:type="dxa" w:w="3024"/>
            <w:vAlign w:val="center"/>
          </w:tcPr>
          <w:p>
            <w:pPr>
              <w:spacing w:before="40" w:after="40" w:line="276" w:lineRule="auto"/>
              <w:jc w:val="both"/>
            </w:pPr>
            <w:r>
              <w:rPr>
                <w:rFonts w:ascii="Times New Roman" w:hAnsi="Times New Roman"/>
                <w:b w:val="0"/>
                <w:i w:val="0"/>
                <w:sz w:val="19"/>
              </w:rPr>
              <w:t>Vào các dịp lễ Tết, lưu lượng giao dịch chuyển khoản tăng đột biến có thể khiến bản tin Webhook từ ngân hàng bị trễ từ 15 đến 30 giây.</w:t>
            </w:r>
          </w:p>
        </w:tc>
        <w:tc>
          <w:tcPr>
            <w:tcW w:type="dxa" w:w="3024"/>
            <w:vAlign w:val="center"/>
          </w:tcPr>
          <w:p>
            <w:pPr>
              <w:spacing w:before="40" w:after="40" w:line="276" w:lineRule="auto"/>
              <w:jc w:val="both"/>
            </w:pPr>
            <w:r>
              <w:rPr>
                <w:rFonts w:ascii="Times New Roman" w:hAnsi="Times New Roman"/>
                <w:b w:val="0"/>
                <w:i w:val="0"/>
                <w:sz w:val="19"/>
              </w:rPr>
              <w:t>Thiết lập cơ chế kiểm tra chủ động (Polling Fallback Worker): nếu sau 15 giây chưa nhận được Webhook, hệ thống tự động gọi API đối soát chủ động sang ngân hàng để xác nhận trạng thái.</w:t>
            </w:r>
          </w:p>
        </w:tc>
      </w:tr>
      <w:tr>
        <w:tc>
          <w:tcPr>
            <w:tcW w:type="dxa" w:w="3024"/>
            <w:vAlign w:val="center"/>
          </w:tcPr>
          <w:p>
            <w:pPr>
              <w:spacing w:before="40" w:after="40" w:line="276" w:lineRule="auto"/>
              <w:jc w:val="center"/>
            </w:pPr>
            <w:r>
              <w:rPr>
                <w:rFonts w:ascii="Times New Roman" w:hAnsi="Times New Roman"/>
                <w:b/>
                <w:i w:val="0"/>
                <w:sz w:val="19"/>
              </w:rPr>
              <w:t>Rủi ro an ninh mạng và giả mạo Webhook</w:t>
            </w:r>
          </w:p>
        </w:tc>
        <w:tc>
          <w:tcPr>
            <w:tcW w:type="dxa" w:w="3024"/>
            <w:vAlign w:val="center"/>
          </w:tcPr>
          <w:p>
            <w:pPr>
              <w:spacing w:before="40" w:after="40" w:line="276" w:lineRule="auto"/>
              <w:jc w:val="both"/>
            </w:pPr>
            <w:r>
              <w:rPr>
                <w:rFonts w:ascii="Times New Roman" w:hAnsi="Times New Roman"/>
                <w:b w:val="0"/>
                <w:i w:val="0"/>
                <w:sz w:val="19"/>
              </w:rPr>
              <w:t>Kẻ gian sử dụng công cụ tấn công gửi các bản tin Webhook giả mạo báo tiền về thành công nhằm chiếm đoạt tài sản.</w:t>
            </w:r>
          </w:p>
        </w:tc>
        <w:tc>
          <w:tcPr>
            <w:tcW w:type="dxa" w:w="3024"/>
            <w:vAlign w:val="center"/>
          </w:tcPr>
          <w:p>
            <w:pPr>
              <w:spacing w:before="40" w:after="40" w:line="276" w:lineRule="auto"/>
              <w:jc w:val="both"/>
            </w:pPr>
            <w:r>
              <w:rPr>
                <w:rFonts w:ascii="Times New Roman" w:hAnsi="Times New Roman"/>
                <w:b w:val="0"/>
                <w:i w:val="0"/>
                <w:sz w:val="19"/>
              </w:rPr>
              <w:t>Bắt buộc kiểm tra chữ ký số HMAC-SHA256 trên mọi request, kiểm tra địa chỉ IP mạng của cổng ngân hàng và kiểm tra tính duy nhất của mã reference_code.</w:t>
            </w:r>
          </w:p>
        </w:tc>
      </w:tr>
      <w:tr>
        <w:tc>
          <w:tcPr>
            <w:tcW w:type="dxa" w:w="3024"/>
            <w:vAlign w:val="center"/>
          </w:tcPr>
          <w:p>
            <w:pPr>
              <w:spacing w:before="40" w:after="40" w:line="276" w:lineRule="auto"/>
              <w:jc w:val="center"/>
            </w:pPr>
            <w:r>
              <w:rPr>
                <w:rFonts w:ascii="Times New Roman" w:hAnsi="Times New Roman"/>
                <w:b/>
                <w:i w:val="0"/>
                <w:sz w:val="19"/>
              </w:rPr>
              <w:t>Rủi ro thói quen của người dùng truyền thống</w:t>
            </w:r>
          </w:p>
        </w:tc>
        <w:tc>
          <w:tcPr>
            <w:tcW w:type="dxa" w:w="3024"/>
            <w:vAlign w:val="center"/>
          </w:tcPr>
          <w:p>
            <w:pPr>
              <w:spacing w:before="40" w:after="40" w:line="276" w:lineRule="auto"/>
              <w:jc w:val="both"/>
            </w:pPr>
            <w:r>
              <w:rPr>
                <w:rFonts w:ascii="Times New Roman" w:hAnsi="Times New Roman"/>
                <w:b w:val="0"/>
                <w:i w:val="0"/>
                <w:sz w:val="19"/>
              </w:rPr>
              <w:t>Một bộ phận chủ cửa hàng lớn tuổi có thể gặp khó khăn trong việc tiếp cận các thao tác giao diện trên trình duyệt web.</w:t>
            </w:r>
          </w:p>
        </w:tc>
        <w:tc>
          <w:tcPr>
            <w:tcW w:type="dxa" w:w="3024"/>
            <w:vAlign w:val="center"/>
          </w:tcPr>
          <w:p>
            <w:pPr>
              <w:spacing w:before="40" w:after="40" w:line="276" w:lineRule="auto"/>
              <w:jc w:val="both"/>
            </w:pPr>
            <w:r>
              <w:rPr>
                <w:rFonts w:ascii="Times New Roman" w:hAnsi="Times New Roman"/>
                <w:b w:val="0"/>
                <w:i w:val="0"/>
                <w:sz w:val="19"/>
              </w:rPr>
              <w:t>Thiết kế giao diện tối giản, tối ưu hóa các nút bấm to bản, quy định mã màu trực quan (xanh thành công, vàng cảnh báo, đỏ lỗi) và cung cấp video hướng dẫn thao tác ngắn.</w:t>
            </w:r>
          </w:p>
        </w:tc>
      </w:tr>
      <w:tr>
        <w:tc>
          <w:tcPr>
            <w:tcW w:type="dxa" w:w="3024"/>
            <w:vAlign w:val="center"/>
          </w:tcPr>
          <w:p>
            <w:pPr>
              <w:spacing w:before="40" w:after="40" w:line="276" w:lineRule="auto"/>
              <w:jc w:val="center"/>
            </w:pPr>
            <w:r>
              <w:rPr>
                <w:rFonts w:ascii="Times New Roman" w:hAnsi="Times New Roman"/>
                <w:b/>
                <w:i w:val="0"/>
                <w:sz w:val="19"/>
              </w:rPr>
              <w:t>Rủi ro mất kết nối Internet tại quầy bán hàng</w:t>
            </w:r>
          </w:p>
        </w:tc>
        <w:tc>
          <w:tcPr>
            <w:tcW w:type="dxa" w:w="3024"/>
            <w:vAlign w:val="center"/>
          </w:tcPr>
          <w:p>
            <w:pPr>
              <w:spacing w:before="40" w:after="40" w:line="276" w:lineRule="auto"/>
              <w:jc w:val="both"/>
            </w:pPr>
            <w:r>
              <w:rPr>
                <w:rFonts w:ascii="Times New Roman" w:hAnsi="Times New Roman"/>
                <w:b w:val="0"/>
                <w:i w:val="0"/>
                <w:sz w:val="19"/>
              </w:rPr>
              <w:t>Điểm bán bị mất kết nối mạng Internet cục bộ trong lúc đang diễn ra ca bán hàng.</w:t>
            </w:r>
          </w:p>
        </w:tc>
        <w:tc>
          <w:tcPr>
            <w:tcW w:type="dxa" w:w="3024"/>
            <w:vAlign w:val="center"/>
          </w:tcPr>
          <w:p>
            <w:pPr>
              <w:spacing w:before="40" w:after="40" w:line="276" w:lineRule="auto"/>
              <w:jc w:val="both"/>
            </w:pPr>
            <w:r>
              <w:rPr>
                <w:rFonts w:ascii="Times New Roman" w:hAnsi="Times New Roman"/>
                <w:b w:val="0"/>
                <w:i w:val="0"/>
                <w:sz w:val="19"/>
              </w:rPr>
              <w:t>Hệ thống hỗ trợ cơ chế lưu trữ cục bộ (Local Storage Cache), cho phép thu ngân tiếp tục lập đơn hàng ngoại tuyến và tự động đồng bộ đối soát ngay khi có mạng trở lại.</w:t>
            </w:r>
          </w:p>
        </w:tc>
      </w:tr>
    </w:tbl>
    <w:p>
      <w:pPr>
        <w:spacing w:before="80" w:after="240" w:line="312" w:lineRule="auto"/>
        <w:jc w:val="center"/>
      </w:pPr>
      <w:r>
        <w:rPr>
          <w:rFonts w:ascii="Times New Roman" w:hAnsi="Times New Roman"/>
          <w:b w:val="0"/>
          <w:i/>
          <w:sz w:val="20"/>
        </w:rPr>
        <w:t>Bảng 6: Bảng ma trận đánh giá rủi ro vận hành và giải pháp kiểm soát</w:t>
      </w:r>
    </w:p>
    <w:p>
      <w:pPr>
        <w:spacing w:before="240" w:after="120" w:line="312" w:lineRule="auto"/>
        <w:jc w:val="left"/>
      </w:pPr>
      <w:r>
        <w:rPr>
          <w:rFonts w:ascii="Times New Roman" w:hAnsi="Times New Roman"/>
          <w:b/>
          <w:i w:val="0"/>
          <w:color w:val="1F4690"/>
          <w:sz w:val="26"/>
        </w:rPr>
        <w:t>4.2. Đề xuất, khuyến nghị</w:t>
      </w:r>
    </w:p>
    <w:p>
      <w:pPr>
        <w:spacing w:before="0" w:after="120" w:line="312" w:lineRule="auto"/>
        <w:jc w:val="both"/>
      </w:pPr>
      <w:r>
        <w:rPr>
          <w:rFonts w:ascii="Times New Roman" w:hAnsi="Times New Roman"/>
          <w:b w:val="0"/>
          <w:i w:val="0"/>
          <w:sz w:val="24"/>
        </w:rPr>
        <w:t>Từ những kết quả nghiên cứu lý thuyết và thực nghiệm vững chắc của đề tài, nhóm nghiên cứu xin trân trọng đưa ra một số đề xuất, khuyến nghị có tính ứng dụng cao đối với các chủ thể liên quan trong hệ sinh thái thanh toán số:</w:t>
      </w:r>
    </w:p>
    <w:p>
      <w:pPr>
        <w:spacing w:before="160" w:after="80" w:line="312" w:lineRule="auto"/>
        <w:jc w:val="left"/>
      </w:pPr>
      <w:r>
        <w:rPr>
          <w:rFonts w:ascii="Times New Roman" w:hAnsi="Times New Roman"/>
          <w:b/>
          <w:i/>
          <w:sz w:val="24"/>
        </w:rPr>
        <w:t>4.2.1. Đối với các hộ kinh doanh và điểm bán lẻ</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Chủ động chuyển đổi phương thức thanh toán: Cần nhanh chóng từ bỏ phương thức in mã QR tĩnh dán quầy truyền thống để chuyển đổi sang mô hình mã VietQR động khóa cứng giá trị và mã hóa đơn theo từng đơn hàng. Đây là biện pháp duy nhất giúp hộ kinh doanh bảo vệ doanh thu, triệt tiêu 100% nguy cơ bị lừa đảo fake bill [15].</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Chuẩn hóa sổ sách kế toán số: Tận dụng các hệ thống đối soát tự động để lưu vết chứng từ giao dịch minh bạch, bóc tách rõ ràng giữa dòng tiền chi tiêu gia đình và dòng tiền kinh doanh của cửa hàng, tạo lập cơ sở dữ liệu số chuẩn xác phục vụ việc kê khai thuế theo Thông tư 40/2021/TT-BTC [4].</w:t>
      </w:r>
    </w:p>
    <w:p>
      <w:pPr>
        <w:spacing w:before="160" w:after="80" w:line="312" w:lineRule="auto"/>
        <w:jc w:val="left"/>
      </w:pPr>
      <w:r>
        <w:rPr>
          <w:rFonts w:ascii="Times New Roman" w:hAnsi="Times New Roman"/>
          <w:b/>
          <w:i/>
          <w:sz w:val="24"/>
        </w:rPr>
        <w:t>4.2.2. Đối với các ngân hàng thương mại và tổ chức trung gian thanh toán</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Mở rộng và chuẩn hóa cổng Open Banking API: Khuyến khích các ngân hàng thương mại tiếp tục mở rộng giao diện lập trình ứng dụng mở theo Quyết định 1813/QĐ-TTg [3], cung cấp các cổng kết nối Webhook biến động số dư chuyên biệt cho doanh nghiệp bán lẻ với độ ổn định cao và chi phí hợp lý.</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Phối hợp nâng cao an toàn thanh toán: Tăng cường tích hợp các tiêu chuẩn an ninh thông điệp như HMAC-SHA256 và xác thực hai lớp sinh trắc học, giúp ngăn ngừa từ xa các hành vi rửa tiền và gian lận tài chính trực tuyến.</w:t>
      </w:r>
    </w:p>
    <w:p>
      <w:pPr>
        <w:spacing w:before="160" w:after="80" w:line="312" w:lineRule="auto"/>
        <w:jc w:val="left"/>
      </w:pPr>
      <w:r>
        <w:rPr>
          <w:rFonts w:ascii="Times New Roman" w:hAnsi="Times New Roman"/>
          <w:b/>
          <w:i/>
          <w:sz w:val="24"/>
        </w:rPr>
        <w:t>4.2.3. Đối với cơ quan quản lý nhà nước</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Hoàn thiện hành lang pháp lý về đối soát dữ liệu số: Tiếp tục đẩy mạnh triển khai Nghị định 52/2024/NĐ-CP [1], ban hành các quy chuẩn kỹ thuật quốc gia về định dạng dữ liệu đối soát tự động giữa phần mềm bán hàng tại quầy và hệ thống ngân hàng.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Chính sách hỗ trợ chuyển đổi số cho khu vực kinh tế tư nhân vi mô: Đề xuất có các chính sách ưu đãi về thuế hoặc hỗ trợ kinh phí đào tạo chuyển đổi số cho các hộ kinh doanh cá thể ứng dụng các giải pháp công nghệ thanh toán minh bạch Make in Vietnam.</w:t>
      </w:r>
    </w:p>
    <w:p>
      <w:pPr>
        <w:spacing w:before="160" w:after="80" w:line="312" w:lineRule="auto"/>
        <w:jc w:val="left"/>
      </w:pPr>
      <w:r>
        <w:rPr>
          <w:rFonts w:ascii="Times New Roman" w:hAnsi="Times New Roman"/>
          <w:b/>
          <w:i/>
          <w:sz w:val="24"/>
        </w:rPr>
        <w:t>4.2.4. Đối với đội ngũ phát triển giải pháp VietQR ReconHub</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Mở rộng tính năng hướng tới đồ án cuối kỳ: Trong giai đoạn phát triển tiếp theo, nhóm sẽ nghiên cứu tích hợp phân hệ tự động xuất Hóa đơn điện tử khởi tạo từ máy tính tiền kết nối trực tiếp với cổng Tổng cục Thuế.</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Ứng dụng Trí tuệ Nhân tạo (AI): Nghiên cứu ứng dụng các mô hình học máy (Machine Learning) để dự báo xu hướng dòng tiền lưu động của cửa hàng và tự động phát hiện các giao dịch đáng ngờ trong ca kinh doanh.</w:t>
      </w:r>
    </w:p>
    <w:p>
      <w:r>
        <w:br w:type="page"/>
      </w:r>
    </w:p>
    <w:p>
      <w:pPr>
        <w:spacing w:before="320" w:after="160" w:line="312" w:lineRule="auto"/>
        <w:jc w:val="left"/>
      </w:pPr>
      <w:r>
        <w:rPr>
          <w:rFonts w:ascii="Times New Roman" w:hAnsi="Times New Roman"/>
          <w:b/>
          <w:i w:val="0"/>
          <w:color w:val="102C57"/>
          <w:sz w:val="28"/>
        </w:rPr>
        <w:t>KẾT LUẬN</w:t>
      </w:r>
    </w:p>
    <w:p>
      <w:pPr>
        <w:spacing w:before="0" w:after="120" w:line="312" w:lineRule="auto"/>
        <w:jc w:val="both"/>
      </w:pPr>
      <w:r>
        <w:rPr>
          <w:rFonts w:ascii="Times New Roman" w:hAnsi="Times New Roman"/>
          <w:b w:val="0"/>
          <w:i w:val="0"/>
          <w:sz w:val="24"/>
        </w:rPr>
        <w:t>Cuộc cách mạng thanh toán không dùng tiền mặt đang tái định hình sâu sắc mọi ngõ ngách của nền kinh tế bán lẻ Việt Nam. Trong dòng chảy đó, mã phản hồi nhanh VietQR đã chứng minh được vị thế là phương tiện thanh toán quốc dân nhờ tính tiện lợi và tốc độ vượt trội. Tuy nhiên, để xu thế này thực sự trở thành đòn bẩy phát triển bền vững cho hơn 5 triệu hộ kinh doanh cá thể, bài toán đứt gãy thông tin đối soát tại quầy thu ngân bắt buộc phải được giải quyết triệt để bằng các giải pháp công nghệ chuyên sâu.</w:t>
      </w:r>
    </w:p>
    <w:p>
      <w:pPr>
        <w:spacing w:before="0" w:after="120" w:line="312" w:lineRule="auto"/>
        <w:jc w:val="both"/>
      </w:pPr>
      <w:r>
        <w:rPr>
          <w:rFonts w:ascii="Times New Roman" w:hAnsi="Times New Roman"/>
          <w:b w:val="0"/>
          <w:i w:val="0"/>
          <w:sz w:val="24"/>
        </w:rPr>
        <w:t>Báo cáo kỹ thuật và nghiệp vụ phục vụ Bài kiểm tra số 2 đã nghiên cứu toàn diện, thiết kế kiến trúc và hiện thực hóa thành công giải pháp Fintech VietQR ReconHub. Đề tài đã hoàn thành xuất sắc các mục tiêu đề ra:</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Đã thiết lập hoàn chỉnh mô hình kinh doanh Canvas (BMC) 9 thành phần [14], chứng minh rõ tính khả thi tài chính, cấu trúc chi phí tối ưu và tiềm năng thương mại hóa bền vững.</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Đã thiết kế kiến trúc phần mềm Client–Server 3 tầng chuẩn hóa, xây dựng lược đồ cơ sở dữ liệu quan hệ Microsoft SQL Server 10 bảng dữ liệu nghiêm ngặt, bảo đảm tính toàn vẹn dữ liệu kế toán kép.</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Đã làm chủ và tích hợp thành công các giải pháp công nghệ tiên tiến: phát hành mã VietQR động chuẩn NAPAS [7], tiếp nhận Webhook ngân hàng bảo mật bằng chữ ký HMAC-SHA256 [9], động cơ đối soát tự động 3 cấp độ với giải thuật so khớp chuỗi mờ Token Set Ratio, và hệ thống Sổ cái bất biến SHA-256 [10] kết hợp Cây Merkle [13] cùng chữ ký sinh trắc học WebAuthn/FIDO2 [12].</w:t>
      </w:r>
    </w:p>
    <w:p>
      <w:pPr>
        <w:spacing w:before="20" w:after="80" w:line="300" w:lineRule="auto"/>
        <w:ind w:left="360"/>
        <w:jc w:val="both"/>
      </w:pPr>
      <w:r>
        <w:rPr>
          <w:rFonts w:ascii="Times New Roman" w:hAnsi="Times New Roman"/>
          <w:b/>
          <w:sz w:val="24"/>
        </w:rPr>
        <w:t xml:space="preserve">• </w:t>
      </w:r>
      <w:r>
        <w:rPr>
          <w:rFonts w:ascii="Times New Roman" w:hAnsi="Times New Roman"/>
          <w:sz w:val="24"/>
        </w:rPr>
        <w:t>Đã tiến hành kiểm chứng thực nghiệm thành công toàn bộ vòng đời ca bán hàng qua 6 kịch bản nghiệp vụ phức tạp, được minh chứng trực quan qua 19 hình ảnh hoạt động của hệ thống, khẳng định tỷ lệ đối soát tự động chính xác đạt trên 98% và độ trễ phản hồi dưới 2 giây.</w:t>
      </w:r>
    </w:p>
    <w:p>
      <w:pPr>
        <w:spacing w:before="0" w:after="360" w:line="312" w:lineRule="auto"/>
        <w:jc w:val="both"/>
      </w:pPr>
      <w:r>
        <w:rPr>
          <w:rFonts w:ascii="Times New Roman" w:hAnsi="Times New Roman"/>
          <w:b w:val="0"/>
          <w:i w:val="0"/>
          <w:sz w:val="24"/>
        </w:rPr>
        <w:t>Kết quả đạt được khẳng định VietQR ReconHub là một giải pháp công nghệ có hàm lượng khoa học cao, giải quyết trúng và đúng nút thắt cổ chai của thị trường, đóng góp thiết thực vào công cuộc số hóa và minh bạch hóa dòng tiền cho khu vực kinh tế tư nhân tại Việt Nam. Đây là nền tảng học thuật và công nghệ vững chắc để nhóm nghiên cứu tiếp tục hoàn thiện, nâng cấp sản phẩm hướng tới các nấc thang cao hơn trong tương lai.</w:t>
      </w:r>
    </w:p>
    <w:p>
      <w:pPr>
        <w:spacing w:before="320" w:after="160" w:line="312" w:lineRule="auto"/>
        <w:jc w:val="left"/>
      </w:pPr>
      <w:r>
        <w:rPr>
          <w:rFonts w:ascii="Times New Roman" w:hAnsi="Times New Roman"/>
          <w:b/>
          <w:i w:val="0"/>
          <w:color w:val="102C57"/>
          <w:sz w:val="28"/>
        </w:rPr>
        <w:t>TÀI LIỆU THAM KHẢO</w:t>
      </w:r>
    </w:p>
    <w:p>
      <w:pPr>
        <w:spacing w:before="40" w:after="80" w:line="276" w:lineRule="auto"/>
        <w:ind w:left="576" w:hanging="576"/>
        <w:jc w:val="both"/>
      </w:pPr>
      <w:r>
        <w:rPr>
          <w:rFonts w:ascii="Times New Roman" w:hAnsi="Times New Roman"/>
          <w:b/>
          <w:sz w:val="22"/>
        </w:rPr>
        <w:t xml:space="preserve">[1] </w:t>
      </w:r>
      <w:r>
        <w:rPr>
          <w:rFonts w:ascii="Times New Roman" w:hAnsi="Times New Roman"/>
          <w:sz w:val="22"/>
        </w:rPr>
        <w:t>Chính phủ nước CHXHCN Việt Nam (2024), Nghị định số 52/2024/NĐ-CP ngày 15/05/2024 quy định về thanh toán không dùng tiền mặt.</w:t>
      </w:r>
    </w:p>
    <w:p>
      <w:pPr>
        <w:spacing w:before="40" w:after="80" w:line="276" w:lineRule="auto"/>
        <w:ind w:left="576" w:hanging="576"/>
        <w:jc w:val="both"/>
      </w:pPr>
      <w:r>
        <w:rPr>
          <w:rFonts w:ascii="Times New Roman" w:hAnsi="Times New Roman"/>
          <w:b/>
          <w:sz w:val="22"/>
        </w:rPr>
        <w:t xml:space="preserve">[2] </w:t>
      </w:r>
      <w:r>
        <w:rPr>
          <w:rFonts w:ascii="Times New Roman" w:hAnsi="Times New Roman"/>
          <w:sz w:val="22"/>
        </w:rPr>
        <w:t>Thủ tướng Chính phủ (2020), Quyết định số 749/QĐ-TTg ngày 03/06/2020 phê duyệt "Chương trình Chuyển đổi số quốc gia đến năm 2025, định hướng đến năm 2030".</w:t>
      </w:r>
    </w:p>
    <w:p>
      <w:pPr>
        <w:spacing w:before="40" w:after="80" w:line="276" w:lineRule="auto"/>
        <w:ind w:left="576" w:hanging="576"/>
        <w:jc w:val="both"/>
      </w:pPr>
      <w:r>
        <w:rPr>
          <w:rFonts w:ascii="Times New Roman" w:hAnsi="Times New Roman"/>
          <w:b/>
          <w:sz w:val="22"/>
        </w:rPr>
        <w:t xml:space="preserve">[3] </w:t>
      </w:r>
      <w:r>
        <w:rPr>
          <w:rFonts w:ascii="Times New Roman" w:hAnsi="Times New Roman"/>
          <w:sz w:val="22"/>
        </w:rPr>
        <w:t>Thủ tướng Chính phủ (2021), Quyết định số 1813/QĐ-TTg ngày 28/10/2021 phê duyệt Đề án phát triển thanh toán không dùng tiền mặt tại Việt Nam giai đoạn 2021-2025.</w:t>
      </w:r>
    </w:p>
    <w:p>
      <w:pPr>
        <w:spacing w:before="40" w:after="80" w:line="276" w:lineRule="auto"/>
        <w:ind w:left="576" w:hanging="576"/>
        <w:jc w:val="both"/>
      </w:pPr>
      <w:r>
        <w:rPr>
          <w:rFonts w:ascii="Times New Roman" w:hAnsi="Times New Roman"/>
          <w:b/>
          <w:sz w:val="22"/>
        </w:rPr>
        <w:t xml:space="preserve">[4] </w:t>
      </w:r>
      <w:r>
        <w:rPr>
          <w:rFonts w:ascii="Times New Roman" w:hAnsi="Times New Roman"/>
          <w:sz w:val="22"/>
        </w:rPr>
        <w:t>Bộ Tài chính (2021), Thông tư số 40/2021/TT-BTC ngày 01/06/2021 hướng dẫn thuế giá trị gia tăng, thuế thu nhập cá nhân và quản lý thuế đối với hộ kinh doanh, cá nhân kinh doanh.</w:t>
      </w:r>
    </w:p>
    <w:p>
      <w:pPr>
        <w:spacing w:before="40" w:after="80" w:line="276" w:lineRule="auto"/>
        <w:ind w:left="576" w:hanging="576"/>
        <w:jc w:val="both"/>
      </w:pPr>
      <w:r>
        <w:rPr>
          <w:rFonts w:ascii="Times New Roman" w:hAnsi="Times New Roman"/>
          <w:b/>
          <w:sz w:val="22"/>
        </w:rPr>
        <w:t xml:space="preserve">[5] </w:t>
      </w:r>
      <w:r>
        <w:rPr>
          <w:rFonts w:ascii="Times New Roman" w:hAnsi="Times New Roman"/>
          <w:sz w:val="22"/>
        </w:rPr>
        <w:t>Bộ Công Thương (2024), Sách trắng Thương mại điện tử Việt Nam 2024, Cục Thương mại điện tử và Kinh tế số, Nhà xuất bản Công Thương, Hà Nội.</w:t>
      </w:r>
    </w:p>
    <w:p>
      <w:pPr>
        <w:spacing w:before="40" w:after="80" w:line="276" w:lineRule="auto"/>
        <w:ind w:left="576" w:hanging="576"/>
        <w:jc w:val="both"/>
      </w:pPr>
      <w:r>
        <w:rPr>
          <w:rFonts w:ascii="Times New Roman" w:hAnsi="Times New Roman"/>
          <w:b/>
          <w:sz w:val="22"/>
        </w:rPr>
        <w:t xml:space="preserve">[6] </w:t>
      </w:r>
      <w:r>
        <w:rPr>
          <w:rFonts w:ascii="Times New Roman" w:hAnsi="Times New Roman"/>
          <w:sz w:val="22"/>
        </w:rPr>
        <w:t>Ngân hàng Nhà nước Việt Nam (2023 - 2024), Báo cáo tổng kết tình hình hoạt động thanh toán qua hệ thống ngân hàng điện tử và dịch vụ trung gian thanh toán tại Việt Nam.</w:t>
      </w:r>
    </w:p>
    <w:p>
      <w:pPr>
        <w:spacing w:before="40" w:after="80" w:line="276" w:lineRule="auto"/>
        <w:ind w:left="576" w:hanging="576"/>
        <w:jc w:val="both"/>
      </w:pPr>
      <w:r>
        <w:rPr>
          <w:rFonts w:ascii="Times New Roman" w:hAnsi="Times New Roman"/>
          <w:b/>
          <w:sz w:val="22"/>
        </w:rPr>
        <w:t xml:space="preserve">[7] </w:t>
      </w:r>
      <w:r>
        <w:rPr>
          <w:rFonts w:ascii="Times New Roman" w:hAnsi="Times New Roman"/>
          <w:sz w:val="22"/>
        </w:rPr>
        <w:t>Công ty Cổ phần Thanh toán Quốc gia Việt Nam - NAPAS (2021), Tiêu chuẩn kỹ thuật định dạng mã QR thanh toán quốc gia (VietQR) trên hạ tầng chuyển mạch tài chính.</w:t>
      </w:r>
    </w:p>
    <w:p>
      <w:pPr>
        <w:spacing w:before="40" w:after="80" w:line="276" w:lineRule="auto"/>
        <w:ind w:left="576" w:hanging="576"/>
        <w:jc w:val="both"/>
      </w:pPr>
      <w:r>
        <w:rPr>
          <w:rFonts w:ascii="Times New Roman" w:hAnsi="Times New Roman"/>
          <w:b/>
          <w:sz w:val="22"/>
        </w:rPr>
        <w:t xml:space="preserve">[8] </w:t>
      </w:r>
      <w:r>
        <w:rPr>
          <w:rFonts w:ascii="Times New Roman" w:hAnsi="Times New Roman"/>
          <w:sz w:val="22"/>
        </w:rPr>
        <w:t>EMVCo (2020), EMV® QR Code Specification for Payment Systems: Merchant-Presented Mode, Version 1.1.</w:t>
      </w:r>
    </w:p>
    <w:p>
      <w:pPr>
        <w:spacing w:before="40" w:after="80" w:line="276" w:lineRule="auto"/>
        <w:ind w:left="576" w:hanging="576"/>
        <w:jc w:val="both"/>
      </w:pPr>
      <w:r>
        <w:rPr>
          <w:rFonts w:ascii="Times New Roman" w:hAnsi="Times New Roman"/>
          <w:b/>
          <w:sz w:val="22"/>
        </w:rPr>
        <w:t xml:space="preserve">[9] </w:t>
      </w:r>
      <w:r>
        <w:rPr>
          <w:rFonts w:ascii="Times New Roman" w:hAnsi="Times New Roman"/>
          <w:sz w:val="22"/>
        </w:rPr>
        <w:t>IETF (1997), RFC 2104: HMAC: Keyed-Hashing for Message Authentication, Internet Engineering Task Force.</w:t>
      </w:r>
    </w:p>
    <w:p>
      <w:pPr>
        <w:spacing w:before="40" w:after="80" w:line="276" w:lineRule="auto"/>
        <w:ind w:left="576" w:hanging="576"/>
        <w:jc w:val="both"/>
      </w:pPr>
      <w:r>
        <w:rPr>
          <w:rFonts w:ascii="Times New Roman" w:hAnsi="Times New Roman"/>
          <w:b/>
          <w:sz w:val="22"/>
        </w:rPr>
        <w:t xml:space="preserve">[10] </w:t>
      </w:r>
      <w:r>
        <w:rPr>
          <w:rFonts w:ascii="Times New Roman" w:hAnsi="Times New Roman"/>
          <w:sz w:val="22"/>
        </w:rPr>
        <w:t>NIST (2015), FIPS PUB 180-4: Secure Hash Standard (SHS) - SHA-256 Specification, National Institute of Standards and Technology.</w:t>
      </w:r>
    </w:p>
    <w:p>
      <w:pPr>
        <w:spacing w:before="40" w:after="80" w:line="276" w:lineRule="auto"/>
        <w:ind w:left="576" w:hanging="576"/>
        <w:jc w:val="both"/>
      </w:pPr>
      <w:r>
        <w:rPr>
          <w:rFonts w:ascii="Times New Roman" w:hAnsi="Times New Roman"/>
          <w:b/>
          <w:sz w:val="22"/>
        </w:rPr>
        <w:t xml:space="preserve">[11] </w:t>
      </w:r>
      <w:r>
        <w:rPr>
          <w:rFonts w:ascii="Times New Roman" w:hAnsi="Times New Roman"/>
          <w:sz w:val="22"/>
        </w:rPr>
        <w:t>NIST (2008), FIPS PUB 198-1: The Keyed-Hash Message Authentication Code (HMAC), National Institute of Standards and Technology.</w:t>
      </w:r>
    </w:p>
    <w:p>
      <w:pPr>
        <w:spacing w:before="40" w:after="80" w:line="276" w:lineRule="auto"/>
        <w:ind w:left="576" w:hanging="576"/>
        <w:jc w:val="both"/>
      </w:pPr>
      <w:r>
        <w:rPr>
          <w:rFonts w:ascii="Times New Roman" w:hAnsi="Times New Roman"/>
          <w:b/>
          <w:sz w:val="22"/>
        </w:rPr>
        <w:t xml:space="preserve">[12] </w:t>
      </w:r>
      <w:r>
        <w:rPr>
          <w:rFonts w:ascii="Times New Roman" w:hAnsi="Times New Roman"/>
          <w:sz w:val="22"/>
        </w:rPr>
        <w:t>W3C (2021), Web Authentication: An API for accessing Public Key Credentials - Level 2 (WebAuthn / FIDO2 Standard), World Wide Web Consortium.</w:t>
      </w:r>
    </w:p>
    <w:p>
      <w:pPr>
        <w:spacing w:before="40" w:after="80" w:line="276" w:lineRule="auto"/>
        <w:ind w:left="576" w:hanging="576"/>
        <w:jc w:val="both"/>
      </w:pPr>
      <w:r>
        <w:rPr>
          <w:rFonts w:ascii="Times New Roman" w:hAnsi="Times New Roman"/>
          <w:b/>
          <w:sz w:val="22"/>
        </w:rPr>
        <w:t xml:space="preserve">[13] </w:t>
      </w:r>
      <w:r>
        <w:rPr>
          <w:rFonts w:ascii="Times New Roman" w:hAnsi="Times New Roman"/>
          <w:sz w:val="22"/>
        </w:rPr>
        <w:t>Ralph C. Merkle (1987), "A Digital Signature Based on a Conventional Encryption Function", Advances in Cryptology — CRYPTO '87, Lecture Notes in Computer Science, Springer, pp. 369-378.</w:t>
      </w:r>
    </w:p>
    <w:p>
      <w:pPr>
        <w:spacing w:before="40" w:after="80" w:line="276" w:lineRule="auto"/>
        <w:ind w:left="576" w:hanging="576"/>
        <w:jc w:val="both"/>
      </w:pPr>
      <w:r>
        <w:rPr>
          <w:rFonts w:ascii="Times New Roman" w:hAnsi="Times New Roman"/>
          <w:b/>
          <w:sz w:val="22"/>
        </w:rPr>
        <w:t xml:space="preserve">[14] </w:t>
      </w:r>
      <w:r>
        <w:rPr>
          <w:rFonts w:ascii="Times New Roman" w:hAnsi="Times New Roman"/>
          <w:sz w:val="22"/>
        </w:rPr>
        <w:t>Alexander Osterwalder &amp; Yves Pigneur (2010), Business Model Generation: A Handbook for Visionaries, Game Changers, and Challengers, John Wiley &amp; Sons.</w:t>
      </w:r>
    </w:p>
    <w:p>
      <w:pPr>
        <w:spacing w:before="40" w:after="80" w:line="276" w:lineRule="auto"/>
        <w:ind w:left="576" w:hanging="576"/>
        <w:jc w:val="both"/>
      </w:pPr>
      <w:r>
        <w:rPr>
          <w:rFonts w:ascii="Times New Roman" w:hAnsi="Times New Roman"/>
          <w:b/>
          <w:sz w:val="22"/>
        </w:rPr>
        <w:t xml:space="preserve">[15] </w:t>
      </w:r>
      <w:r>
        <w:rPr>
          <w:rFonts w:ascii="Times New Roman" w:hAnsi="Times New Roman"/>
          <w:sz w:val="22"/>
        </w:rPr>
        <w:t>Hiệp hội Ngân hàng Việt Nam - VNBA (2023), Báo cáo khảo sát rủi ro gian lận trong thanh toán trực tuyến và giải pháp an ninh giao dịch bán lẻ tại Việt Nam.</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