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0" w:line="240" w:lineRule="auto"/>
        <w:ind w:firstLine="0"/>
        <w:jc w:val="center"/>
      </w:pPr>
      <w:r>
        <w:rPr>
          <w:rFonts w:ascii="Times New Roman" w:hAnsi="Times New Roman" w:eastAsia="Times New Roman" w:cs="Times New Roman"/>
          <w:b w:val="0"/>
          <w:i w:val="0"/>
          <w:sz w:val="26"/>
        </w:rPr>
        <w:t>ĐẠI HỌC QUỐC GIA TP. HỒ CHÍ MINH</w:t>
      </w:r>
    </w:p>
    <w:p>
      <w:pPr>
        <w:spacing w:before="0" w:after="0" w:line="240" w:lineRule="auto"/>
        <w:ind w:firstLine="0"/>
        <w:jc w:val="center"/>
      </w:pPr>
      <w:r>
        <w:rPr>
          <w:rFonts w:ascii="Times New Roman" w:hAnsi="Times New Roman" w:eastAsia="Times New Roman" w:cs="Times New Roman"/>
          <w:b/>
          <w:i w:val="0"/>
          <w:sz w:val="28"/>
        </w:rPr>
        <w:t>TRƯỜNG ĐẠI HỌC KHOA HỌC TỰ NHIÊN</w:t>
      </w:r>
    </w:p>
    <w:p>
      <w:pPr>
        <w:pBdr>
          <w:bottom w:val="single" w:sz="8" w:space="1" w:color="auto"/>
        </w:pBdr>
        <w:spacing w:after="0" w:line="240" w:lineRule="auto"/>
        <w:ind w:firstLine="0" w:left="2976" w:right="2976"/>
      </w:pPr>
    </w:p>
    <w:p>
      <w:pPr>
        <w:spacing w:before="960" w:after="0" w:line="240" w:lineRule="auto"/>
        <w:ind w:firstLine="0"/>
        <w:jc w:val="center"/>
      </w:pPr>
      <w:r>
        <w:rPr>
          <w:rFonts w:ascii="Times New Roman" w:hAnsi="Times New Roman" w:eastAsia="Times New Roman" w:cs="Times New Roman"/>
          <w:b/>
          <w:i w:val="0"/>
          <w:sz w:val="32"/>
        </w:rPr>
        <w:t>NGUYỄN ĐOÀN DIỄM NGỌC</w:t>
      </w:r>
    </w:p>
    <w:p>
      <w:pPr>
        <w:spacing w:before="0" w:after="0" w:line="240" w:lineRule="auto"/>
        <w:ind w:firstLine="0"/>
        <w:jc w:val="center"/>
      </w:pPr>
      <w:r>
        <w:rPr>
          <w:rFonts w:ascii="Times New Roman" w:hAnsi="Times New Roman" w:eastAsia="Times New Roman" w:cs="Times New Roman"/>
          <w:b w:val="0"/>
          <w:i w:val="0"/>
          <w:sz w:val="28"/>
        </w:rPr>
        <w:t>MSHV: 25C56077</w:t>
      </w:r>
    </w:p>
    <w:p>
      <w:pPr>
        <w:spacing w:before="1320" w:after="40" w:line="240" w:lineRule="auto"/>
        <w:ind w:firstLine="0"/>
        <w:jc w:val="center"/>
      </w:pPr>
      <w:r>
        <w:rPr>
          <w:rFonts w:ascii="Times New Roman" w:hAnsi="Times New Roman" w:eastAsia="Times New Roman" w:cs="Times New Roman"/>
          <w:b/>
          <w:i w:val="0"/>
          <w:sz w:val="36"/>
        </w:rPr>
        <w:t>VẬN DỤNG CẶP PHẠM TRÙ</w:t>
      </w:r>
    </w:p>
    <w:p>
      <w:pPr>
        <w:spacing w:before="0" w:after="40" w:line="240" w:lineRule="auto"/>
        <w:ind w:firstLine="0"/>
        <w:jc w:val="center"/>
      </w:pPr>
      <w:r>
        <w:rPr>
          <w:rFonts w:ascii="Times New Roman" w:hAnsi="Times New Roman" w:eastAsia="Times New Roman" w:cs="Times New Roman"/>
          <w:b/>
          <w:i w:val="0"/>
          <w:sz w:val="36"/>
        </w:rPr>
        <w:t>BẢN CHẤT VÀ HIỆN TƯỢNG</w:t>
      </w:r>
    </w:p>
    <w:p>
      <w:pPr>
        <w:spacing w:before="0" w:after="40" w:line="240" w:lineRule="auto"/>
        <w:ind w:firstLine="0"/>
        <w:jc w:val="center"/>
      </w:pPr>
      <w:r>
        <w:rPr>
          <w:rFonts w:ascii="Times New Roman" w:hAnsi="Times New Roman" w:eastAsia="Times New Roman" w:cs="Times New Roman"/>
          <w:b/>
          <w:i w:val="0"/>
          <w:sz w:val="36"/>
        </w:rPr>
        <w:t>TRONG ĐÁNH GIÁ HOẠT TÍNH ỨC CHẾ ENZYME</w:t>
      </w:r>
    </w:p>
    <w:p>
      <w:pPr>
        <w:spacing w:before="0" w:after="40" w:line="240" w:lineRule="auto"/>
        <w:ind w:firstLine="0"/>
        <w:jc w:val="center"/>
      </w:pPr>
      <w:r>
        <w:rPr>
          <w:rFonts w:ascii="Times New Roman" w:hAnsi="Times New Roman" w:eastAsia="Times New Roman" w:cs="Times New Roman"/>
          <w:b/>
          <w:i w:val="0"/>
          <w:sz w:val="36"/>
        </w:rPr>
        <w:t>CỦA HỢP CHẤT THIÊN NHIÊN</w:t>
      </w:r>
    </w:p>
    <w:p>
      <w:pPr>
        <w:spacing w:before="480" w:after="0" w:line="240" w:lineRule="auto"/>
        <w:ind w:firstLine="0"/>
        <w:jc w:val="center"/>
      </w:pPr>
      <w:r>
        <w:rPr>
          <w:rFonts w:ascii="Times New Roman" w:hAnsi="Times New Roman" w:eastAsia="Times New Roman" w:cs="Times New Roman"/>
          <w:b/>
          <w:i w:val="0"/>
          <w:sz w:val="28"/>
        </w:rPr>
        <w:t>Tiểu luận Triết học</w:t>
      </w:r>
    </w:p>
    <w:p>
      <w:pPr>
        <w:spacing w:before="0" w:after="0" w:line="240" w:lineRule="auto"/>
        <w:ind w:firstLine="0"/>
        <w:jc w:val="center"/>
      </w:pPr>
      <w:r>
        <w:rPr>
          <w:rFonts w:ascii="Times New Roman" w:hAnsi="Times New Roman" w:eastAsia="Times New Roman" w:cs="Times New Roman"/>
          <w:b/>
          <w:i w:val="0"/>
          <w:sz w:val="28"/>
        </w:rPr>
        <w:t>Chương trình cao học và nghiên cứu sinh</w:t>
      </w:r>
    </w:p>
    <w:p>
      <w:pPr>
        <w:spacing w:before="0" w:after="0" w:line="240" w:lineRule="auto"/>
        <w:ind w:firstLine="0"/>
        <w:jc w:val="center"/>
      </w:pPr>
      <w:r>
        <w:rPr>
          <w:rFonts w:ascii="Times New Roman" w:hAnsi="Times New Roman" w:eastAsia="Times New Roman" w:cs="Times New Roman"/>
          <w:b/>
          <w:i w:val="0"/>
          <w:sz w:val="28"/>
        </w:rPr>
        <w:t>không chuyên ngành Triết học</w:t>
      </w:r>
    </w:p>
    <w:p>
      <w:pPr>
        <w:spacing w:before="4200" w:after="0" w:line="240" w:lineRule="auto"/>
        <w:ind w:firstLine="0"/>
        <w:jc w:val="center"/>
      </w:pPr>
      <w:r>
        <w:rPr>
          <w:rFonts w:ascii="Times New Roman" w:hAnsi="Times New Roman" w:eastAsia="Times New Roman" w:cs="Times New Roman"/>
          <w:b/>
          <w:i w:val="0"/>
          <w:sz w:val="28"/>
        </w:rPr>
        <w:t>TP. HỒ CHÍ MINH – 2026</w:t>
      </w:r>
    </w:p>
    <w:p>
      <w:pPr>
        <w:spacing w:after="0" w:line="240" w:lineRule="auto"/>
        <w:ind w:firstLine="0"/>
      </w:pPr>
      <w:r>
        <w:br w:type="page"/>
      </w:r>
    </w:p>
    <w:p>
      <w:pPr>
        <w:spacing w:before="120" w:after="0" w:line="240" w:lineRule="auto"/>
        <w:ind w:firstLine="0"/>
        <w:jc w:val="center"/>
      </w:pPr>
      <w:r>
        <w:rPr>
          <w:rFonts w:ascii="Times New Roman" w:hAnsi="Times New Roman" w:eastAsia="Times New Roman" w:cs="Times New Roman"/>
          <w:b w:val="0"/>
          <w:i w:val="0"/>
          <w:sz w:val="26"/>
        </w:rPr>
        <w:t>ĐẠI HỌC QUỐC GIA TP. HỒ CHÍ MINH</w:t>
      </w:r>
    </w:p>
    <w:p>
      <w:pPr>
        <w:spacing w:before="0" w:after="0" w:line="240" w:lineRule="auto"/>
        <w:ind w:firstLine="0"/>
        <w:jc w:val="center"/>
      </w:pPr>
      <w:r>
        <w:rPr>
          <w:rFonts w:ascii="Times New Roman" w:hAnsi="Times New Roman" w:eastAsia="Times New Roman" w:cs="Times New Roman"/>
          <w:b/>
          <w:i w:val="0"/>
          <w:sz w:val="28"/>
        </w:rPr>
        <w:t>TRƯỜNG ĐẠI HỌC KHOA HỌC TỰ NHIÊN</w:t>
      </w:r>
    </w:p>
    <w:p>
      <w:pPr>
        <w:pBdr>
          <w:bottom w:val="single" w:sz="8" w:space="1" w:color="auto"/>
        </w:pBdr>
        <w:spacing w:after="0" w:line="240" w:lineRule="auto"/>
        <w:ind w:firstLine="0" w:left="2976" w:right="2976"/>
      </w:pPr>
    </w:p>
    <w:p>
      <w:pPr>
        <w:spacing w:before="1320" w:after="40" w:line="240" w:lineRule="auto"/>
        <w:ind w:firstLine="0"/>
        <w:jc w:val="center"/>
      </w:pPr>
      <w:r>
        <w:rPr>
          <w:rFonts w:ascii="Times New Roman" w:hAnsi="Times New Roman" w:eastAsia="Times New Roman" w:cs="Times New Roman"/>
          <w:b/>
          <w:i w:val="0"/>
          <w:sz w:val="36"/>
        </w:rPr>
        <w:t>VẬN DỤNG CẶP PHẠM TRÙ</w:t>
      </w:r>
    </w:p>
    <w:p>
      <w:pPr>
        <w:spacing w:before="0" w:after="40" w:line="240" w:lineRule="auto"/>
        <w:ind w:firstLine="0"/>
        <w:jc w:val="center"/>
      </w:pPr>
      <w:r>
        <w:rPr>
          <w:rFonts w:ascii="Times New Roman" w:hAnsi="Times New Roman" w:eastAsia="Times New Roman" w:cs="Times New Roman"/>
          <w:b/>
          <w:i w:val="0"/>
          <w:sz w:val="36"/>
        </w:rPr>
        <w:t>BẢN CHẤT VÀ HIỆN TƯỢNG</w:t>
      </w:r>
    </w:p>
    <w:p>
      <w:pPr>
        <w:spacing w:before="0" w:after="40" w:line="240" w:lineRule="auto"/>
        <w:ind w:firstLine="0"/>
        <w:jc w:val="center"/>
      </w:pPr>
      <w:r>
        <w:rPr>
          <w:rFonts w:ascii="Times New Roman" w:hAnsi="Times New Roman" w:eastAsia="Times New Roman" w:cs="Times New Roman"/>
          <w:b/>
          <w:i w:val="0"/>
          <w:sz w:val="36"/>
        </w:rPr>
        <w:t>TRONG ĐÁNH GIÁ HOẠT TÍNH ỨC CHẾ ENZYME</w:t>
      </w:r>
    </w:p>
    <w:p>
      <w:pPr>
        <w:spacing w:before="0" w:after="40" w:line="240" w:lineRule="auto"/>
        <w:ind w:firstLine="0"/>
        <w:jc w:val="center"/>
      </w:pPr>
      <w:r>
        <w:rPr>
          <w:rFonts w:ascii="Times New Roman" w:hAnsi="Times New Roman" w:eastAsia="Times New Roman" w:cs="Times New Roman"/>
          <w:b/>
          <w:i w:val="0"/>
          <w:sz w:val="36"/>
        </w:rPr>
        <w:t>CỦA HỢP CHẤT THIÊN NHIÊN</w:t>
      </w:r>
    </w:p>
    <w:p>
      <w:pPr>
        <w:spacing w:before="480" w:after="0" w:line="240" w:lineRule="auto"/>
        <w:ind w:firstLine="0"/>
        <w:jc w:val="center"/>
      </w:pPr>
      <w:r>
        <w:rPr>
          <w:rFonts w:ascii="Times New Roman" w:hAnsi="Times New Roman" w:eastAsia="Times New Roman" w:cs="Times New Roman"/>
          <w:b/>
          <w:i w:val="0"/>
          <w:sz w:val="28"/>
        </w:rPr>
        <w:t>Tiểu luận Triết học</w:t>
      </w:r>
    </w:p>
    <w:p>
      <w:pPr>
        <w:spacing w:before="0" w:after="0" w:line="240" w:lineRule="auto"/>
        <w:ind w:firstLine="0"/>
        <w:jc w:val="center"/>
      </w:pPr>
      <w:r>
        <w:rPr>
          <w:rFonts w:ascii="Times New Roman" w:hAnsi="Times New Roman" w:eastAsia="Times New Roman" w:cs="Times New Roman"/>
          <w:b/>
          <w:i w:val="0"/>
          <w:sz w:val="28"/>
        </w:rPr>
        <w:t>Chương trình cao học và nghiên cứu sinh</w:t>
      </w:r>
    </w:p>
    <w:p>
      <w:pPr>
        <w:spacing w:before="0" w:after="0" w:line="240" w:lineRule="auto"/>
        <w:ind w:firstLine="0"/>
        <w:jc w:val="center"/>
      </w:pPr>
      <w:r>
        <w:rPr>
          <w:rFonts w:ascii="Times New Roman" w:hAnsi="Times New Roman" w:eastAsia="Times New Roman" w:cs="Times New Roman"/>
          <w:b/>
          <w:i w:val="0"/>
          <w:sz w:val="28"/>
        </w:rPr>
        <w:t>không chuyên ngành Triết học</w:t>
      </w:r>
    </w:p>
    <w:p>
      <w:pPr>
        <w:spacing w:before="1200" w:after="0" w:line="240" w:lineRule="auto"/>
        <w:ind w:firstLine="0" w:left="3969"/>
        <w:jc w:val="left"/>
      </w:pPr>
      <w:r>
        <w:rPr>
          <w:rFonts w:ascii="Times New Roman" w:hAnsi="Times New Roman" w:eastAsia="Times New Roman" w:cs="Times New Roman"/>
          <w:b/>
          <w:sz w:val="28"/>
        </w:rPr>
        <w:t>NGUYỄN ĐOÀN DIỄM NGỌC</w:t>
      </w:r>
    </w:p>
    <w:p>
      <w:pPr>
        <w:spacing w:before="0" w:after="0" w:line="240" w:lineRule="auto"/>
        <w:ind w:firstLine="0" w:left="3969"/>
        <w:jc w:val="left"/>
      </w:pPr>
      <w:r>
        <w:rPr>
          <w:rFonts w:ascii="Times New Roman" w:hAnsi="Times New Roman" w:eastAsia="Times New Roman" w:cs="Times New Roman"/>
          <w:b w:val="0"/>
          <w:sz w:val="28"/>
        </w:rPr>
        <w:t>MSHV: 25C56077</w:t>
      </w:r>
    </w:p>
    <w:p>
      <w:pPr>
        <w:spacing w:before="0" w:after="0" w:line="240" w:lineRule="auto"/>
        <w:ind w:firstLine="0" w:left="3969"/>
        <w:jc w:val="left"/>
      </w:pPr>
      <w:r>
        <w:rPr>
          <w:rFonts w:ascii="Times New Roman" w:hAnsi="Times New Roman" w:eastAsia="Times New Roman" w:cs="Times New Roman"/>
          <w:b w:val="0"/>
          <w:sz w:val="28"/>
        </w:rPr>
        <w:t>Ngành đang được đào tạo: Hóa học</w:t>
      </w:r>
    </w:p>
    <w:p>
      <w:pPr>
        <w:spacing w:before="3600" w:after="0" w:line="240" w:lineRule="auto"/>
        <w:ind w:firstLine="0"/>
        <w:jc w:val="center"/>
      </w:pPr>
      <w:r>
        <w:rPr>
          <w:rFonts w:ascii="Times New Roman" w:hAnsi="Times New Roman" w:eastAsia="Times New Roman" w:cs="Times New Roman"/>
          <w:b/>
          <w:i w:val="0"/>
          <w:sz w:val="28"/>
        </w:rPr>
        <w:t>TP. HỒ CHÍ MINH – 2026</w:t>
      </w:r>
    </w:p>
    <w:p>
      <w:pPr>
        <w:sectPr>
          <w:pgSz w:w="11906" w:h="16838"/>
          <w:pgMar w:top="1984" w:right="1134" w:bottom="1701" w:left="1984" w:header="1020" w:footer="850" w:gutter="0"/>
          <w:pgBorders w:offsetFrom="text">
            <w:top w:val="thickThinSmallGap" w:sz="24" w:space="8" w:color="auto"/>
            <w:left w:val="thickThinSmallGap" w:sz="24" w:space="8" w:color="auto"/>
            <w:bottom w:val="thickThinSmallGap" w:sz="24" w:space="8" w:color="auto"/>
            <w:right w:val="thickThinSmallGap" w:sz="24" w:space="8" w:color="auto"/>
          </w:pgBorders>
          <w:cols w:space="720"/>
          <w:docGrid w:linePitch="360"/>
        </w:sectPr>
      </w:pPr>
    </w:p>
    <w:p>
      <w:pPr>
        <w:spacing w:before="0" w:after="240" w:line="276" w:lineRule="auto"/>
        <w:ind w:firstLine="0"/>
        <w:jc w:val="center"/>
      </w:pPr>
      <w:r>
        <w:rPr>
          <w:rFonts w:ascii="Times New Roman" w:hAnsi="Times New Roman" w:eastAsia="Times New Roman" w:cs="Times New Roman"/>
          <w:b/>
          <w:i w:val="0"/>
          <w:sz w:val="28"/>
        </w:rPr>
        <w:t>MỤC LỤC</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DANH MỤC CHỮ VIẾT TẮT</w:t>
      </w:r>
      <w:r>
        <w:rPr>
          <w:rFonts w:ascii="Times New Roman" w:hAnsi="Times New Roman" w:eastAsia="Times New Roman" w:cs="Times New Roman"/>
          <w:b/>
          <w:sz w:val="26"/>
        </w:rPr>
        <w:tab/>
        <w:t>iv</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DANH MỤC BẢNG</w:t>
      </w:r>
      <w:r>
        <w:rPr>
          <w:rFonts w:ascii="Times New Roman" w:hAnsi="Times New Roman" w:eastAsia="Times New Roman" w:cs="Times New Roman"/>
          <w:b/>
          <w:sz w:val="26"/>
        </w:rPr>
        <w:tab/>
        <w:t>v</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DANH MỤC HÌNH</w:t>
      </w:r>
      <w:r>
        <w:rPr>
          <w:rFonts w:ascii="Times New Roman" w:hAnsi="Times New Roman" w:eastAsia="Times New Roman" w:cs="Times New Roman"/>
          <w:b/>
          <w:sz w:val="26"/>
        </w:rPr>
        <w:tab/>
        <w:t>v</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PHẦN MỞ ĐẦU</w:t>
      </w:r>
      <w:r>
        <w:rPr>
          <w:rFonts w:ascii="Times New Roman" w:hAnsi="Times New Roman" w:eastAsia="Times New Roman" w:cs="Times New Roman"/>
          <w:b/>
          <w:sz w:val="26"/>
        </w:rPr>
        <w:tab/>
        <w:t>1</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CHƯƠNG 1. CƠ SỞ LÝ LUẬN VỀ CẶP PHẠM TRÙ BẢN CHẤT VÀ HIỆN TƯỢNG</w:t>
      </w:r>
      <w:r>
        <w:rPr>
          <w:rFonts w:ascii="Times New Roman" w:hAnsi="Times New Roman" w:eastAsia="Times New Roman" w:cs="Times New Roman"/>
          <w:b/>
          <w:sz w:val="26"/>
        </w:rPr>
        <w:tab/>
        <w:t>4</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1.1. Phạm trù và hệ thống phạm trù của phép biện chứng duy vật</w:t>
      </w:r>
      <w:r>
        <w:rPr>
          <w:rFonts w:ascii="Times New Roman" w:hAnsi="Times New Roman" w:eastAsia="Times New Roman" w:cs="Times New Roman"/>
          <w:b w:val="0"/>
          <w:sz w:val="26"/>
        </w:rPr>
        <w:tab/>
        <w:t>4</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1.1.1. Khái niệm phạm trù</w:t>
      </w:r>
      <w:r>
        <w:rPr>
          <w:rFonts w:ascii="Times New Roman" w:hAnsi="Times New Roman" w:eastAsia="Times New Roman" w:cs="Times New Roman"/>
          <w:b w:val="0"/>
          <w:sz w:val="26"/>
        </w:rPr>
        <w:tab/>
        <w:t>4</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1.1.2. Tính chất của phạm trù</w:t>
      </w:r>
      <w:r>
        <w:rPr>
          <w:rFonts w:ascii="Times New Roman" w:hAnsi="Times New Roman" w:eastAsia="Times New Roman" w:cs="Times New Roman"/>
          <w:b w:val="0"/>
          <w:sz w:val="26"/>
        </w:rPr>
        <w:tab/>
        <w:t>4</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1.1.3. Hệ thống các cặp phạm trù cơ bản và vị trí của cặp phạm trù bản chất – hiện tượng</w:t>
      </w:r>
      <w:r>
        <w:rPr>
          <w:rFonts w:ascii="Times New Roman" w:hAnsi="Times New Roman" w:eastAsia="Times New Roman" w:cs="Times New Roman"/>
          <w:b w:val="0"/>
          <w:sz w:val="26"/>
        </w:rPr>
        <w:tab/>
        <w:t>5</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1.2. Lịch sử vấn đề bản chất và hiện tượng trong triết học</w:t>
      </w:r>
      <w:r>
        <w:rPr>
          <w:rFonts w:ascii="Times New Roman" w:hAnsi="Times New Roman" w:eastAsia="Times New Roman" w:cs="Times New Roman"/>
          <w:b w:val="0"/>
          <w:sz w:val="26"/>
        </w:rPr>
        <w:tab/>
        <w:t>5</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1.2.1. Triết học Hy Lạp cổ đại</w:t>
      </w:r>
      <w:r>
        <w:rPr>
          <w:rFonts w:ascii="Times New Roman" w:hAnsi="Times New Roman" w:eastAsia="Times New Roman" w:cs="Times New Roman"/>
          <w:b w:val="0"/>
          <w:sz w:val="26"/>
        </w:rPr>
        <w:tab/>
        <w:t>5</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1.2.2. Triết học Tây Âu cận đại và triết học cổ điển Đức</w:t>
      </w:r>
      <w:r>
        <w:rPr>
          <w:rFonts w:ascii="Times New Roman" w:hAnsi="Times New Roman" w:eastAsia="Times New Roman" w:cs="Times New Roman"/>
          <w:b w:val="0"/>
          <w:sz w:val="26"/>
        </w:rPr>
        <w:tab/>
        <w:t>6</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1.2.3. Quan niệm của C. Mác và Ph. Ăngghen</w:t>
      </w:r>
      <w:r>
        <w:rPr>
          <w:rFonts w:ascii="Times New Roman" w:hAnsi="Times New Roman" w:eastAsia="Times New Roman" w:cs="Times New Roman"/>
          <w:b w:val="0"/>
          <w:sz w:val="26"/>
        </w:rPr>
        <w:tab/>
        <w:t>6</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1.2.4. Chủ nghĩa thực chứng, chủ nghĩa Makhơ và sự phê phán của V.I. Lênin</w:t>
      </w:r>
      <w:r>
        <w:rPr>
          <w:rFonts w:ascii="Times New Roman" w:hAnsi="Times New Roman" w:eastAsia="Times New Roman" w:cs="Times New Roman"/>
          <w:b w:val="0"/>
          <w:sz w:val="26"/>
        </w:rPr>
        <w:tab/>
        <w:t>7</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1.3. Quan niệm duy vật biện chứng về bản chất, hiện tượng và giả tượng</w:t>
      </w:r>
      <w:r>
        <w:rPr>
          <w:rFonts w:ascii="Times New Roman" w:hAnsi="Times New Roman" w:eastAsia="Times New Roman" w:cs="Times New Roman"/>
          <w:b w:val="0"/>
          <w:sz w:val="26"/>
        </w:rPr>
        <w:tab/>
        <w:t>7</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1.3.1. Khái niệm bản chất và hiện tượng</w:t>
      </w:r>
      <w:r>
        <w:rPr>
          <w:rFonts w:ascii="Times New Roman" w:hAnsi="Times New Roman" w:eastAsia="Times New Roman" w:cs="Times New Roman"/>
          <w:b w:val="0"/>
          <w:sz w:val="26"/>
        </w:rPr>
        <w:tab/>
        <w:t>7</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1.3.2. Giả tượng</w:t>
      </w:r>
      <w:r>
        <w:rPr>
          <w:rFonts w:ascii="Times New Roman" w:hAnsi="Times New Roman" w:eastAsia="Times New Roman" w:cs="Times New Roman"/>
          <w:b w:val="0"/>
          <w:sz w:val="26"/>
        </w:rPr>
        <w:tab/>
        <w:t>8</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1.3.3. Một minh họa hóa học</w:t>
      </w:r>
      <w:r>
        <w:rPr>
          <w:rFonts w:ascii="Times New Roman" w:hAnsi="Times New Roman" w:eastAsia="Times New Roman" w:cs="Times New Roman"/>
          <w:b w:val="0"/>
          <w:sz w:val="26"/>
        </w:rPr>
        <w:tab/>
        <w:t>8</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1.4. Mối quan hệ biện chứng giữa bản chất và hiện tượng</w:t>
      </w:r>
      <w:r>
        <w:rPr>
          <w:rFonts w:ascii="Times New Roman" w:hAnsi="Times New Roman" w:eastAsia="Times New Roman" w:cs="Times New Roman"/>
          <w:b w:val="0"/>
          <w:sz w:val="26"/>
        </w:rPr>
        <w:tab/>
        <w:t>9</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1.4.1. Sự thống nhất giữa bản chất và hiện tượng</w:t>
      </w:r>
      <w:r>
        <w:rPr>
          <w:rFonts w:ascii="Times New Roman" w:hAnsi="Times New Roman" w:eastAsia="Times New Roman" w:cs="Times New Roman"/>
          <w:b w:val="0"/>
          <w:sz w:val="26"/>
        </w:rPr>
        <w:tab/>
        <w:t>9</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1.4.2. Sự đối lập giữa bản chất và hiện tượng</w:t>
      </w:r>
      <w:r>
        <w:rPr>
          <w:rFonts w:ascii="Times New Roman" w:hAnsi="Times New Roman" w:eastAsia="Times New Roman" w:cs="Times New Roman"/>
          <w:b w:val="0"/>
          <w:sz w:val="26"/>
        </w:rPr>
        <w:tab/>
        <w:t>9</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1.4.3. Tính nhiều cấp độ của bản chất</w:t>
      </w:r>
      <w:r>
        <w:rPr>
          <w:rFonts w:ascii="Times New Roman" w:hAnsi="Times New Roman" w:eastAsia="Times New Roman" w:cs="Times New Roman"/>
          <w:b w:val="0"/>
          <w:sz w:val="26"/>
        </w:rPr>
        <w:tab/>
        <w:t>9</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1.5. Cặp phạm trù bản chất – hiện tượng trong hệ thống phép biện chứng duy vật</w:t>
      </w:r>
      <w:r>
        <w:rPr>
          <w:rFonts w:ascii="Times New Roman" w:hAnsi="Times New Roman" w:eastAsia="Times New Roman" w:cs="Times New Roman"/>
          <w:b w:val="0"/>
          <w:sz w:val="26"/>
        </w:rPr>
        <w:tab/>
        <w:t>10</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1.5.1. Liên hệ với các cặp phạm trù khác</w:t>
      </w:r>
      <w:r>
        <w:rPr>
          <w:rFonts w:ascii="Times New Roman" w:hAnsi="Times New Roman" w:eastAsia="Times New Roman" w:cs="Times New Roman"/>
          <w:b w:val="0"/>
          <w:sz w:val="26"/>
        </w:rPr>
        <w:tab/>
        <w:t>10</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1.5.2. Liên hệ với các quy luật cơ bản của phép biện chứng</w:t>
      </w:r>
      <w:r>
        <w:rPr>
          <w:rFonts w:ascii="Times New Roman" w:hAnsi="Times New Roman" w:eastAsia="Times New Roman" w:cs="Times New Roman"/>
          <w:b w:val="0"/>
          <w:sz w:val="26"/>
        </w:rPr>
        <w:tab/>
        <w:t>11</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1.6. Bản chất và hiện tượng trong tiến trình nhận thức</w:t>
      </w:r>
      <w:r>
        <w:rPr>
          <w:rFonts w:ascii="Times New Roman" w:hAnsi="Times New Roman" w:eastAsia="Times New Roman" w:cs="Times New Roman"/>
          <w:b w:val="0"/>
          <w:sz w:val="26"/>
        </w:rPr>
        <w:tab/>
        <w:t>12</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1.6.1. Con đường biện chứng của sự nhận thức</w:t>
      </w:r>
      <w:r>
        <w:rPr>
          <w:rFonts w:ascii="Times New Roman" w:hAnsi="Times New Roman" w:eastAsia="Times New Roman" w:cs="Times New Roman"/>
          <w:b w:val="0"/>
          <w:sz w:val="26"/>
        </w:rPr>
        <w:tab/>
        <w:t>12</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1.6.2. Mô hình, giả thuyết và chân lý</w:t>
      </w:r>
      <w:r>
        <w:rPr>
          <w:rFonts w:ascii="Times New Roman" w:hAnsi="Times New Roman" w:eastAsia="Times New Roman" w:cs="Times New Roman"/>
          <w:b w:val="0"/>
          <w:sz w:val="26"/>
        </w:rPr>
        <w:tab/>
        <w:t>12</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1.6.3. Thực tiễn – tiêu chuẩn kiểm nghiệm tri thức về bản chất</w:t>
      </w:r>
      <w:r>
        <w:rPr>
          <w:rFonts w:ascii="Times New Roman" w:hAnsi="Times New Roman" w:eastAsia="Times New Roman" w:cs="Times New Roman"/>
          <w:b w:val="0"/>
          <w:sz w:val="26"/>
        </w:rPr>
        <w:tab/>
        <w:t>13</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1.7. Ý nghĩa phương pháp luận</w:t>
      </w:r>
      <w:r>
        <w:rPr>
          <w:rFonts w:ascii="Times New Roman" w:hAnsi="Times New Roman" w:eastAsia="Times New Roman" w:cs="Times New Roman"/>
          <w:b w:val="0"/>
          <w:sz w:val="26"/>
        </w:rPr>
        <w:tab/>
        <w:t>13</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CHƯƠNG 2. SỰ VẬN ĐỘNG CỦA NHẬN THỨC TỪ HIỆN TƯỢNG ĐẾN BẢN CHẤT TRONG LỊCH SỬ HÓA HỌC</w:t>
      </w:r>
      <w:r>
        <w:rPr>
          <w:rFonts w:ascii="Times New Roman" w:hAnsi="Times New Roman" w:eastAsia="Times New Roman" w:cs="Times New Roman"/>
          <w:b/>
          <w:sz w:val="26"/>
        </w:rPr>
        <w:tab/>
        <w:t>15</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2.1. Sự cháy: từ thuyết phlogiston đến thuyết oxy hóa</w:t>
      </w:r>
      <w:r>
        <w:rPr>
          <w:rFonts w:ascii="Times New Roman" w:hAnsi="Times New Roman" w:eastAsia="Times New Roman" w:cs="Times New Roman"/>
          <w:b w:val="0"/>
          <w:sz w:val="26"/>
        </w:rPr>
        <w:tab/>
        <w:t>15</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2.2. Tính tuần hoàn của các nguyên tố: từ khối lượng nguyên tử đến điện tích hạt nhân</w:t>
      </w:r>
      <w:r>
        <w:rPr>
          <w:rFonts w:ascii="Times New Roman" w:hAnsi="Times New Roman" w:eastAsia="Times New Roman" w:cs="Times New Roman"/>
          <w:b w:val="0"/>
          <w:sz w:val="26"/>
        </w:rPr>
        <w:tab/>
        <w:t>16</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2.3. Các thuyết acid – base: những cấp độ nhận thức bản chất</w:t>
      </w:r>
      <w:r>
        <w:rPr>
          <w:rFonts w:ascii="Times New Roman" w:hAnsi="Times New Roman" w:eastAsia="Times New Roman" w:cs="Times New Roman"/>
          <w:b w:val="0"/>
          <w:sz w:val="26"/>
        </w:rPr>
        <w:tab/>
        <w:t>16</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2.4. Đồng phân và tính bất đối: từ thành phần đến cấu trúc không gian</w:t>
      </w:r>
      <w:r>
        <w:rPr>
          <w:rFonts w:ascii="Times New Roman" w:hAnsi="Times New Roman" w:eastAsia="Times New Roman" w:cs="Times New Roman"/>
          <w:b w:val="0"/>
          <w:sz w:val="26"/>
        </w:rPr>
        <w:tab/>
        <w:t>17</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2.5. Động học enzyme: từ tốc độ phản ứng đến cấu trúc phức hợp</w:t>
      </w:r>
      <w:r>
        <w:rPr>
          <w:rFonts w:ascii="Times New Roman" w:hAnsi="Times New Roman" w:eastAsia="Times New Roman" w:cs="Times New Roman"/>
          <w:b w:val="0"/>
          <w:sz w:val="26"/>
        </w:rPr>
        <w:tab/>
        <w:t>18</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2.6. Phương tiện nhận thức và sự dịch chuyển ranh giới giữa bản chất và hiện tượng</w:t>
      </w:r>
      <w:r>
        <w:rPr>
          <w:rFonts w:ascii="Times New Roman" w:hAnsi="Times New Roman" w:eastAsia="Times New Roman" w:cs="Times New Roman"/>
          <w:b w:val="0"/>
          <w:sz w:val="26"/>
        </w:rPr>
        <w:tab/>
        <w:t>19</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2.7. Những bài học nhận thức luận</w:t>
      </w:r>
      <w:r>
        <w:rPr>
          <w:rFonts w:ascii="Times New Roman" w:hAnsi="Times New Roman" w:eastAsia="Times New Roman" w:cs="Times New Roman"/>
          <w:b w:val="0"/>
          <w:sz w:val="26"/>
        </w:rPr>
        <w:tab/>
        <w:t>19</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CHƯƠNG 3. THỰC TRẠNG ĐÁNH GIÁ HOẠT TÍNH ỨC CHẾ ENZYME CỦA HỢP CHẤT THIÊN NHIÊN DƯỚI GÓC ĐỘ CẶP PHẠM TRÙ BẢN CHẤT VÀ HIỆN TƯỢNG</w:t>
      </w:r>
      <w:r>
        <w:rPr>
          <w:rFonts w:ascii="Times New Roman" w:hAnsi="Times New Roman" w:eastAsia="Times New Roman" w:cs="Times New Roman"/>
          <w:b/>
          <w:sz w:val="26"/>
        </w:rPr>
        <w:tab/>
        <w:t>21</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3.1. Hợp chất thiên nhiên và con đường đi đến bản chất của các thuốc ức chế enzyme</w:t>
      </w:r>
      <w:r>
        <w:rPr>
          <w:rFonts w:ascii="Times New Roman" w:hAnsi="Times New Roman" w:eastAsia="Times New Roman" w:cs="Times New Roman"/>
          <w:b w:val="0"/>
          <w:sz w:val="26"/>
        </w:rPr>
        <w:tab/>
        <w:t>21</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3.2. Quy trình đánh giá hoạt tính ức chế enzyme và cấu trúc hiện tượng – bản chất của nó</w:t>
      </w:r>
      <w:r>
        <w:rPr>
          <w:rFonts w:ascii="Times New Roman" w:hAnsi="Times New Roman" w:eastAsia="Times New Roman" w:cs="Times New Roman"/>
          <w:b w:val="0"/>
          <w:sz w:val="26"/>
        </w:rPr>
        <w:tab/>
        <w:t>22</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3.3. Các dạng giả tượng hoạt tính</w:t>
      </w:r>
      <w:r>
        <w:rPr>
          <w:rFonts w:ascii="Times New Roman" w:hAnsi="Times New Roman" w:eastAsia="Times New Roman" w:cs="Times New Roman"/>
          <w:b w:val="0"/>
          <w:sz w:val="26"/>
        </w:rPr>
        <w:tab/>
        <w:t>23</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3.3.1. Ức chế không đặc hiệu do kết tập keo</w:t>
      </w:r>
      <w:r>
        <w:rPr>
          <w:rFonts w:ascii="Times New Roman" w:hAnsi="Times New Roman" w:eastAsia="Times New Roman" w:cs="Times New Roman"/>
          <w:b w:val="0"/>
          <w:sz w:val="26"/>
        </w:rPr>
        <w:tab/>
        <w:t>23</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3.3.2. Hợp chất gây nhiễu đa phép thử và các “thuốc vạn năng” không hợp lệ</w:t>
      </w:r>
      <w:r>
        <w:rPr>
          <w:rFonts w:ascii="Times New Roman" w:hAnsi="Times New Roman" w:eastAsia="Times New Roman" w:cs="Times New Roman"/>
          <w:b w:val="0"/>
          <w:sz w:val="26"/>
        </w:rPr>
        <w:tab/>
        <w:t>24</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3.3.3. Sự không tương đồng giữa enzyme mô hình và đích sinh học</w:t>
      </w:r>
      <w:r>
        <w:rPr>
          <w:rFonts w:ascii="Times New Roman" w:hAnsi="Times New Roman" w:eastAsia="Times New Roman" w:cs="Times New Roman"/>
          <w:b w:val="0"/>
          <w:sz w:val="26"/>
        </w:rPr>
        <w:tab/>
        <w:t>25</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3.3.4. Tạp chất và vấn đề đồng nhất của đối tượng nghiên cứu</w:t>
      </w:r>
      <w:r>
        <w:rPr>
          <w:rFonts w:ascii="Times New Roman" w:hAnsi="Times New Roman" w:eastAsia="Times New Roman" w:cs="Times New Roman"/>
          <w:b w:val="0"/>
          <w:sz w:val="26"/>
        </w:rPr>
        <w:tab/>
        <w:t>25</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3.3.5. Tuyệt đối hóa kết quả mô phỏng docking phân tử</w:t>
      </w:r>
      <w:r>
        <w:rPr>
          <w:rFonts w:ascii="Times New Roman" w:hAnsi="Times New Roman" w:eastAsia="Times New Roman" w:cs="Times New Roman"/>
          <w:b w:val="0"/>
          <w:sz w:val="26"/>
        </w:rPr>
        <w:tab/>
        <w:t>26</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3.3.6. Hoạt tính của dịch chiết: hiện tượng của một tổng thể</w:t>
      </w:r>
      <w:r>
        <w:rPr>
          <w:rFonts w:ascii="Times New Roman" w:hAnsi="Times New Roman" w:eastAsia="Times New Roman" w:cs="Times New Roman"/>
          <w:b w:val="0"/>
          <w:sz w:val="26"/>
        </w:rPr>
        <w:tab/>
        <w:t>26</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3.4. Khả năng tái lập của dữ liệu tiền lâm sàng</w:t>
      </w:r>
      <w:r>
        <w:rPr>
          <w:rFonts w:ascii="Times New Roman" w:hAnsi="Times New Roman" w:eastAsia="Times New Roman" w:cs="Times New Roman"/>
          <w:b w:val="0"/>
          <w:sz w:val="26"/>
        </w:rPr>
        <w:tab/>
        <w:t>26</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3.5. Nguyên nhân của sự sai lệch giữa hiện tượng và bản chất</w:t>
      </w:r>
      <w:r>
        <w:rPr>
          <w:rFonts w:ascii="Times New Roman" w:hAnsi="Times New Roman" w:eastAsia="Times New Roman" w:cs="Times New Roman"/>
          <w:b w:val="0"/>
          <w:sz w:val="26"/>
        </w:rPr>
        <w:tab/>
        <w:t>27</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3.5.1. Nguyên nhân khách quan</w:t>
      </w:r>
      <w:r>
        <w:rPr>
          <w:rFonts w:ascii="Times New Roman" w:hAnsi="Times New Roman" w:eastAsia="Times New Roman" w:cs="Times New Roman"/>
          <w:b w:val="0"/>
          <w:sz w:val="26"/>
        </w:rPr>
        <w:tab/>
        <w:t>27</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3.5.2. Nguyên nhân chủ quan từ góc độ nhận thức luận</w:t>
      </w:r>
      <w:r>
        <w:rPr>
          <w:rFonts w:ascii="Times New Roman" w:hAnsi="Times New Roman" w:eastAsia="Times New Roman" w:cs="Times New Roman"/>
          <w:b w:val="0"/>
          <w:sz w:val="26"/>
        </w:rPr>
        <w:tab/>
        <w:t>27</w:t>
      </w:r>
    </w:p>
    <w:p>
      <w:pPr>
        <w:tabs>
          <w:tab w:pos="8787" w:val="right" w:leader="dot"/>
        </w:tabs>
        <w:spacing w:before="0" w:after="0" w:line="276" w:lineRule="auto"/>
        <w:ind w:hanging="680" w:left="1247" w:right="340"/>
        <w:jc w:val="left"/>
      </w:pPr>
      <w:r>
        <w:rPr>
          <w:rFonts w:ascii="Times New Roman" w:hAnsi="Times New Roman" w:eastAsia="Times New Roman" w:cs="Times New Roman"/>
          <w:b w:val="0"/>
          <w:i/>
          <w:sz w:val="26"/>
        </w:rPr>
        <w:t>3.5.3. Điều kiện xã hội của hoạt động nghiên cứu</w:t>
      </w:r>
      <w:r>
        <w:rPr>
          <w:rFonts w:ascii="Times New Roman" w:hAnsi="Times New Roman" w:eastAsia="Times New Roman" w:cs="Times New Roman"/>
          <w:b w:val="0"/>
          <w:sz w:val="26"/>
        </w:rPr>
        <w:tab/>
        <w:t>28</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3.6. Hệ quả</w:t>
      </w:r>
      <w:r>
        <w:rPr>
          <w:rFonts w:ascii="Times New Roman" w:hAnsi="Times New Roman" w:eastAsia="Times New Roman" w:cs="Times New Roman"/>
          <w:b w:val="0"/>
          <w:sz w:val="26"/>
        </w:rPr>
        <w:tab/>
        <w:t>28</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CHƯƠNG 4. VẬN DỤNG CẶP PHẠM TRÙ BẢN CHẤT VÀ HIỆN TƯỢNG NHẰM NÂNG CAO ĐỘ TIN CẬY CỦA ĐÁNH GIÁ HOẠT TÍNH ỨC CHẾ ENZYME</w:t>
      </w:r>
      <w:r>
        <w:rPr>
          <w:rFonts w:ascii="Times New Roman" w:hAnsi="Times New Roman" w:eastAsia="Times New Roman" w:cs="Times New Roman"/>
          <w:b/>
          <w:sz w:val="26"/>
        </w:rPr>
        <w:tab/>
        <w:t>29</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4.1. Nguyên tắc thứ nhất: xuất phát từ hiện tượng được ghi nhận đầy đủ và có kiểm soát</w:t>
      </w:r>
      <w:r>
        <w:rPr>
          <w:rFonts w:ascii="Times New Roman" w:hAnsi="Times New Roman" w:eastAsia="Times New Roman" w:cs="Times New Roman"/>
          <w:b w:val="0"/>
          <w:sz w:val="26"/>
        </w:rPr>
        <w:tab/>
        <w:t>29</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4.2. Nguyên tắc thứ hai: phân biệt hiện tượng với giả tượng</w:t>
      </w:r>
      <w:r>
        <w:rPr>
          <w:rFonts w:ascii="Times New Roman" w:hAnsi="Times New Roman" w:eastAsia="Times New Roman" w:cs="Times New Roman"/>
          <w:b w:val="0"/>
          <w:sz w:val="26"/>
        </w:rPr>
        <w:tab/>
        <w:t>30</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4.3. Nguyên tắc thứ ba: đi từ bản chất cấp một đến bản chất sâu hơn</w:t>
      </w:r>
      <w:r>
        <w:rPr>
          <w:rFonts w:ascii="Times New Roman" w:hAnsi="Times New Roman" w:eastAsia="Times New Roman" w:cs="Times New Roman"/>
          <w:b w:val="0"/>
          <w:sz w:val="26"/>
        </w:rPr>
        <w:tab/>
        <w:t>31</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4.4. Nguyên tắc thứ tư: xem xét hiện tượng trong điều kiện lịch sử – cụ thể và kiểm nghiệm bằng thực tiễn</w:t>
      </w:r>
      <w:r>
        <w:rPr>
          <w:rFonts w:ascii="Times New Roman" w:hAnsi="Times New Roman" w:eastAsia="Times New Roman" w:cs="Times New Roman"/>
          <w:b w:val="0"/>
          <w:sz w:val="26"/>
        </w:rPr>
        <w:tab/>
        <w:t>32</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4.5. Quy trình đánh giá theo các cấp độ tiếp cận bản chất</w:t>
      </w:r>
      <w:r>
        <w:rPr>
          <w:rFonts w:ascii="Times New Roman" w:hAnsi="Times New Roman" w:eastAsia="Times New Roman" w:cs="Times New Roman"/>
          <w:b w:val="0"/>
          <w:sz w:val="26"/>
        </w:rPr>
        <w:tab/>
        <w:t>32</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4.6. Tình huống minh họa</w:t>
      </w:r>
      <w:r>
        <w:rPr>
          <w:rFonts w:ascii="Times New Roman" w:hAnsi="Times New Roman" w:eastAsia="Times New Roman" w:cs="Times New Roman"/>
          <w:b w:val="0"/>
          <w:sz w:val="26"/>
        </w:rPr>
        <w:tab/>
        <w:t>34</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4.7. Một số kiến nghị</w:t>
      </w:r>
      <w:r>
        <w:rPr>
          <w:rFonts w:ascii="Times New Roman" w:hAnsi="Times New Roman" w:eastAsia="Times New Roman" w:cs="Times New Roman"/>
          <w:b w:val="0"/>
          <w:sz w:val="26"/>
        </w:rPr>
        <w:tab/>
        <w:t>36</w:t>
      </w:r>
    </w:p>
    <w:p>
      <w:pPr>
        <w:tabs>
          <w:tab w:pos="8787" w:val="right" w:leader="dot"/>
        </w:tabs>
        <w:spacing w:before="0" w:after="0" w:line="276" w:lineRule="auto"/>
        <w:ind w:hanging="510" w:left="794" w:right="340"/>
        <w:jc w:val="left"/>
      </w:pPr>
      <w:r>
        <w:rPr>
          <w:rFonts w:ascii="Times New Roman" w:hAnsi="Times New Roman" w:eastAsia="Times New Roman" w:cs="Times New Roman"/>
          <w:b w:val="0"/>
          <w:i w:val="0"/>
          <w:sz w:val="26"/>
        </w:rPr>
        <w:t>4.8. Ý nghĩa đối với việc rèn luyện tư duy biện chứng của người nghiên cứu</w:t>
      </w:r>
      <w:r>
        <w:rPr>
          <w:rFonts w:ascii="Times New Roman" w:hAnsi="Times New Roman" w:eastAsia="Times New Roman" w:cs="Times New Roman"/>
          <w:b w:val="0"/>
          <w:sz w:val="26"/>
        </w:rPr>
        <w:tab/>
        <w:t>36</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KẾT LUẬN</w:t>
      </w:r>
      <w:r>
        <w:rPr>
          <w:rFonts w:ascii="Times New Roman" w:hAnsi="Times New Roman" w:eastAsia="Times New Roman" w:cs="Times New Roman"/>
          <w:b/>
          <w:sz w:val="26"/>
        </w:rPr>
        <w:tab/>
        <w:t>38</w:t>
      </w:r>
    </w:p>
    <w:p>
      <w:pPr>
        <w:tabs>
          <w:tab w:pos="8787" w:val="right" w:leader="dot"/>
        </w:tabs>
        <w:spacing w:before="0" w:after="0" w:line="276" w:lineRule="auto"/>
        <w:ind w:firstLine="0" w:left="0" w:right="340"/>
        <w:jc w:val="left"/>
      </w:pPr>
      <w:r>
        <w:rPr>
          <w:rFonts w:ascii="Times New Roman" w:hAnsi="Times New Roman" w:eastAsia="Times New Roman" w:cs="Times New Roman"/>
          <w:b/>
          <w:i w:val="0"/>
          <w:sz w:val="26"/>
        </w:rPr>
        <w:t>DANH MỤC TÀI LIỆU THAM KHẢO</w:t>
      </w:r>
      <w:r>
        <w:rPr>
          <w:rFonts w:ascii="Times New Roman" w:hAnsi="Times New Roman" w:eastAsia="Times New Roman" w:cs="Times New Roman"/>
          <w:b/>
          <w:sz w:val="26"/>
        </w:rPr>
        <w:tab/>
        <w:t>41</w:t>
      </w:r>
    </w:p>
    <w:p>
      <w:pPr>
        <w:pageBreakBefore/>
        <w:spacing w:before="0" w:after="240" w:line="276" w:lineRule="auto"/>
        <w:ind w:firstLine="0"/>
        <w:jc w:val="center"/>
      </w:pPr>
      <w:r>
        <w:rPr>
          <w:rFonts w:ascii="Times New Roman" w:hAnsi="Times New Roman" w:eastAsia="Times New Roman" w:cs="Times New Roman"/>
          <w:b/>
          <w:i w:val="0"/>
          <w:sz w:val="28"/>
        </w:rPr>
        <w:t>DANH MỤC CHỮ VIẾT TẮT</w:t>
      </w:r>
    </w:p>
    <w:p>
      <w:pPr>
        <w:tabs>
          <w:tab w:pos="1531" w:val="left"/>
        </w:tabs>
        <w:spacing w:after="0" w:line="276" w:lineRule="auto"/>
        <w:ind w:hanging="1531" w:left="1531"/>
        <w:jc w:val="left"/>
      </w:pPr>
      <w:r>
        <w:rPr>
          <w:rFonts w:ascii="Times New Roman" w:hAnsi="Times New Roman" w:eastAsia="Times New Roman" w:cs="Times New Roman"/>
          <w:b/>
          <w:sz w:val="26"/>
        </w:rPr>
        <w:t>[E], [S]</w:t>
      </w:r>
      <w:r>
        <w:rPr>
          <w:rFonts w:ascii="Times New Roman" w:hAnsi="Times New Roman" w:eastAsia="Times New Roman" w:cs="Times New Roman"/>
          <w:sz w:val="26"/>
        </w:rPr>
        <w:tab/>
        <w:t>Nồng độ enzyme, nồng độ cơ chất</w:t>
      </w:r>
    </w:p>
    <w:p>
      <w:pPr>
        <w:tabs>
          <w:tab w:pos="1531" w:val="left"/>
        </w:tabs>
        <w:spacing w:after="0" w:line="276" w:lineRule="auto"/>
        <w:ind w:hanging="1531" w:left="1531"/>
        <w:jc w:val="left"/>
      </w:pPr>
      <w:r>
        <w:rPr>
          <w:rFonts w:ascii="Times New Roman" w:hAnsi="Times New Roman" w:eastAsia="Times New Roman" w:cs="Times New Roman"/>
          <w:b/>
          <w:sz w:val="26"/>
        </w:rPr>
        <w:t>ACE</w:t>
      </w:r>
      <w:r>
        <w:rPr>
          <w:rFonts w:ascii="Times New Roman" w:hAnsi="Times New Roman" w:eastAsia="Times New Roman" w:cs="Times New Roman"/>
          <w:sz w:val="26"/>
        </w:rPr>
        <w:tab/>
        <w:t>Enzyme chuyển angiotensin (Angiotensin-converting enzyme)</w:t>
      </w:r>
    </w:p>
    <w:p>
      <w:pPr>
        <w:tabs>
          <w:tab w:pos="1531" w:val="left"/>
        </w:tabs>
        <w:spacing w:after="0" w:line="276" w:lineRule="auto"/>
        <w:ind w:hanging="1531" w:left="1531"/>
        <w:jc w:val="left"/>
      </w:pPr>
      <w:r>
        <w:rPr>
          <w:rFonts w:ascii="Times New Roman" w:hAnsi="Times New Roman" w:eastAsia="Times New Roman" w:cs="Times New Roman"/>
          <w:b/>
          <w:sz w:val="26"/>
        </w:rPr>
        <w:t>AChE</w:t>
      </w:r>
      <w:r>
        <w:rPr>
          <w:rFonts w:ascii="Times New Roman" w:hAnsi="Times New Roman" w:eastAsia="Times New Roman" w:cs="Times New Roman"/>
          <w:sz w:val="26"/>
        </w:rPr>
        <w:tab/>
        <w:t>Acetylcholinesterase</w:t>
      </w:r>
    </w:p>
    <w:p>
      <w:pPr>
        <w:tabs>
          <w:tab w:pos="1531" w:val="left"/>
        </w:tabs>
        <w:spacing w:after="0" w:line="276" w:lineRule="auto"/>
        <w:ind w:hanging="1531" w:left="1531"/>
        <w:jc w:val="left"/>
      </w:pPr>
      <w:r>
        <w:rPr>
          <w:rFonts w:ascii="Times New Roman" w:hAnsi="Times New Roman" w:eastAsia="Times New Roman" w:cs="Times New Roman"/>
          <w:b/>
          <w:sz w:val="26"/>
        </w:rPr>
        <w:t>CETSA</w:t>
      </w:r>
      <w:r>
        <w:rPr>
          <w:rFonts w:ascii="Times New Roman" w:hAnsi="Times New Roman" w:eastAsia="Times New Roman" w:cs="Times New Roman"/>
          <w:sz w:val="26"/>
        </w:rPr>
        <w:tab/>
        <w:t>Phép thử dịch chuyển nhiệt trong tế bào (Cellular thermal shift assay)</w:t>
      </w:r>
    </w:p>
    <w:p>
      <w:pPr>
        <w:tabs>
          <w:tab w:pos="1531" w:val="left"/>
        </w:tabs>
        <w:spacing w:after="0" w:line="276" w:lineRule="auto"/>
        <w:ind w:hanging="1531" w:left="1531"/>
        <w:jc w:val="left"/>
      </w:pPr>
      <w:r>
        <w:rPr>
          <w:rFonts w:ascii="Times New Roman" w:hAnsi="Times New Roman" w:eastAsia="Times New Roman" w:cs="Times New Roman"/>
          <w:b/>
          <w:sz w:val="26"/>
        </w:rPr>
        <w:t>CRBN</w:t>
      </w:r>
      <w:r>
        <w:rPr>
          <w:rFonts w:ascii="Times New Roman" w:hAnsi="Times New Roman" w:eastAsia="Times New Roman" w:cs="Times New Roman"/>
          <w:sz w:val="26"/>
        </w:rPr>
        <w:tab/>
        <w:t>Cereblon</w:t>
      </w:r>
    </w:p>
    <w:p>
      <w:pPr>
        <w:tabs>
          <w:tab w:pos="1531" w:val="left"/>
        </w:tabs>
        <w:spacing w:after="0" w:line="276" w:lineRule="auto"/>
        <w:ind w:hanging="1531" w:left="1531"/>
        <w:jc w:val="left"/>
      </w:pPr>
      <w:r>
        <w:rPr>
          <w:rFonts w:ascii="Times New Roman" w:hAnsi="Times New Roman" w:eastAsia="Times New Roman" w:cs="Times New Roman"/>
          <w:b/>
          <w:sz w:val="26"/>
        </w:rPr>
        <w:t>DLS</w:t>
      </w:r>
      <w:r>
        <w:rPr>
          <w:rFonts w:ascii="Times New Roman" w:hAnsi="Times New Roman" w:eastAsia="Times New Roman" w:cs="Times New Roman"/>
          <w:sz w:val="26"/>
        </w:rPr>
        <w:tab/>
        <w:t>Tán xạ ánh sáng động (Dynamic light scattering)</w:t>
      </w:r>
    </w:p>
    <w:p>
      <w:pPr>
        <w:tabs>
          <w:tab w:pos="1531" w:val="left"/>
        </w:tabs>
        <w:spacing w:after="0" w:line="276" w:lineRule="auto"/>
        <w:ind w:hanging="1531" w:left="1531"/>
        <w:jc w:val="left"/>
      </w:pPr>
      <w:r>
        <w:rPr>
          <w:rFonts w:ascii="Times New Roman" w:hAnsi="Times New Roman" w:eastAsia="Times New Roman" w:cs="Times New Roman"/>
          <w:b/>
          <w:sz w:val="26"/>
        </w:rPr>
        <w:t>DMSO</w:t>
      </w:r>
      <w:r>
        <w:rPr>
          <w:rFonts w:ascii="Times New Roman" w:hAnsi="Times New Roman" w:eastAsia="Times New Roman" w:cs="Times New Roman"/>
          <w:sz w:val="26"/>
        </w:rPr>
        <w:tab/>
        <w:t>Dimethyl sulfoxid</w:t>
      </w:r>
    </w:p>
    <w:p>
      <w:pPr>
        <w:tabs>
          <w:tab w:pos="1531" w:val="left"/>
        </w:tabs>
        <w:spacing w:after="0" w:line="276" w:lineRule="auto"/>
        <w:ind w:hanging="1531" w:left="1531"/>
        <w:jc w:val="left"/>
      </w:pPr>
      <w:r>
        <w:rPr>
          <w:rFonts w:ascii="Times New Roman" w:hAnsi="Times New Roman" w:eastAsia="Times New Roman" w:cs="Times New Roman"/>
          <w:b/>
          <w:sz w:val="26"/>
        </w:rPr>
        <w:t>DTNB</w:t>
      </w:r>
      <w:r>
        <w:rPr>
          <w:rFonts w:ascii="Times New Roman" w:hAnsi="Times New Roman" w:eastAsia="Times New Roman" w:cs="Times New Roman"/>
          <w:sz w:val="26"/>
        </w:rPr>
        <w:tab/>
        <w:t>Acid 5,5'-dithiobis(2-nitrobenzoic) (thuốc thử Ellman)</w:t>
      </w:r>
    </w:p>
    <w:p>
      <w:pPr>
        <w:tabs>
          <w:tab w:pos="1531" w:val="left"/>
        </w:tabs>
        <w:spacing w:after="0" w:line="276" w:lineRule="auto"/>
        <w:ind w:hanging="1531" w:left="1531"/>
        <w:jc w:val="left"/>
      </w:pPr>
      <w:r>
        <w:rPr>
          <w:rFonts w:ascii="Times New Roman" w:hAnsi="Times New Roman" w:eastAsia="Times New Roman" w:cs="Times New Roman"/>
          <w:b/>
          <w:sz w:val="26"/>
        </w:rPr>
        <w:t>FDA</w:t>
      </w:r>
      <w:r>
        <w:rPr>
          <w:rFonts w:ascii="Times New Roman" w:hAnsi="Times New Roman" w:eastAsia="Times New Roman" w:cs="Times New Roman"/>
          <w:sz w:val="26"/>
        </w:rPr>
        <w:tab/>
        <w:t>Cơ quan Quản lý Thực phẩm và Dược phẩm Hoa Kỳ (Food and Drug Administration)</w:t>
      </w:r>
    </w:p>
    <w:p>
      <w:pPr>
        <w:tabs>
          <w:tab w:pos="1531" w:val="left"/>
        </w:tabs>
        <w:spacing w:after="0" w:line="276" w:lineRule="auto"/>
        <w:ind w:hanging="1531" w:left="1531"/>
        <w:jc w:val="left"/>
      </w:pPr>
      <w:r>
        <w:rPr>
          <w:rFonts w:ascii="Times New Roman" w:hAnsi="Times New Roman" w:eastAsia="Times New Roman" w:cs="Times New Roman"/>
          <w:b/>
          <w:sz w:val="26"/>
        </w:rPr>
        <w:t>HMG-CoA</w:t>
      </w:r>
      <w:r>
        <w:rPr>
          <w:rFonts w:ascii="Times New Roman" w:hAnsi="Times New Roman" w:eastAsia="Times New Roman" w:cs="Times New Roman"/>
          <w:sz w:val="26"/>
        </w:rPr>
        <w:tab/>
        <w:t>3-Hydroxy-3-methylglutaryl-coenzyme A</w:t>
      </w:r>
    </w:p>
    <w:p>
      <w:pPr>
        <w:tabs>
          <w:tab w:pos="1531" w:val="left"/>
        </w:tabs>
        <w:spacing w:after="0" w:line="276" w:lineRule="auto"/>
        <w:ind w:hanging="1531" w:left="1531"/>
        <w:jc w:val="left"/>
      </w:pPr>
      <w:r>
        <w:rPr>
          <w:rFonts w:ascii="Times New Roman" w:hAnsi="Times New Roman" w:eastAsia="Times New Roman" w:cs="Times New Roman"/>
          <w:b/>
          <w:sz w:val="26"/>
        </w:rPr>
        <w:t>HPLC</w:t>
      </w:r>
      <w:r>
        <w:rPr>
          <w:rFonts w:ascii="Times New Roman" w:hAnsi="Times New Roman" w:eastAsia="Times New Roman" w:cs="Times New Roman"/>
          <w:sz w:val="26"/>
        </w:rPr>
        <w:tab/>
        <w:t>Sắc ký lỏng hiệu năng cao (High-performance liquid chromatography)</w:t>
      </w:r>
    </w:p>
    <w:p>
      <w:pPr>
        <w:tabs>
          <w:tab w:pos="1531" w:val="left"/>
        </w:tabs>
        <w:spacing w:after="0" w:line="276" w:lineRule="auto"/>
        <w:ind w:hanging="1531" w:left="1531"/>
        <w:jc w:val="left"/>
      </w:pPr>
      <w:r>
        <w:rPr>
          <w:rFonts w:ascii="Times New Roman" w:hAnsi="Times New Roman" w:eastAsia="Times New Roman" w:cs="Times New Roman"/>
          <w:b/>
          <w:sz w:val="26"/>
        </w:rPr>
        <w:t>IC</w:t>
      </w:r>
      <w:r>
        <w:rPr>
          <w:rFonts w:ascii="Times New Roman" w:hAnsi="Times New Roman" w:eastAsia="Times New Roman" w:cs="Times New Roman"/>
          <w:b/>
          <w:sz w:val="26"/>
          <w:vertAlign w:val="subscript"/>
        </w:rPr>
        <w:t>50</w:t>
      </w:r>
      <w:r>
        <w:rPr>
          <w:rFonts w:ascii="Times New Roman" w:hAnsi="Times New Roman" w:eastAsia="Times New Roman" w:cs="Times New Roman"/>
          <w:sz w:val="26"/>
        </w:rPr>
        <w:tab/>
        <w:t>Nồng độ ức chế 50% hoạt tính (Half-maximal inhibitory concentration)</w:t>
      </w:r>
    </w:p>
    <w:p>
      <w:pPr>
        <w:tabs>
          <w:tab w:pos="1531" w:val="left"/>
        </w:tabs>
        <w:spacing w:after="0" w:line="276" w:lineRule="auto"/>
        <w:ind w:hanging="1531" w:left="1531"/>
        <w:jc w:val="left"/>
      </w:pPr>
      <w:r>
        <w:rPr>
          <w:rFonts w:ascii="Times New Roman" w:hAnsi="Times New Roman" w:eastAsia="Times New Roman" w:cs="Times New Roman"/>
          <w:b/>
          <w:sz w:val="26"/>
        </w:rPr>
        <w:t>IMPs</w:t>
      </w:r>
      <w:r>
        <w:rPr>
          <w:rFonts w:ascii="Times New Roman" w:hAnsi="Times New Roman" w:eastAsia="Times New Roman" w:cs="Times New Roman"/>
          <w:sz w:val="26"/>
        </w:rPr>
        <w:tab/>
        <w:t>Thuốc vạn năng chuyển hóa không hợp lệ (Invalid metabolic panaceas)</w:t>
      </w:r>
    </w:p>
    <w:p>
      <w:pPr>
        <w:tabs>
          <w:tab w:pos="1531" w:val="left"/>
        </w:tabs>
        <w:spacing w:after="0" w:line="276" w:lineRule="auto"/>
        <w:ind w:hanging="1531" w:left="1531"/>
        <w:jc w:val="left"/>
      </w:pPr>
      <w:r>
        <w:rPr>
          <w:rFonts w:ascii="Times New Roman" w:hAnsi="Times New Roman" w:eastAsia="Times New Roman" w:cs="Times New Roman"/>
          <w:b/>
          <w:sz w:val="26"/>
        </w:rPr>
        <w:t>ITC</w:t>
      </w:r>
      <w:r>
        <w:rPr>
          <w:rFonts w:ascii="Times New Roman" w:hAnsi="Times New Roman" w:eastAsia="Times New Roman" w:cs="Times New Roman"/>
          <w:sz w:val="26"/>
        </w:rPr>
        <w:tab/>
        <w:t>Nhiệt lượng kế chuẩn độ đẳng nhiệt (Isothermal titration calorimetry)</w:t>
      </w:r>
    </w:p>
    <w:p>
      <w:pPr>
        <w:tabs>
          <w:tab w:pos="1531" w:val="left"/>
        </w:tabs>
        <w:spacing w:after="0" w:line="276" w:lineRule="auto"/>
        <w:ind w:hanging="1531" w:left="1531"/>
        <w:jc w:val="left"/>
      </w:pPr>
      <w:r>
        <w:rPr>
          <w:rFonts w:ascii="Times New Roman" w:hAnsi="Times New Roman" w:eastAsia="Times New Roman" w:cs="Times New Roman"/>
          <w:b/>
          <w:sz w:val="26"/>
        </w:rPr>
        <w:t>K</w:t>
      </w:r>
      <w:r>
        <w:rPr>
          <w:rFonts w:ascii="Times New Roman" w:hAnsi="Times New Roman" w:eastAsia="Times New Roman" w:cs="Times New Roman"/>
          <w:b/>
          <w:sz w:val="26"/>
          <w:vertAlign w:val="subscript"/>
        </w:rPr>
        <w:t>i</w:t>
      </w:r>
      <w:r>
        <w:rPr>
          <w:rFonts w:ascii="Times New Roman" w:hAnsi="Times New Roman" w:eastAsia="Times New Roman" w:cs="Times New Roman"/>
          <w:sz w:val="26"/>
        </w:rPr>
        <w:tab/>
        <w:t>Hằng số ức chế (Inhibition constant)</w:t>
      </w:r>
    </w:p>
    <w:p>
      <w:pPr>
        <w:tabs>
          <w:tab w:pos="1531" w:val="left"/>
        </w:tabs>
        <w:spacing w:after="0" w:line="276" w:lineRule="auto"/>
        <w:ind w:hanging="1531" w:left="1531"/>
        <w:jc w:val="left"/>
      </w:pPr>
      <w:r>
        <w:rPr>
          <w:rFonts w:ascii="Times New Roman" w:hAnsi="Times New Roman" w:eastAsia="Times New Roman" w:cs="Times New Roman"/>
          <w:b/>
          <w:sz w:val="26"/>
        </w:rPr>
        <w:t>K</w:t>
      </w:r>
      <w:r>
        <w:rPr>
          <w:rFonts w:ascii="Times New Roman" w:hAnsi="Times New Roman" w:eastAsia="Times New Roman" w:cs="Times New Roman"/>
          <w:b/>
          <w:sz w:val="26"/>
          <w:vertAlign w:val="subscript"/>
        </w:rPr>
        <w:t>m</w:t>
      </w:r>
      <w:r>
        <w:rPr>
          <w:rFonts w:ascii="Times New Roman" w:hAnsi="Times New Roman" w:eastAsia="Times New Roman" w:cs="Times New Roman"/>
          <w:sz w:val="26"/>
        </w:rPr>
        <w:tab/>
        <w:t>Hằng số Michaelis</w:t>
      </w:r>
    </w:p>
    <w:p>
      <w:pPr>
        <w:tabs>
          <w:tab w:pos="1531" w:val="left"/>
        </w:tabs>
        <w:spacing w:after="0" w:line="276" w:lineRule="auto"/>
        <w:ind w:hanging="1531" w:left="1531"/>
        <w:jc w:val="left"/>
      </w:pPr>
      <w:r>
        <w:rPr>
          <w:rFonts w:ascii="Times New Roman" w:hAnsi="Times New Roman" w:eastAsia="Times New Roman" w:cs="Times New Roman"/>
          <w:b/>
          <w:sz w:val="26"/>
        </w:rPr>
        <w:t>MIABE</w:t>
      </w:r>
      <w:r>
        <w:rPr>
          <w:rFonts w:ascii="Times New Roman" w:hAnsi="Times New Roman" w:eastAsia="Times New Roman" w:cs="Times New Roman"/>
          <w:sz w:val="26"/>
        </w:rPr>
        <w:tab/>
        <w:t>Thông tin tối thiểu về một thực thể có hoạt tính sinh học (Minimum information about a bioactive entity)</w:t>
      </w:r>
    </w:p>
    <w:p>
      <w:pPr>
        <w:tabs>
          <w:tab w:pos="1531" w:val="left"/>
        </w:tabs>
        <w:spacing w:after="0" w:line="276" w:lineRule="auto"/>
        <w:ind w:hanging="1531" w:left="1531"/>
        <w:jc w:val="left"/>
      </w:pPr>
      <w:r>
        <w:rPr>
          <w:rFonts w:ascii="Times New Roman" w:hAnsi="Times New Roman" w:eastAsia="Times New Roman" w:cs="Times New Roman"/>
          <w:b/>
          <w:sz w:val="26"/>
        </w:rPr>
        <w:t>NMR</w:t>
      </w:r>
      <w:r>
        <w:rPr>
          <w:rFonts w:ascii="Times New Roman" w:hAnsi="Times New Roman" w:eastAsia="Times New Roman" w:cs="Times New Roman"/>
          <w:sz w:val="26"/>
        </w:rPr>
        <w:tab/>
        <w:t>Cộng hưởng từ hạt nhân (Nuclear magnetic resonance)</w:t>
      </w:r>
    </w:p>
    <w:p>
      <w:pPr>
        <w:tabs>
          <w:tab w:pos="1531" w:val="left"/>
        </w:tabs>
        <w:spacing w:after="0" w:line="276" w:lineRule="auto"/>
        <w:ind w:hanging="1531" w:left="1531"/>
        <w:jc w:val="left"/>
      </w:pPr>
      <w:r>
        <w:rPr>
          <w:rFonts w:ascii="Times New Roman" w:hAnsi="Times New Roman" w:eastAsia="Times New Roman" w:cs="Times New Roman"/>
          <w:b/>
          <w:sz w:val="26"/>
        </w:rPr>
        <w:t>PAINS</w:t>
      </w:r>
      <w:r>
        <w:rPr>
          <w:rFonts w:ascii="Times New Roman" w:hAnsi="Times New Roman" w:eastAsia="Times New Roman" w:cs="Times New Roman"/>
          <w:sz w:val="26"/>
        </w:rPr>
        <w:tab/>
        <w:t>Hợp chất gây nhiễu đa phép thử (Pan-assay interference compounds)</w:t>
      </w:r>
    </w:p>
    <w:p>
      <w:pPr>
        <w:tabs>
          <w:tab w:pos="1531" w:val="left"/>
        </w:tabs>
        <w:spacing w:after="0" w:line="276" w:lineRule="auto"/>
        <w:ind w:hanging="1531" w:left="1531"/>
        <w:jc w:val="left"/>
      </w:pPr>
      <w:r>
        <w:rPr>
          <w:rFonts w:ascii="Times New Roman" w:hAnsi="Times New Roman" w:eastAsia="Times New Roman" w:cs="Times New Roman"/>
          <w:b/>
          <w:sz w:val="26"/>
        </w:rPr>
        <w:t>pNPG</w:t>
      </w:r>
      <w:r>
        <w:rPr>
          <w:rFonts w:ascii="Times New Roman" w:hAnsi="Times New Roman" w:eastAsia="Times New Roman" w:cs="Times New Roman"/>
          <w:sz w:val="26"/>
        </w:rPr>
        <w:tab/>
      </w:r>
      <w:r>
        <w:rPr>
          <w:rFonts w:ascii="Times New Roman" w:hAnsi="Times New Roman" w:eastAsia="Times New Roman" w:cs="Times New Roman"/>
          <w:i/>
          <w:sz w:val="26"/>
        </w:rPr>
        <w:t>p</w:t>
      </w:r>
      <w:r>
        <w:rPr>
          <w:rFonts w:ascii="Times New Roman" w:hAnsi="Times New Roman" w:eastAsia="Times New Roman" w:cs="Times New Roman"/>
          <w:sz w:val="26"/>
        </w:rPr>
        <w:t>-Nitrophenyl-α-D-glucopyranosid</w:t>
      </w:r>
    </w:p>
    <w:p>
      <w:pPr>
        <w:tabs>
          <w:tab w:pos="1531" w:val="left"/>
        </w:tabs>
        <w:spacing w:after="0" w:line="276" w:lineRule="auto"/>
        <w:ind w:hanging="1531" w:left="1531"/>
        <w:jc w:val="left"/>
      </w:pPr>
      <w:r>
        <w:rPr>
          <w:rFonts w:ascii="Times New Roman" w:hAnsi="Times New Roman" w:eastAsia="Times New Roman" w:cs="Times New Roman"/>
          <w:b/>
          <w:sz w:val="26"/>
        </w:rPr>
        <w:t>qNMR</w:t>
      </w:r>
      <w:r>
        <w:rPr>
          <w:rFonts w:ascii="Times New Roman" w:hAnsi="Times New Roman" w:eastAsia="Times New Roman" w:cs="Times New Roman"/>
          <w:sz w:val="26"/>
        </w:rPr>
        <w:tab/>
        <w:t>Cộng hưởng từ hạt nhân định lượng (Quantitative NMR)</w:t>
      </w:r>
    </w:p>
    <w:p>
      <w:pPr>
        <w:tabs>
          <w:tab w:pos="1531" w:val="left"/>
        </w:tabs>
        <w:spacing w:after="0" w:line="276" w:lineRule="auto"/>
        <w:ind w:hanging="1531" w:left="1531"/>
        <w:jc w:val="left"/>
      </w:pPr>
      <w:r>
        <w:rPr>
          <w:rFonts w:ascii="Times New Roman" w:hAnsi="Times New Roman" w:eastAsia="Times New Roman" w:cs="Times New Roman"/>
          <w:b/>
          <w:sz w:val="26"/>
        </w:rPr>
        <w:t>SAR</w:t>
      </w:r>
      <w:r>
        <w:rPr>
          <w:rFonts w:ascii="Times New Roman" w:hAnsi="Times New Roman" w:eastAsia="Times New Roman" w:cs="Times New Roman"/>
          <w:sz w:val="26"/>
        </w:rPr>
        <w:tab/>
        <w:t>Quan hệ cấu trúc – hoạt tính (Structure–activity relationship)</w:t>
      </w:r>
    </w:p>
    <w:p>
      <w:pPr>
        <w:tabs>
          <w:tab w:pos="1531" w:val="left"/>
        </w:tabs>
        <w:spacing w:after="0" w:line="276" w:lineRule="auto"/>
        <w:ind w:hanging="1531" w:left="1531"/>
        <w:jc w:val="left"/>
      </w:pPr>
      <w:r>
        <w:rPr>
          <w:rFonts w:ascii="Times New Roman" w:hAnsi="Times New Roman" w:eastAsia="Times New Roman" w:cs="Times New Roman"/>
          <w:b/>
          <w:sz w:val="26"/>
        </w:rPr>
        <w:t>SPR</w:t>
      </w:r>
      <w:r>
        <w:rPr>
          <w:rFonts w:ascii="Times New Roman" w:hAnsi="Times New Roman" w:eastAsia="Times New Roman" w:cs="Times New Roman"/>
          <w:sz w:val="26"/>
        </w:rPr>
        <w:tab/>
        <w:t>Cộng hưởng plasmon bề mặt (Surface plasmon resonance)</w:t>
      </w:r>
    </w:p>
    <w:p>
      <w:pPr>
        <w:tabs>
          <w:tab w:pos="1531" w:val="left"/>
        </w:tabs>
        <w:spacing w:after="0" w:line="276" w:lineRule="auto"/>
        <w:ind w:hanging="1531" w:left="1531"/>
        <w:jc w:val="left"/>
      </w:pPr>
      <w:r>
        <w:rPr>
          <w:rFonts w:ascii="Times New Roman" w:hAnsi="Times New Roman" w:eastAsia="Times New Roman" w:cs="Times New Roman"/>
          <w:b/>
          <w:sz w:val="26"/>
        </w:rPr>
        <w:t>STAR</w:t>
      </w:r>
      <w:r>
        <w:rPr>
          <w:rFonts w:ascii="Times New Roman" w:hAnsi="Times New Roman" w:eastAsia="Times New Roman" w:cs="Times New Roman"/>
          <w:sz w:val="26"/>
        </w:rPr>
        <w:tab/>
        <w:t>Quan hệ cấu trúc – phơi nhiễm mô/chọn lọc – hoạt tính (Structure–tissue exposure/selectivity–activity relationship)</w:t>
      </w:r>
    </w:p>
    <w:p>
      <w:pPr>
        <w:tabs>
          <w:tab w:pos="1531" w:val="left"/>
        </w:tabs>
        <w:spacing w:after="0" w:line="276" w:lineRule="auto"/>
        <w:ind w:hanging="1531" w:left="1531"/>
        <w:jc w:val="left"/>
      </w:pPr>
      <w:r>
        <w:rPr>
          <w:rFonts w:ascii="Times New Roman" w:hAnsi="Times New Roman" w:eastAsia="Times New Roman" w:cs="Times New Roman"/>
          <w:b/>
          <w:sz w:val="26"/>
        </w:rPr>
        <w:t>STD-NMR</w:t>
      </w:r>
      <w:r>
        <w:rPr>
          <w:rFonts w:ascii="Times New Roman" w:hAnsi="Times New Roman" w:eastAsia="Times New Roman" w:cs="Times New Roman"/>
          <w:sz w:val="26"/>
        </w:rPr>
        <w:tab/>
        <w:t>NMR chênh lệch truyền bão hòa (Saturation transfer difference NMR)</w:t>
      </w:r>
    </w:p>
    <w:p>
      <w:pPr>
        <w:tabs>
          <w:tab w:pos="1531" w:val="left"/>
        </w:tabs>
        <w:spacing w:after="0" w:line="276" w:lineRule="auto"/>
        <w:ind w:hanging="1531" w:left="1531"/>
        <w:jc w:val="left"/>
      </w:pPr>
      <w:r>
        <w:rPr>
          <w:rFonts w:ascii="Times New Roman" w:hAnsi="Times New Roman" w:eastAsia="Times New Roman" w:cs="Times New Roman"/>
          <w:b/>
          <w:sz w:val="26"/>
        </w:rPr>
        <w:t>TPEN</w:t>
      </w:r>
      <w:r>
        <w:rPr>
          <w:rFonts w:ascii="Times New Roman" w:hAnsi="Times New Roman" w:eastAsia="Times New Roman" w:cs="Times New Roman"/>
          <w:sz w:val="26"/>
        </w:rPr>
        <w:tab/>
        <w:t>N,N,N',N'-Tetrakis(2-pyridylmethyl)ethylendiamin (chất tạo phức kim loại)</w:t>
      </w:r>
    </w:p>
    <w:p>
      <w:pPr>
        <w:pageBreakBefore/>
        <w:spacing w:before="0" w:after="240" w:line="276" w:lineRule="auto"/>
        <w:ind w:firstLine="0"/>
        <w:jc w:val="center"/>
      </w:pPr>
      <w:r>
        <w:rPr>
          <w:rFonts w:ascii="Times New Roman" w:hAnsi="Times New Roman" w:eastAsia="Times New Roman" w:cs="Times New Roman"/>
          <w:b/>
          <w:i w:val="0"/>
          <w:sz w:val="28"/>
        </w:rPr>
        <w:t>DANH MỤC BẢNG</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1.1. Mối liên hệ giữa cặp phạm trù bản chất – hiện tượng với các cặp phạm trù khác</w:t>
      </w:r>
      <w:r>
        <w:rPr>
          <w:rFonts w:ascii="Times New Roman" w:hAnsi="Times New Roman" w:eastAsia="Times New Roman" w:cs="Times New Roman"/>
          <w:b w:val="0"/>
          <w:sz w:val="26"/>
        </w:rPr>
        <w:tab/>
        <w:t>10</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2.1. Các thuyết acid – base như những cấp độ nhận thức bản chất</w:t>
      </w:r>
      <w:r>
        <w:rPr>
          <w:rFonts w:ascii="Times New Roman" w:hAnsi="Times New Roman" w:eastAsia="Times New Roman" w:cs="Times New Roman"/>
          <w:b w:val="0"/>
          <w:sz w:val="26"/>
        </w:rPr>
        <w:tab/>
        <w:t>17</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3.1. Một số thuốc ức chế enzyme có nguồn gốc từ hợp chất thiên nhiên</w:t>
      </w:r>
      <w:r>
        <w:rPr>
          <w:rFonts w:ascii="Times New Roman" w:hAnsi="Times New Roman" w:eastAsia="Times New Roman" w:cs="Times New Roman"/>
          <w:b w:val="0"/>
          <w:sz w:val="26"/>
        </w:rPr>
        <w:tab/>
        <w:t>21</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3.2. Một số phép thử ức chế enzyme thường dùng và nguy cơ giả tượng</w:t>
      </w:r>
      <w:r>
        <w:rPr>
          <w:rFonts w:ascii="Times New Roman" w:hAnsi="Times New Roman" w:eastAsia="Times New Roman" w:cs="Times New Roman"/>
          <w:b w:val="0"/>
          <w:sz w:val="26"/>
        </w:rPr>
        <w:tab/>
        <w:t>22</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4.1. Quy trình đánh giá hoạt tính ức chế enzyme theo các cấp độ tiếp cận bản chất</w:t>
      </w:r>
      <w:r>
        <w:rPr>
          <w:rFonts w:ascii="Times New Roman" w:hAnsi="Times New Roman" w:eastAsia="Times New Roman" w:cs="Times New Roman"/>
          <w:b w:val="0"/>
          <w:sz w:val="26"/>
        </w:rPr>
        <w:tab/>
        <w:t>33</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Bảng 4.2. Các kịch bản kết quả trong tình huống minh họa và kết luận tương ứng</w:t>
      </w:r>
      <w:r>
        <w:rPr>
          <w:rFonts w:ascii="Times New Roman" w:hAnsi="Times New Roman" w:eastAsia="Times New Roman" w:cs="Times New Roman"/>
          <w:b w:val="0"/>
          <w:sz w:val="26"/>
        </w:rPr>
        <w:tab/>
        <w:t>35</w:t>
      </w:r>
    </w:p>
    <w:p>
      <w:pPr>
        <w:spacing w:before="480" w:after="240" w:line="276" w:lineRule="auto"/>
        <w:ind w:firstLine="0"/>
        <w:jc w:val="center"/>
      </w:pPr>
      <w:r>
        <w:rPr>
          <w:rFonts w:ascii="Times New Roman" w:hAnsi="Times New Roman" w:eastAsia="Times New Roman" w:cs="Times New Roman"/>
          <w:b/>
          <w:i w:val="0"/>
          <w:sz w:val="28"/>
        </w:rPr>
        <w:t>DANH MỤC HÌNH</w:t>
      </w:r>
    </w:p>
    <w:p>
      <w:pPr>
        <w:tabs>
          <w:tab w:pos="8787" w:val="right" w:leader="dot"/>
        </w:tabs>
        <w:spacing w:before="0" w:after="0" w:line="276" w:lineRule="auto"/>
        <w:ind w:firstLine="0" w:left="0" w:right="340"/>
        <w:jc w:val="left"/>
      </w:pPr>
      <w:r>
        <w:rPr>
          <w:rFonts w:ascii="Times New Roman" w:hAnsi="Times New Roman" w:eastAsia="Times New Roman" w:cs="Times New Roman"/>
          <w:b w:val="0"/>
          <w:i w:val="0"/>
          <w:sz w:val="26"/>
        </w:rPr>
        <w:t>Hình 4.1. Sơ đồ tiến trình từ hiện tượng đến bản chất trong đánh giá hoạt tính ức chế enzyme</w:t>
      </w:r>
      <w:r>
        <w:rPr>
          <w:rFonts w:ascii="Times New Roman" w:hAnsi="Times New Roman" w:eastAsia="Times New Roman" w:cs="Times New Roman"/>
          <w:b w:val="0"/>
          <w:sz w:val="26"/>
        </w:rPr>
        <w:tab/>
        <w:t>34</w:t>
      </w:r>
    </w:p>
    <w:p>
      <w:pPr>
        <w:sectPr>
          <w:headerReference w:type="default" r:id="rId9"/>
          <w:pgSz w:w="11906" w:h="16838"/>
          <w:pgMar w:top="1984" w:right="1134" w:bottom="1701" w:left="1984" w:header="1020" w:footer="850" w:gutter="0"/>
          <w:pgNumType w:fmt="lowerRoman" w:start="1"/>
          <w:cols w:space="720"/>
          <w:docGrid w:linePitch="360"/>
        </w:sectPr>
      </w:pPr>
    </w:p>
    <w:p>
      <w:pPr>
        <w:pStyle w:val="Heading1"/>
        <w:pageBreakBefore w:val="0"/>
      </w:pPr>
      <w:r>
        <w:rPr>
          <w:rFonts w:ascii="Times New Roman" w:hAnsi="Times New Roman" w:eastAsia="Times New Roman" w:cs="Times New Roman"/>
        </w:rPr>
        <w:t>PHẦN MỞ ĐẦU</w:t>
      </w:r>
    </w:p>
    <w:p>
      <w:pPr>
        <w:keepNext/>
        <w:spacing w:before="120" w:after="60"/>
        <w:ind w:firstLine="0"/>
        <w:jc w:val="left"/>
      </w:pPr>
      <w:r>
        <w:rPr>
          <w:rFonts w:ascii="Times New Roman" w:hAnsi="Times New Roman" w:eastAsia="Times New Roman" w:cs="Times New Roman"/>
          <w:b/>
        </w:rPr>
        <w:t>1. Tính cấp thiết của đề tài</w:t>
      </w:r>
    </w:p>
    <w:p>
      <w:pPr>
        <w:ind w:firstLine="567"/>
        <w:jc w:val="both"/>
      </w:pPr>
      <w:r>
        <w:rPr>
          <w:rFonts w:ascii="Times New Roman" w:hAnsi="Times New Roman" w:eastAsia="Times New Roman" w:cs="Times New Roman"/>
        </w:rPr>
        <w:t>Triết học Mác – Lênin, với tư cách là hạt nhân lý luận của thế giới quan khoa học, cung cấp cho các khoa học cụ thể những nguyên tắc phương pháp luận chung nhất của hoạt động nhận thức và thực tiễn [1], [2]. Mối liên hệ giữa triết học và khoa học tự nhiên là mối liên hệ hai chiều: thành tựu của khoa học tự nhiên là cơ sở cho những khái quát triết học, còn các khái quát ấy lại trở thành công cụ định hướng cho nhận thức khoa học. Trong hệ thống các phạm trù của phép biện chứng duy vật, cặp phạm trù bản chất và hiện tượng có quan hệ trực tiếp với vấn đề trung tâm của lý luận nhận thức: con người có thể vượt qua những gì được đem lại trong cảm giác để nắm bắt những mối liên hệ tất nhiên ở bên trong sự vật hay không, và bằng con đường nào. C. Mác đã chỉ ra rằng nếu hình thái biểu hiện và bản chất của sự vật trực tiếp trùng khớp với nhau thì mọi khoa học đều trở nên thừa [5]. Nhận định này xác định nhiệm vụ của mọi khoa học là đi từ hiện tượng đến bản chất, đồng thời cho thấy tính cấp thiết của việc nghiên cứu cặp phạm trù này trong những lĩnh vực nhận thức cụ thể.</w:t>
      </w:r>
    </w:p>
    <w:p>
      <w:pPr>
        <w:ind w:firstLine="567"/>
        <w:jc w:val="both"/>
      </w:pPr>
      <w:r>
        <w:rPr>
          <w:rFonts w:ascii="Times New Roman" w:hAnsi="Times New Roman" w:eastAsia="Times New Roman" w:cs="Times New Roman"/>
        </w:rPr>
        <w:t xml:space="preserve">Nghiên cứu hóa học hợp chất thiên nhiên là một lĩnh vực mà quan hệ giữa hiện tượng và bản chất bộc lộ đặc biệt rõ. Hợp chất thiên nhiên và các cấu trúc phát triển từ chúng giữ vai trò quan trọng trong lịch sử hóa trị liệu [7]. Theo tổng quan của Newman và Cragg về các thuốc được phê duyệt trên thế giới từ năm 1981 đến năm 2019, trong lĩnh vực điều trị ung thư, 62 trong số 185 thuốc phân tử nhỏ (33,5%) có nguồn gốc trực tiếp từ hợp chất thiên nhiên; nếu tính thêm các chất tổng hợp mang dược cơ hoặc mô phỏng cấu trúc của hợp chất thiên nhiên, tỷ lệ này đạt 64,9% [36]. Nhiều thuốc ức chế enzyme quan trọng cũng có nguồn gốc thiên nhiên, như acarbose ức chế α-glucosidase [45], các statin ức chế HMG-CoA reductase [20] và galantamine ức chế acetylcholinesterase [23]. Tại Việt Nam, phân lập, xác định cấu trúc và đánh giá hoạt tính sinh học của hợp chất thiên nhiên là một hướng nghiên cứu chủ đạo trong đào tạo sau đại học ngành Hóa học; trong đó, phép thử ức chế enzyme </w:t>
      </w:r>
      <w:r>
        <w:rPr>
          <w:rFonts w:ascii="Times New Roman" w:hAnsi="Times New Roman" w:eastAsia="Times New Roman" w:cs="Times New Roman"/>
          <w:i/>
        </w:rPr>
        <w:t>in vitro</w:t>
      </w:r>
      <w:r>
        <w:rPr>
          <w:rFonts w:ascii="Times New Roman" w:hAnsi="Times New Roman" w:eastAsia="Times New Roman" w:cs="Times New Roman"/>
        </w:rPr>
        <w:t xml:space="preserve"> thường là căn cứ đầu tiên để kết luận một hợp chất có “tiềm năng” dược lý.</w:t>
      </w:r>
    </w:p>
    <w:p>
      <w:pPr>
        <w:ind w:firstLine="567"/>
        <w:jc w:val="both"/>
      </w:pPr>
      <w:r>
        <w:rPr>
          <w:rFonts w:ascii="Times New Roman" w:hAnsi="Times New Roman" w:eastAsia="Times New Roman" w:cs="Times New Roman"/>
        </w:rPr>
        <w:t>Tuy nhiên,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thu được từ một phép thử </w:t>
      </w:r>
      <w:r>
        <w:rPr>
          <w:rFonts w:ascii="Times New Roman" w:hAnsi="Times New Roman" w:eastAsia="Times New Roman" w:cs="Times New Roman"/>
          <w:i/>
        </w:rPr>
        <w:t>in vitro</w:t>
      </w:r>
      <w:r>
        <w:rPr>
          <w:rFonts w:ascii="Times New Roman" w:hAnsi="Times New Roman" w:eastAsia="Times New Roman" w:cs="Times New Roman"/>
        </w:rPr>
        <w:t xml:space="preserve"> chỉ là kết quả đo, trong những điều kiện xác định, của tương tác giữa phân tử và hệ thử. Kết quả đó có thể phản ánh đúng một cơ chế ức chế đặc hiệu, nhưng cũng có thể bắt nguồn từ sự kết tập keo của phân tử, từ phản ứng không đặc hiệu với protein, từ nhiễu quang học hoặc từ sự không tương đồng giữa enzyme mô hình và đích sinh học ở người [8], [33], [37]. Việc đồng nhất tín hiệu đo được với cơ chế tác dụng là một trong những yếu tố góp phần vào tỷ lệ thất bại khoảng 90% của các ứng viên thuốc khi bước vào thử nghiệm lâm sàng [42]. Các khảo sát trong công nghiệp dược phẩm cũng cho thấy phần lớn kết quả tiền lâm sàng được công bố không được lặp lại khi kiểm chứng độc lập [10], [40]. Những dữ kiện này đặt ra một vấn đề không chỉ có tính kỹ thuật mà có tính nhận thức luận: ranh giới giữa hiện tượng và bản chất, giữa hiện tượng và giả tượng, đã bị xóa nhòa trong nhận thức và trong thực tiễn nghiên cứu.</w:t>
      </w:r>
    </w:p>
    <w:p>
      <w:pPr>
        <w:ind w:firstLine="567"/>
        <w:jc w:val="both"/>
      </w:pPr>
      <w:r>
        <w:rPr>
          <w:rFonts w:ascii="Times New Roman" w:hAnsi="Times New Roman" w:eastAsia="Times New Roman" w:cs="Times New Roman"/>
        </w:rPr>
        <w:t>Xuất phát từ những lý do trên, học viên chọn đề tài “</w:t>
      </w:r>
      <w:r>
        <w:rPr>
          <w:rFonts w:ascii="Times New Roman" w:hAnsi="Times New Roman" w:eastAsia="Times New Roman" w:cs="Times New Roman"/>
          <w:b/>
        </w:rPr>
        <w:t>Vận dụng cặp phạm trù bản chất và hiện tượng trong đánh giá hoạt tính ức chế enzyme của hợp chất thiên nhiên</w:t>
      </w:r>
      <w:r>
        <w:rPr>
          <w:rFonts w:ascii="Times New Roman" w:hAnsi="Times New Roman" w:eastAsia="Times New Roman" w:cs="Times New Roman"/>
        </w:rPr>
        <w:t>” làm tiểu luận môn Triết học. Đề tài đi theo định hướng vận dụng nội dung của phép biện chứng duy vật để nhận thức và giải quyết một vấn đề thuộc chuyên ngành được đào tạo.</w:t>
      </w:r>
    </w:p>
    <w:p>
      <w:pPr>
        <w:keepNext/>
        <w:spacing w:before="120" w:after="60"/>
        <w:ind w:firstLine="0"/>
        <w:jc w:val="left"/>
      </w:pPr>
      <w:r>
        <w:rPr>
          <w:rFonts w:ascii="Times New Roman" w:hAnsi="Times New Roman" w:eastAsia="Times New Roman" w:cs="Times New Roman"/>
          <w:b/>
        </w:rPr>
        <w:t>2. Tình hình nghiên cứu liên quan đến đề tài</w:t>
      </w:r>
    </w:p>
    <w:p>
      <w:pPr>
        <w:ind w:firstLine="567"/>
        <w:jc w:val="both"/>
      </w:pPr>
      <w:r>
        <w:rPr>
          <w:rFonts w:ascii="Times New Roman" w:hAnsi="Times New Roman" w:eastAsia="Times New Roman" w:cs="Times New Roman"/>
        </w:rPr>
        <w:t xml:space="preserve">Về phương diện triết học, cặp phạm trù bản chất và hiện tượng được trình bày có hệ thống trong các giáo trình triết học Mác – Lênin [1], [2] và trong các tác phẩm kinh điển, đặc biệt là </w:t>
      </w:r>
      <w:r>
        <w:rPr>
          <w:rFonts w:ascii="Times New Roman" w:hAnsi="Times New Roman" w:eastAsia="Times New Roman" w:cs="Times New Roman"/>
          <w:i/>
        </w:rPr>
        <w:t>Chủ nghĩa duy vật và chủ nghĩa kinh nghiệm phê phán</w:t>
      </w:r>
      <w:r>
        <w:rPr>
          <w:rFonts w:ascii="Times New Roman" w:hAnsi="Times New Roman" w:eastAsia="Times New Roman" w:cs="Times New Roman"/>
        </w:rPr>
        <w:t xml:space="preserve"> và </w:t>
      </w:r>
      <w:r>
        <w:rPr>
          <w:rFonts w:ascii="Times New Roman" w:hAnsi="Times New Roman" w:eastAsia="Times New Roman" w:cs="Times New Roman"/>
          <w:i/>
        </w:rPr>
        <w:t>Bút ký triết học</w:t>
      </w:r>
      <w:r>
        <w:rPr>
          <w:rFonts w:ascii="Times New Roman" w:hAnsi="Times New Roman" w:eastAsia="Times New Roman" w:cs="Times New Roman"/>
        </w:rPr>
        <w:t xml:space="preserve"> của V.I. Lênin [3], [4]. Qua các tiểu luận tham khảo được của học viên cao học ngành Hóa học, việc vận dụng triết học thường tập trung vào các quy luật cơ bản của phép biện chứng, như quy luật chuyển hóa từ những thay đổi về lượng thành những thay đổi về chất hoặc quy luật thống nhất và đấu tranh của các mặt đối lập; việc vận dụng các cặp phạm trù vào những vấn đề phương pháp luận cụ thể của nghiên cứu thực nghiệm ít được khai thác hơn.</w:t>
      </w:r>
    </w:p>
    <w:p>
      <w:pPr>
        <w:ind w:firstLine="567"/>
        <w:jc w:val="both"/>
      </w:pPr>
      <w:r>
        <w:rPr>
          <w:rFonts w:ascii="Times New Roman" w:hAnsi="Times New Roman" w:eastAsia="Times New Roman" w:cs="Times New Roman"/>
        </w:rPr>
        <w:t>Về phương diện khoa học chuyên ngành, từ đầu thập niên 2000 đã hình thành một hướng nghiên cứu về những kết quả hoạt tính không phản ánh tương tác đặc hiệu: hiện tượng ức chế do kết tập keo [22], [33], [41], các hợp chất gây nhiễu đa phép thử [8], [9], các “thuốc vạn năng” không hợp lệ trong hóa học hợp chất thiên nhiên [11], [35], cùng những phê phán đối với việc áp dụng máy móc các bộ lọc cấu trúc [15]. Các công trình này tiếp cận vấn đề chủ yếu dưới góc độ kỹ thuật và thống kê. Việc khái quát chúng dưới góc độ triết học, nhằm chỉ ra cơ sở phương pháp luận chung của các biện pháp kỹ thuật riêng lẻ, là khoảng trống mà tiểu luận này hướng tới.</w:t>
      </w:r>
    </w:p>
    <w:p>
      <w:pPr>
        <w:keepNext/>
        <w:spacing w:before="120" w:after="60"/>
        <w:ind w:firstLine="0"/>
        <w:jc w:val="left"/>
      </w:pPr>
      <w:r>
        <w:rPr>
          <w:rFonts w:ascii="Times New Roman" w:hAnsi="Times New Roman" w:eastAsia="Times New Roman" w:cs="Times New Roman"/>
          <w:b/>
        </w:rPr>
        <w:t>3. Mục tiêu và nhiệm vụ nghiên cứu</w:t>
      </w:r>
    </w:p>
    <w:p>
      <w:pPr>
        <w:ind w:firstLine="567"/>
        <w:jc w:val="both"/>
      </w:pPr>
      <w:r>
        <w:rPr>
          <w:rFonts w:ascii="Times New Roman" w:hAnsi="Times New Roman" w:eastAsia="Times New Roman" w:cs="Times New Roman"/>
        </w:rPr>
        <w:t>Mục tiêu của tiểu luận là làm rõ nội dung và ý nghĩa phương pháp luận của cặp phạm trù bản chất và hiện tượng, trên cơ sở đó đề xuất các nguyên tắc tiếp cận nhằm nâng cao tính khách quan và độ tin cậy của các kết luận về hoạt tính ức chế enzyme của hợp chất thiên nhiên. Để đạt mục tiêu đó, tiểu luận thực hiện bốn nhiệm vụ: (i) hệ thống hóa lịch sử vấn đề và quan niệm duy vật biện chứng về bản chất, hiện tượng và mối quan hệ giữa chúng; (ii) phân tích sự vận động của nhận thức từ hiện tượng đến bản chất qua một số trường hợp tiêu biểu trong lịch sử hóa học; (iii) phân tích thực trạng và nguyên cội nhận thức luận của sự sai lệch giữa kết quả thử nghiệm và cơ chế tác dụng trong nghiên cứu hợp chất thiên nhiên; (iv) đề xuất các nguyên tắc và một quy trình đánh giá theo các cấp độ tiếp cận bản chất.</w:t>
      </w:r>
    </w:p>
    <w:p>
      <w:pPr>
        <w:keepNext/>
        <w:spacing w:before="120" w:after="60"/>
        <w:ind w:firstLine="0"/>
        <w:jc w:val="left"/>
      </w:pPr>
      <w:r>
        <w:rPr>
          <w:rFonts w:ascii="Times New Roman" w:hAnsi="Times New Roman" w:eastAsia="Times New Roman" w:cs="Times New Roman"/>
          <w:b/>
        </w:rPr>
        <w:t>4. Đối tượng và phạm vi nghiên cứu</w:t>
      </w:r>
    </w:p>
    <w:p>
      <w:pPr>
        <w:ind w:firstLine="567"/>
        <w:jc w:val="both"/>
      </w:pPr>
      <w:r>
        <w:rPr>
          <w:rFonts w:ascii="Times New Roman" w:hAnsi="Times New Roman" w:eastAsia="Times New Roman" w:cs="Times New Roman"/>
        </w:rPr>
        <w:t xml:space="preserve">Đối tượng nghiên cứu là mối quan hệ giữa kết quả đo hoạt tính (với tư cách là hiện tượng) và cơ chế tác dụng của hợp chất (với tư cách là bản chất) trong nghiên cứu hợp chất thiên nhiên, được xem xét dưới góc độ của cặp phạm trù bản chất và hiện tượng. Phạm vi nghiên cứu được giới hạn ở giai đoạn đánh giá tiền lâm sàng sớm, gồm các phép thử ức chế enzyme </w:t>
      </w:r>
      <w:r>
        <w:rPr>
          <w:rFonts w:ascii="Times New Roman" w:hAnsi="Times New Roman" w:eastAsia="Times New Roman" w:cs="Times New Roman"/>
          <w:i/>
        </w:rPr>
        <w:t>in vitro</w:t>
      </w:r>
      <w:r>
        <w:rPr>
          <w:rFonts w:ascii="Times New Roman" w:hAnsi="Times New Roman" w:eastAsia="Times New Roman" w:cs="Times New Roman"/>
        </w:rPr>
        <w:t xml:space="preserve"> và mô phỏng docking phân tử; lịch sử hóa học được sử dụng như chất liệu để làm sáng tỏ các luận điểm triết học; các vấn đề của thử nghiệm lâm sàng chỉ được đề cập ở mức liên hệ.</w:t>
      </w:r>
    </w:p>
    <w:p>
      <w:pPr>
        <w:keepNext/>
        <w:spacing w:before="120" w:after="60"/>
        <w:ind w:firstLine="0"/>
        <w:jc w:val="left"/>
      </w:pPr>
      <w:r>
        <w:rPr>
          <w:rFonts w:ascii="Times New Roman" w:hAnsi="Times New Roman" w:eastAsia="Times New Roman" w:cs="Times New Roman"/>
          <w:b/>
        </w:rPr>
        <w:t>5. Cơ sở lý luận và phương pháp nghiên cứu</w:t>
      </w:r>
    </w:p>
    <w:p>
      <w:pPr>
        <w:ind w:firstLine="567"/>
        <w:jc w:val="both"/>
      </w:pPr>
      <w:r>
        <w:rPr>
          <w:rFonts w:ascii="Times New Roman" w:hAnsi="Times New Roman" w:eastAsia="Times New Roman" w:cs="Times New Roman"/>
        </w:rPr>
        <w:t>Cơ sở lý luận của tiểu luận là chủ nghĩa duy vật biện chứng, trực tiếp là lý luận về các cặp phạm trù, lý luận nhận thức và các nguyên tắc phương pháp luận rút ra từ hai nguyên lý của phép biện chứng duy vật. Tiểu luận sử dụng các phương pháp: phân tích và tổng hợp; thống nhất lôgíc và lịch sử, được áp dụng khi xem xét lịch sử quan niệm về bản chất và hiện tượng cũng như lịch sử hình thành các lý thuyết hóa học; đi từ trừu tượng đến cụ thể, được áp dụng khi chuyển các yêu cầu phương pháp luận chung thành các nguyên tắc cho hoạt động thực nghiệm; nghiên cứu trường hợp; kết hợp với tổng quan tài liệu khoa học chuyên ngành hóa dược, hóa sinh và hóa học hợp chất thiên nhiên.</w:t>
      </w:r>
    </w:p>
    <w:p>
      <w:pPr>
        <w:keepNext/>
        <w:spacing w:before="120" w:after="60"/>
        <w:ind w:firstLine="0"/>
        <w:jc w:val="left"/>
      </w:pPr>
      <w:r>
        <w:rPr>
          <w:rFonts w:ascii="Times New Roman" w:hAnsi="Times New Roman" w:eastAsia="Times New Roman" w:cs="Times New Roman"/>
          <w:b/>
        </w:rPr>
        <w:t>6. Ý nghĩa lý luận và thực tiễn</w:t>
      </w:r>
    </w:p>
    <w:p>
      <w:pPr>
        <w:ind w:firstLine="567"/>
        <w:jc w:val="both"/>
      </w:pPr>
      <w:r>
        <w:rPr>
          <w:rFonts w:ascii="Times New Roman" w:hAnsi="Times New Roman" w:eastAsia="Times New Roman" w:cs="Times New Roman"/>
        </w:rPr>
        <w:t>Về lý luận, tiểu luận góp phần cụ thể hóa nội dung của cặp phạm trù bản chất và hiện tượng trong một lĩnh vực của khoa học tự nhiên, qua đó làm rõ vai trò phương pháp luận của triết học Mác – Lênin đối với nhận thức khoa học. Về thực tiễn, các nguyên tắc và quy trình được đề xuất có thể làm cơ sở cho việc thiết kế thí nghiệm, trình bày kết quả và đánh giá công bố trong nghiên cứu hóa học hợp chất thiên nhiên, đồng thời là tài liệu tham khảo cho việc học tập môn Triết học của học viên các ngành khoa học tự nhiên.</w:t>
      </w:r>
    </w:p>
    <w:p>
      <w:pPr>
        <w:keepNext/>
        <w:spacing w:before="120" w:after="60"/>
        <w:ind w:firstLine="0"/>
        <w:jc w:val="left"/>
      </w:pPr>
      <w:r>
        <w:rPr>
          <w:rFonts w:ascii="Times New Roman" w:hAnsi="Times New Roman" w:eastAsia="Times New Roman" w:cs="Times New Roman"/>
          <w:b/>
        </w:rPr>
        <w:t>7. Kết cấu của tiểu luận</w:t>
      </w:r>
    </w:p>
    <w:p>
      <w:pPr>
        <w:ind w:firstLine="567"/>
        <w:jc w:val="both"/>
      </w:pPr>
      <w:r>
        <w:rPr>
          <w:rFonts w:ascii="Times New Roman" w:hAnsi="Times New Roman" w:eastAsia="Times New Roman" w:cs="Times New Roman"/>
        </w:rPr>
        <w:t>Ngoài Phần mở đầu, Kết luận và Danh mục tài liệu tham khảo, tiểu luận gồm bốn chương. Chương 1 trình bày cơ sở lý luận về cặp phạm trù bản chất và hiện tượng. Chương 2 phân tích sự vận động của nhận thức từ hiện tượng đến bản chất trong lịch sử hóa học. Chương 3 phân tích thực trạng đánh giá hoạt tính ức chế enzyme của hợp chất thiên nhiên dưới góc độ của cặp phạm trù này. Chương 4 đề xuất các nguyên tắc và quy trình vận dụng.</w:t>
      </w:r>
    </w:p>
    <w:p>
      <w:pPr>
        <w:pStyle w:val="Heading1"/>
        <w:pageBreakBefore/>
      </w:pPr>
      <w:r>
        <w:rPr>
          <w:rFonts w:ascii="Times New Roman" w:hAnsi="Times New Roman" w:eastAsia="Times New Roman" w:cs="Times New Roman"/>
        </w:rPr>
        <w:t>CHƯƠNG 1</w:t>
      </w:r>
      <w:r>
        <w:br/>
      </w:r>
      <w:r>
        <w:rPr>
          <w:rFonts w:ascii="Times New Roman" w:hAnsi="Times New Roman" w:eastAsia="Times New Roman" w:cs="Times New Roman"/>
        </w:rPr>
        <w:t>CƠ SỞ LÝ LUẬN VỀ CẶP PHẠM TRÙ BẢN CHẤT VÀ HIỆN TƯỢNG</w:t>
      </w:r>
    </w:p>
    <w:p>
      <w:pPr>
        <w:pStyle w:val="Heading2"/>
      </w:pPr>
      <w:r>
        <w:rPr>
          <w:rFonts w:ascii="Times New Roman" w:hAnsi="Times New Roman" w:eastAsia="Times New Roman" w:cs="Times New Roman"/>
        </w:rPr>
        <w:t>1.1. Phạm trù và hệ thống phạm trù của phép biện chứng duy vật</w:t>
      </w:r>
    </w:p>
    <w:p>
      <w:pPr>
        <w:pStyle w:val="Heading3"/>
      </w:pPr>
      <w:r>
        <w:rPr>
          <w:rFonts w:ascii="Times New Roman" w:hAnsi="Times New Roman" w:eastAsia="Times New Roman" w:cs="Times New Roman"/>
        </w:rPr>
        <w:t>1.1.1. Khái niệm phạm trù</w:t>
      </w:r>
    </w:p>
    <w:p>
      <w:pPr>
        <w:ind w:firstLine="567"/>
        <w:jc w:val="both"/>
      </w:pPr>
      <w:r>
        <w:rPr>
          <w:rFonts w:ascii="Times New Roman" w:hAnsi="Times New Roman" w:eastAsia="Times New Roman" w:cs="Times New Roman"/>
        </w:rPr>
        <w:t>Phạm trù là những khái niệm rộng nhất, phản ánh những mặt, những thuộc tính, những mối liên hệ chung, cơ bản nhất của các sự vật và hiện tượng thuộc một lĩnh vực nhất định [2]. Mỗi khoa học cụ thể có hệ thống phạm trù riêng; chẳng hạn, “liên kết hóa học”, “cơ chế phản ứng”, “ái lực gắn kết” là các phạm trù của hóa học và hóa sinh, phản ánh các mối liên hệ trong một lĩnh vực hiện thực xác định. Phạm trù của phép biện chứng duy vật có phạm vi rộng hơn: chúng phản ánh những mối liên hệ phổ biến nhất, có mặt trong tự nhiên, xã hội và tư duy. Vì vậy, phạm trù triết học không thay thế phạm trù của khoa học cụ thể, mà đóng vai trò định hướng phương pháp luận cho việc hình thành và sử dụng các phạm trù ấy [1], [2].</w:t>
      </w:r>
    </w:p>
    <w:p>
      <w:pPr>
        <w:ind w:firstLine="567"/>
        <w:jc w:val="both"/>
      </w:pPr>
      <w:r>
        <w:rPr>
          <w:rFonts w:ascii="Times New Roman" w:hAnsi="Times New Roman" w:eastAsia="Times New Roman" w:cs="Times New Roman"/>
        </w:rPr>
        <w:t>Trong lịch sử triết học, vấn đề phạm trù được giải quyết theo những lập trường khác nhau. Arixtốt là người đầu tiên xây dựng một hệ thống phạm trù tương đối hoàn chỉnh, xem phạm trù là những thể loại chung nhất của tồn tại và của phát ngôn về tồn tại. I. Cantơ coi phạm trù là những hình thức tiên nghiệm của giác tính, vốn có trong chủ thể và được áp đặt lên kinh nghiệm cảm tính. G.W.F. Hêghen đã trình bày các phạm trù trong sự vận động, chuyển hóa lẫn nhau, song coi đó là những nấc thang tự phát triển của “ý niệm tuyệt đối” [2]. Chủ nghĩa duy vật biện chứng khắc phục cả quan niệm duy tâm chủ quan lẫn duy tâm khách quan: phạm trù là kết quả của quá trình nhận thức và thực tiễn, là sự phản ánh những mối liên hệ tồn tại khách quan vào trong ý thức con người. V.I. Lênin coi các phạm trù là những bậc thang của sự nhận thức thế giới, những điểm nút trong mạng lưới các hiện tượng tự nhiên, giúp con người nhận thức và làm chủ mạng lưới đó [4].</w:t>
      </w:r>
    </w:p>
    <w:p>
      <w:pPr>
        <w:pStyle w:val="Heading3"/>
      </w:pPr>
      <w:r>
        <w:rPr>
          <w:rFonts w:ascii="Times New Roman" w:hAnsi="Times New Roman" w:eastAsia="Times New Roman" w:cs="Times New Roman"/>
        </w:rPr>
        <w:t>1.1.2. Tính chất của phạm trù</w:t>
      </w:r>
    </w:p>
    <w:p>
      <w:pPr>
        <w:ind w:firstLine="567"/>
        <w:jc w:val="both"/>
      </w:pPr>
      <w:r>
        <w:rPr>
          <w:rFonts w:ascii="Times New Roman" w:hAnsi="Times New Roman" w:eastAsia="Times New Roman" w:cs="Times New Roman"/>
        </w:rPr>
        <w:t xml:space="preserve">Theo quan niệm duy vật biện chứng, phạm trù có những tính chất cơ bản sau [2]. </w:t>
      </w:r>
      <w:r>
        <w:rPr>
          <w:rFonts w:ascii="Times New Roman" w:hAnsi="Times New Roman" w:eastAsia="Times New Roman" w:cs="Times New Roman"/>
          <w:i/>
        </w:rPr>
        <w:t>Thứ nhất</w:t>
      </w:r>
      <w:r>
        <w:rPr>
          <w:rFonts w:ascii="Times New Roman" w:hAnsi="Times New Roman" w:eastAsia="Times New Roman" w:cs="Times New Roman"/>
        </w:rPr>
        <w:t xml:space="preserve">, phạm trù có tính khách quan về nội dung, vì nội dung của nó là sự phản ánh những mối liên hệ tồn tại độc lập với ý thức; đồng thời có tính chủ quan về hình thức, vì nó là sản phẩm của tư duy trừu tượng. </w:t>
      </w:r>
      <w:r>
        <w:rPr>
          <w:rFonts w:ascii="Times New Roman" w:hAnsi="Times New Roman" w:eastAsia="Times New Roman" w:cs="Times New Roman"/>
          <w:i/>
        </w:rPr>
        <w:t>Thứ hai</w:t>
      </w:r>
      <w:r>
        <w:rPr>
          <w:rFonts w:ascii="Times New Roman" w:hAnsi="Times New Roman" w:eastAsia="Times New Roman" w:cs="Times New Roman"/>
        </w:rPr>
        <w:t xml:space="preserve">, phạm trù có tính phổ biến, vì những mặt, những mối liên hệ mà nó phản ánh có mặt trong mọi sự vật, hiện tượng. </w:t>
      </w:r>
      <w:r>
        <w:rPr>
          <w:rFonts w:ascii="Times New Roman" w:hAnsi="Times New Roman" w:eastAsia="Times New Roman" w:cs="Times New Roman"/>
          <w:i/>
        </w:rPr>
        <w:t>Thứ ba</w:t>
      </w:r>
      <w:r>
        <w:rPr>
          <w:rFonts w:ascii="Times New Roman" w:hAnsi="Times New Roman" w:eastAsia="Times New Roman" w:cs="Times New Roman"/>
        </w:rPr>
        <w:t xml:space="preserve">, phạm trù có tính biện chứng: các phạm trù liên hệ và chuyển hóa lẫn nhau, và nội dung của chúng không đứng im mà vận động theo sự vận động của hiện thực. </w:t>
      </w:r>
      <w:r>
        <w:rPr>
          <w:rFonts w:ascii="Times New Roman" w:hAnsi="Times New Roman" w:eastAsia="Times New Roman" w:cs="Times New Roman"/>
          <w:i/>
        </w:rPr>
        <w:t>Thứ tư</w:t>
      </w:r>
      <w:r>
        <w:rPr>
          <w:rFonts w:ascii="Times New Roman" w:hAnsi="Times New Roman" w:eastAsia="Times New Roman" w:cs="Times New Roman"/>
        </w:rPr>
        <w:t>, phạm trù có tính lịch sử: hệ thống phạm trù không khép kín mà được bổ sung, điều chỉnh cùng với sự phát triển của thực tiễn và của nhận thức khoa học.</w:t>
      </w:r>
    </w:p>
    <w:p>
      <w:pPr>
        <w:ind w:firstLine="567"/>
        <w:jc w:val="both"/>
      </w:pPr>
      <w:r>
        <w:rPr>
          <w:rFonts w:ascii="Times New Roman" w:hAnsi="Times New Roman" w:eastAsia="Times New Roman" w:cs="Times New Roman"/>
        </w:rPr>
        <w:t>Các tính chất này có ý nghĩa trực tiếp đối với người nghiên cứu khoa học tự nhiên. Tính khách quan của phạm trù đòi hỏi các khái niệm khoa học phải được kiểm chứng trong đối tượng thực, chứ không được coi là những định nghĩa quy ước tùy tiện. Tính lịch sử của phạm trù cho thấy rằng ngay cả những khái niệm tưởng như ổn định của hóa học, như “acid”, “nguyên tố”, “hoạt tính ức chế”, cũng đã và đang thay đổi nội dung theo tiến trình của nhận thức, như sẽ được phân tích ở Chương 2.</w:t>
      </w:r>
    </w:p>
    <w:p>
      <w:pPr>
        <w:pStyle w:val="Heading3"/>
      </w:pPr>
      <w:r>
        <w:rPr>
          <w:rFonts w:ascii="Times New Roman" w:hAnsi="Times New Roman" w:eastAsia="Times New Roman" w:cs="Times New Roman"/>
        </w:rPr>
        <w:t>1.1.3. Hệ thống các cặp phạm trù cơ bản và vị trí của cặp phạm trù bản chất – hiện tượng</w:t>
      </w:r>
    </w:p>
    <w:p>
      <w:pPr>
        <w:ind w:firstLine="567"/>
        <w:jc w:val="both"/>
      </w:pPr>
      <w:r>
        <w:rPr>
          <w:rFonts w:ascii="Times New Roman" w:hAnsi="Times New Roman" w:eastAsia="Times New Roman" w:cs="Times New Roman"/>
        </w:rPr>
        <w:t>Phép biện chứng duy vật khái quát sáu cặp phạm trù cơ bản: cái riêng và cái chung; nguyên nhân và kết quả; tất nhiên và ngẫu nhiên; nội dung và hình thức; bản chất và hiện tượng; khả năng và hiện thực. Các cặp phạm trù này cụ thể hóa hai nguyên lý cơ bản (nguyên lý về mối liên hệ phổ biến và nguyên lý về sự phát triển) và bổ sung cho ba quy luật cơ bản của phép biện chứng, song mỗi cặp phản ánh một phương diện riêng của các mối liên hệ [2]. Cặp phạm trù bản chất và hiện tượng phản ánh quan hệ giữa mặt bên trong, tương đối ổn định, quy định sự vận động của sự vật với mặt bên ngoài, biến đổi, có thể quan sát trực tiếp. Do liên quan trực tiếp đến sự chuyển hóa từ nhận thức cảm tính lên nhận thức lý tính, cặp phạm trù này có ý nghĩa đặc biệt đối với lý luận nhận thức và đối với phương pháp luận của các khoa học thực nghiệm.</w:t>
      </w:r>
    </w:p>
    <w:p>
      <w:pPr>
        <w:pStyle w:val="Heading2"/>
      </w:pPr>
      <w:r>
        <w:rPr>
          <w:rFonts w:ascii="Times New Roman" w:hAnsi="Times New Roman" w:eastAsia="Times New Roman" w:cs="Times New Roman"/>
        </w:rPr>
        <w:t>1.2. Lịch sử vấn đề bản chất và hiện tượng trong triết học</w:t>
      </w:r>
    </w:p>
    <w:p>
      <w:pPr>
        <w:ind w:firstLine="567"/>
        <w:jc w:val="both"/>
      </w:pPr>
      <w:r>
        <w:rPr>
          <w:rFonts w:ascii="Times New Roman" w:hAnsi="Times New Roman" w:eastAsia="Times New Roman" w:cs="Times New Roman"/>
        </w:rPr>
        <w:t>Quan hệ giữa bản chất và hiện tượng gắn liền với mặt thứ hai trong vấn đề cơ bản của triết học: con người có khả năng nhận thức được thế giới hay không. Những câu trả lời khác nhau cho câu hỏi này đã hình thành khả tri luận và bất khả tri luận, và qua đó hình thành những quan niệm khác nhau về bản chất và hiện tượng [1], [2].</w:t>
      </w:r>
    </w:p>
    <w:p>
      <w:pPr>
        <w:pStyle w:val="Heading3"/>
      </w:pPr>
      <w:r>
        <w:rPr>
          <w:rFonts w:ascii="Times New Roman" w:hAnsi="Times New Roman" w:eastAsia="Times New Roman" w:cs="Times New Roman"/>
        </w:rPr>
        <w:t>1.2.1. Triết học Hy Lạp cổ đại</w:t>
      </w:r>
    </w:p>
    <w:p>
      <w:pPr>
        <w:ind w:firstLine="567"/>
        <w:jc w:val="both"/>
      </w:pPr>
      <w:r>
        <w:rPr>
          <w:rFonts w:ascii="Times New Roman" w:hAnsi="Times New Roman" w:eastAsia="Times New Roman" w:cs="Times New Roman"/>
        </w:rPr>
        <w:t>Ngay từ triết học Hy Lạp cổ đại, sự phân biệt giữa cái hiện ra trước giác quan và cái tồn tại thực sự đã được đặt ra. Đêmôcrít cho rằng các tính chất như ngọt, đắng, nóng, lạnh, màu sắc chỉ tồn tại theo “ước lệ”, còn trong thực tại chỉ có nguyên tử và khoảng trống; qua đó, ông đã phân biệt thế giới cảm tính với cấu trúc vật chất ẩn giấu ở bên dưới, dù ở trình độ trực quan, phỏng đoán. Platôn đi theo hướng duy tâm khách quan: bản chất chân thực là thế giới ý niệm, còn các sự vật cảm tính chỉ là cái bóng, bản sao không hoàn hảo của ý niệm. Arixtốt phê phán Platôn, khẳng định bản chất không tồn tại tách rời mà ở ngay trong các sự vật riêng lẻ, song quan niệm của ông còn dao động giữa chủ nghĩa duy vật và chủ nghĩa duy tâm [1].</w:t>
      </w:r>
    </w:p>
    <w:p>
      <w:pPr>
        <w:pStyle w:val="Heading3"/>
      </w:pPr>
      <w:r>
        <w:rPr>
          <w:rFonts w:ascii="Times New Roman" w:hAnsi="Times New Roman" w:eastAsia="Times New Roman" w:cs="Times New Roman"/>
        </w:rPr>
        <w:t>1.2.2. Triết học Tây Âu cận đại và triết học cổ điển Đức</w:t>
      </w:r>
    </w:p>
    <w:p>
      <w:pPr>
        <w:ind w:firstLine="567"/>
        <w:jc w:val="both"/>
      </w:pPr>
      <w:r>
        <w:rPr>
          <w:rFonts w:ascii="Times New Roman" w:hAnsi="Times New Roman" w:eastAsia="Times New Roman" w:cs="Times New Roman"/>
        </w:rPr>
        <w:t>Trong triết học cận đại, J. Lốccơ phân biệt “chất có đầu tiên” (quảng tính, hình dạng, vận động) tồn tại trong bản thân vật thể với “chất có thứ hai” (màu sắc, mùi vị, âm thanh) chỉ tồn tại trong cảm giác của chủ thể. G. Béccơli đi đến chủ nghĩa duy tâm chủ quan khi cho rằng tồn tại có nghĩa là được tri giác. Đ. Hium cho rằng con người chỉ biết được các ấn tượng cảm tính của mình và không thể biết có gì tồn tại ở phía sau chúng [1]. I. Cantơ thừa nhận sự tồn tại khách quan của “vật tự nó”, nhưng khẳng định con người chỉ nhận thức được “hiện tượng”, tức là vật như nó hiện ra đối với chủ thể thông qua các hình thức tiên nghiệm của cảm tính và giác tính; còn “vật tự nó” là không thể nhận thức. Như vậy, ở Cantơ, bản chất và hiện tượng bị tách rời bằng một ranh giới về nguyên tắc.</w:t>
      </w:r>
    </w:p>
    <w:p>
      <w:pPr>
        <w:ind w:firstLine="567"/>
        <w:jc w:val="both"/>
      </w:pPr>
      <w:r>
        <w:rPr>
          <w:rFonts w:ascii="Times New Roman" w:hAnsi="Times New Roman" w:eastAsia="Times New Roman" w:cs="Times New Roman"/>
        </w:rPr>
        <w:t xml:space="preserve">G.W.F. Hêghen phê phán sự tách rời đó. Trong học thuyết về bản chất thuộc </w:t>
      </w:r>
      <w:r>
        <w:rPr>
          <w:rFonts w:ascii="Times New Roman" w:hAnsi="Times New Roman" w:eastAsia="Times New Roman" w:cs="Times New Roman"/>
          <w:i/>
        </w:rPr>
        <w:t>Khoa học lôgíc</w:t>
      </w:r>
      <w:r>
        <w:rPr>
          <w:rFonts w:ascii="Times New Roman" w:hAnsi="Times New Roman" w:eastAsia="Times New Roman" w:cs="Times New Roman"/>
        </w:rPr>
        <w:t xml:space="preserve">, ông khẳng định bản chất phải hiện ra, và hiện tượng không phải là cái gì ngoài bản chất mà chính là sự biểu hiện của bản chất. Đây là đóng góp biện chứng quan trọng, được V.I. Lênin đánh giá cao và kế thừa trong </w:t>
      </w:r>
      <w:r>
        <w:rPr>
          <w:rFonts w:ascii="Times New Roman" w:hAnsi="Times New Roman" w:eastAsia="Times New Roman" w:cs="Times New Roman"/>
          <w:i/>
        </w:rPr>
        <w:t>Bút ký triết học</w:t>
      </w:r>
      <w:r>
        <w:rPr>
          <w:rFonts w:ascii="Times New Roman" w:hAnsi="Times New Roman" w:eastAsia="Times New Roman" w:cs="Times New Roman"/>
        </w:rPr>
        <w:t xml:space="preserve"> [4]. Tuy nhiên, Hêghen quy cả bản chất lẫn hiện tượng về các nấc thang vận động của “ý niệm tuyệt đối”, nên biện chứng của ông là biện chứng duy tâm [1], [2].</w:t>
      </w:r>
    </w:p>
    <w:p>
      <w:pPr>
        <w:pStyle w:val="Heading3"/>
      </w:pPr>
      <w:r>
        <w:rPr>
          <w:rFonts w:ascii="Times New Roman" w:hAnsi="Times New Roman" w:eastAsia="Times New Roman" w:cs="Times New Roman"/>
        </w:rPr>
        <w:t>1.2.3. Quan niệm của C. Mác và Ph. Ăngghen</w:t>
      </w:r>
    </w:p>
    <w:p>
      <w:pPr>
        <w:ind w:firstLine="567"/>
        <w:jc w:val="both"/>
      </w:pPr>
      <w:r>
        <w:rPr>
          <w:rFonts w:ascii="Times New Roman" w:hAnsi="Times New Roman" w:eastAsia="Times New Roman" w:cs="Times New Roman"/>
        </w:rPr>
        <w:t xml:space="preserve">C. Mác và Ph. Ăngghen đã cải tạo phép biện chứng của Hêghen trên cơ sở duy vật, qua đó đặt vấn đề bản chất và hiện tượng trên một nền tảng mới: bản chất là những mối liên hệ tất nhiên của bản thân hiện thực vật chất, chứ không phải của ý niệm, và nhận thức bản chất là quá trình phản ánh những mối liên hệ đó dựa trên thực tiễn [1], [2]. Trong </w:t>
      </w:r>
      <w:r>
        <w:rPr>
          <w:rFonts w:ascii="Times New Roman" w:hAnsi="Times New Roman" w:eastAsia="Times New Roman" w:cs="Times New Roman"/>
          <w:i/>
        </w:rPr>
        <w:t>Tư bản</w:t>
      </w:r>
      <w:r>
        <w:rPr>
          <w:rFonts w:ascii="Times New Roman" w:hAnsi="Times New Roman" w:eastAsia="Times New Roman" w:cs="Times New Roman"/>
        </w:rPr>
        <w:t>, Mác không chỉ nêu nguyên tắc này mà còn vận dụng nó như một phương pháp nghiên cứu. Ở chương cuối của quyển III, khi phân tích cái gọi là “công thức ba ngôi” (tư bản – lợi nhuận, ruộng đất – địa tô, lao động – tiền công), Mác phê phán kinh tế chính trị tầm thường vì nó chỉ hệ thống hóa những hình thái biểu hiện bề ngoài của các quan hệ kinh tế như chúng hiện ra trong ý thức của những người tham gia, mà không đi vào những mối liên hệ bên trong. Chính trong bối cảnh này, Mác nêu nhận định rằng nếu hình thái biểu hiện và bản chất của sự vật trực tiếp trùng khớp với nhau thì mọi khoa học đều trở nên thừa [5].</w:t>
      </w:r>
    </w:p>
    <w:p>
      <w:pPr>
        <w:ind w:firstLine="567"/>
        <w:jc w:val="both"/>
      </w:pPr>
      <w:r>
        <w:rPr>
          <w:rFonts w:ascii="Times New Roman" w:hAnsi="Times New Roman" w:eastAsia="Times New Roman" w:cs="Times New Roman"/>
        </w:rPr>
        <w:t xml:space="preserve">Từ phân tích của Mác có thể rút ra hai điểm có ý nghĩa phương pháp luận chung. </w:t>
      </w:r>
      <w:r>
        <w:rPr>
          <w:rFonts w:ascii="Times New Roman" w:hAnsi="Times New Roman" w:eastAsia="Times New Roman" w:cs="Times New Roman"/>
          <w:i/>
        </w:rPr>
        <w:t>Thứ nhất</w:t>
      </w:r>
      <w:r>
        <w:rPr>
          <w:rFonts w:ascii="Times New Roman" w:hAnsi="Times New Roman" w:eastAsia="Times New Roman" w:cs="Times New Roman"/>
        </w:rPr>
        <w:t xml:space="preserve">, hình thái biểu hiện bề ngoài không phải là ảo ảnh chủ quan mà là cách thức khách quan mà các quan hệ bản chất hiện ra trong những điều kiện nhất định; vì thế, nó có thể được hệ thống hóa một cách chặt chẽ, và chính sự chặt chẽ ấy dễ khiến người ta lầm tưởng đã đạt tới bản chất. </w:t>
      </w:r>
      <w:r>
        <w:rPr>
          <w:rFonts w:ascii="Times New Roman" w:hAnsi="Times New Roman" w:eastAsia="Times New Roman" w:cs="Times New Roman"/>
          <w:i/>
        </w:rPr>
        <w:t>Thứ hai</w:t>
      </w:r>
      <w:r>
        <w:rPr>
          <w:rFonts w:ascii="Times New Roman" w:hAnsi="Times New Roman" w:eastAsia="Times New Roman" w:cs="Times New Roman"/>
        </w:rPr>
        <w:t>, khoa học chân chính không bác bỏ hình thái biểu hiện mà giải thích vì sao bản chất lại biểu hiện ra dưới hình thái ấy. Hai điểm này có giá trị vượt ra ngoài kinh tế chính trị: trong khoa học tự nhiên, một hệ thống số liệu được xử lý chặt chẽ về mặt thống kê vẫn có thể chỉ là sự hệ thống hóa hiện tượng, và nhiệm vụ của nhà nghiên cứu là giải thích vì sao hiện tượng lại xuất hiện như vậy.</w:t>
      </w:r>
    </w:p>
    <w:p>
      <w:pPr>
        <w:pStyle w:val="Heading3"/>
      </w:pPr>
      <w:r>
        <w:rPr>
          <w:rFonts w:ascii="Times New Roman" w:hAnsi="Times New Roman" w:eastAsia="Times New Roman" w:cs="Times New Roman"/>
        </w:rPr>
        <w:t>1.2.4. Chủ nghĩa thực chứng, chủ nghĩa Makhơ và sự phê phán của V.I. Lênin</w:t>
      </w:r>
    </w:p>
    <w:p>
      <w:pPr>
        <w:ind w:firstLine="567"/>
        <w:jc w:val="both"/>
      </w:pPr>
      <w:r>
        <w:rPr>
          <w:rFonts w:ascii="Times New Roman" w:hAnsi="Times New Roman" w:eastAsia="Times New Roman" w:cs="Times New Roman"/>
        </w:rPr>
        <w:t xml:space="preserve">Từ thế kỷ XIX, chủ nghĩa thực chứng chủ trương khoa học chỉ cần mô tả các hiện tượng và những mối liên hệ đều đặn giữa chúng, không cần và không thể truy tìm bản chất. Chủ nghĩa kinh nghiệm phê phán của E. Makhơ và R. Avênariút đi xa hơn khi coi sự vật là “phức hợp những cảm giác”. Trong tác phẩm </w:t>
      </w:r>
      <w:r>
        <w:rPr>
          <w:rFonts w:ascii="Times New Roman" w:hAnsi="Times New Roman" w:eastAsia="Times New Roman" w:cs="Times New Roman"/>
          <w:i/>
        </w:rPr>
        <w:t>Chủ nghĩa duy vật và chủ nghĩa kinh nghiệm phê phán</w:t>
      </w:r>
      <w:r>
        <w:rPr>
          <w:rFonts w:ascii="Times New Roman" w:hAnsi="Times New Roman" w:eastAsia="Times New Roman" w:cs="Times New Roman"/>
        </w:rPr>
        <w:t>, V.I. Lênin đã phê phán các quan điểm này và khẳng định không có và không thể có sự khác nhau về nguyên tắc giữa hiện tượng và vật tự nó; chỉ có sự khác nhau giữa cái đã được nhận thức và cái chưa được nhận thức [3]. Để làm rõ luận điểm này, Lênin dẫn lại lập luận của Ph. Ăngghen về alizarin: chất màu trong rễ cây thiến thảo đã là “vật tự nó” chừng nào con người chưa biết đến cấu tạo của nó; khi hóa học hữu cơ tổng hợp được alizarin từ nhựa than đá, “vật tự nó” đã trở thành “vật cho ta” [3]. Như vậy, ranh giới giữa bản chất và hiện tượng không phải là ranh giới giữa cái có thể biết và cái không thể biết, mà là ranh giới lịch sử, có thể dịch chuyển, giữa cái đã biết và cái chưa biết; thực tiễn, trước hết là thực tiễn thí nghiệm và sản xuất, là phương tiện để dịch chuyển ranh giới đó.</w:t>
      </w:r>
    </w:p>
    <w:p>
      <w:pPr>
        <w:ind w:firstLine="567"/>
        <w:jc w:val="both"/>
      </w:pPr>
      <w:r>
        <w:rPr>
          <w:rFonts w:ascii="Times New Roman" w:hAnsi="Times New Roman" w:eastAsia="Times New Roman" w:cs="Times New Roman"/>
        </w:rPr>
        <w:t>Lập luận về alizarin có ý nghĩa đặc biệt đối với người nghiên cứu hóa học. Nó cho thấy bản chất của một chất không phải là cái bí ẩn vĩnh viễn nằm sau các thuộc tính cảm tính, mà là cấu trúc và các mối liên hệ có thể được xác lập bằng phân tích, được kiểm chứng bằng tổng hợp và được sử dụng trong sản xuất. Khả năng tái tạo sự vật một cách có chủ đích là bằng chứng thực tiễn cao nhất cho tính đúng đắn của tri thức về bản chất của nó.</w:t>
      </w:r>
    </w:p>
    <w:p>
      <w:pPr>
        <w:pStyle w:val="Heading2"/>
      </w:pPr>
      <w:r>
        <w:rPr>
          <w:rFonts w:ascii="Times New Roman" w:hAnsi="Times New Roman" w:eastAsia="Times New Roman" w:cs="Times New Roman"/>
        </w:rPr>
        <w:t>1.3. Quan niệm duy vật biện chứng về bản chất, hiện tượng và giả tượng</w:t>
      </w:r>
    </w:p>
    <w:p>
      <w:pPr>
        <w:pStyle w:val="Heading3"/>
      </w:pPr>
      <w:r>
        <w:rPr>
          <w:rFonts w:ascii="Times New Roman" w:hAnsi="Times New Roman" w:eastAsia="Times New Roman" w:cs="Times New Roman"/>
        </w:rPr>
        <w:t>1.3.1. Khái niệm bản chất và hiện tượng</w:t>
      </w:r>
    </w:p>
    <w:p>
      <w:pPr>
        <w:ind w:firstLine="567"/>
        <w:jc w:val="both"/>
      </w:pPr>
      <w:r>
        <w:rPr>
          <w:rFonts w:ascii="Times New Roman" w:hAnsi="Times New Roman" w:eastAsia="Times New Roman" w:cs="Times New Roman"/>
        </w:rPr>
        <w:t xml:space="preserve">Trên lập trường duy vật biện chứng, </w:t>
      </w:r>
      <w:r>
        <w:rPr>
          <w:rFonts w:ascii="Times New Roman" w:hAnsi="Times New Roman" w:eastAsia="Times New Roman" w:cs="Times New Roman"/>
          <w:b/>
        </w:rPr>
        <w:t>bản chất</w:t>
      </w:r>
      <w:r>
        <w:rPr>
          <w:rFonts w:ascii="Times New Roman" w:hAnsi="Times New Roman" w:eastAsia="Times New Roman" w:cs="Times New Roman"/>
        </w:rPr>
        <w:t xml:space="preserve"> là tổng thể các mặt, các mối liên hệ tất nhiên, tương đối ổn định ở bên trong sự vật, quy định sự vận động và phát triển của sự vật đó; </w:t>
      </w:r>
      <w:r>
        <w:rPr>
          <w:rFonts w:ascii="Times New Roman" w:hAnsi="Times New Roman" w:eastAsia="Times New Roman" w:cs="Times New Roman"/>
          <w:b/>
        </w:rPr>
        <w:t>hiện tượng</w:t>
      </w:r>
      <w:r>
        <w:rPr>
          <w:rFonts w:ascii="Times New Roman" w:hAnsi="Times New Roman" w:eastAsia="Times New Roman" w:cs="Times New Roman"/>
        </w:rPr>
        <w:t xml:space="preserve"> là sự biểu hiện ra bên ngoài của những mặt, những mối liên hệ ấy trong những điều kiện xác định [2]. Cả bản chất và hiện tượng đều tồn tại khách quan, không phụ thuộc vào ý thức của con người. Hiện tượng không phải là cảm giác của chủ thể, mà là mặt của bản thân sự vật được đem lại cho con người trong cảm giác; bản chất không phải là một thực thể thứ hai đứng sau sự vật, mà là chính sự vật xét trong những mối liên hệ tất nhiên, bên trong của nó.</w:t>
      </w:r>
    </w:p>
    <w:p>
      <w:pPr>
        <w:ind w:firstLine="567"/>
        <w:jc w:val="both"/>
      </w:pPr>
      <w:r>
        <w:rPr>
          <w:rFonts w:ascii="Times New Roman" w:hAnsi="Times New Roman" w:eastAsia="Times New Roman" w:cs="Times New Roman"/>
        </w:rPr>
        <w:t>Bản chất gắn liền với cái chung và cùng trình độ với quy luật: nói đến bản chất là nói đến cái tất nhiên, lặp lại trong những điều kiện nhất định. Tuy vậy, bản chất và quy luật không hoàn toàn đồng nhất. Quy luật là một mối liên hệ bản chất, tất nhiên, phổ biến và lặp lại giữa các mặt của sự vật; còn bản chất là tổng hợp nhiều mối liên hệ như vậy. Vì thế, bản chất là phạm trù rộng hơn và phong phú hơn quy luật [1], [2]. Trong hóa học, định luật tuần hoàn là một quy luật; còn bản chất của nguyên tố hóa học là tổng thể các mối liên hệ giữa điện tích hạt nhân, cấu hình electron và các tính chất lý – hóa mà quy luật tuần hoàn chỉ biểu đạt một phương diện.</w:t>
      </w:r>
    </w:p>
    <w:p>
      <w:pPr>
        <w:pStyle w:val="Heading3"/>
      </w:pPr>
      <w:r>
        <w:rPr>
          <w:rFonts w:ascii="Times New Roman" w:hAnsi="Times New Roman" w:eastAsia="Times New Roman" w:cs="Times New Roman"/>
        </w:rPr>
        <w:t>1.3.2. Giả tượng</w:t>
      </w:r>
    </w:p>
    <w:p>
      <w:pPr>
        <w:ind w:firstLine="567"/>
        <w:jc w:val="both"/>
      </w:pPr>
      <w:r>
        <w:rPr>
          <w:rFonts w:ascii="Times New Roman" w:hAnsi="Times New Roman" w:eastAsia="Times New Roman" w:cs="Times New Roman"/>
        </w:rPr>
        <w:t xml:space="preserve">Cần phân biệt hiện tượng với </w:t>
      </w:r>
      <w:r>
        <w:rPr>
          <w:rFonts w:ascii="Times New Roman" w:hAnsi="Times New Roman" w:eastAsia="Times New Roman" w:cs="Times New Roman"/>
          <w:b/>
        </w:rPr>
        <w:t>giả tượng</w:t>
      </w:r>
      <w:r>
        <w:rPr>
          <w:rFonts w:ascii="Times New Roman" w:hAnsi="Times New Roman" w:eastAsia="Times New Roman" w:cs="Times New Roman"/>
        </w:rPr>
        <w:t>. Giả tượng cũng là hiện tượng khách quan, nhưng biểu hiện bản chất dưới dạng xuyên tạc, khiến người quan sát, nếu dừng lại ở bề mặt, gán cho sự vật một bản chất mà nó không có [1], [2]. Giả tượng khác với ảo giác chủ quan ở chỗ nó phát sinh từ chính các điều kiện khách quan trong đó bản chất được biểu hiện; do đó, không thể loại bỏ giả tượng bằng cách phủ nhận dữ kiện, mà chỉ có thể vượt qua nó bằng cách làm rõ những điều kiện đã sinh ra nó. Ví dụ quen thuộc là hiện tượng Mặt Trời “quay quanh” Trái Đất: đó là một biểu hiện có thật, được quan sát bởi mọi người, nhưng biểu hiện một bản chất ngược lại.</w:t>
      </w:r>
    </w:p>
    <w:p>
      <w:pPr>
        <w:ind w:firstLine="567"/>
        <w:jc w:val="both"/>
      </w:pPr>
      <w:r>
        <w:rPr>
          <w:rFonts w:ascii="Times New Roman" w:hAnsi="Times New Roman" w:eastAsia="Times New Roman" w:cs="Times New Roman"/>
        </w:rPr>
        <w:t>Trong thực nghiệm khoa học, giả tượng thường xuất hiện khi điều kiện đo không được kiểm soát đầy đủ hoặc khi phương tiện đo tạo ra tín hiệu của chính nó. Như sẽ phân tích ở Chương 3, nhiều “hoạt tính” được ghi nhận trong thử nghiệm sinh học thuộc loại giả tượng: tín hiệu đo là có thật, nhưng nguyên nhân của nó không phải là cơ chế mà người nghiên cứu gán cho hợp chất.</w:t>
      </w:r>
    </w:p>
    <w:p>
      <w:pPr>
        <w:pStyle w:val="Heading3"/>
      </w:pPr>
      <w:r>
        <w:rPr>
          <w:rFonts w:ascii="Times New Roman" w:hAnsi="Times New Roman" w:eastAsia="Times New Roman" w:cs="Times New Roman"/>
        </w:rPr>
        <w:t>1.3.3. Một minh họa hóa học</w:t>
      </w:r>
    </w:p>
    <w:p>
      <w:pPr>
        <w:ind w:firstLine="567"/>
        <w:jc w:val="both"/>
      </w:pPr>
      <w:r>
        <w:rPr>
          <w:rFonts w:ascii="Times New Roman" w:hAnsi="Times New Roman" w:eastAsia="Times New Roman" w:cs="Times New Roman"/>
        </w:rPr>
        <w:t>Quan hệ giữa bản chất và hiện tượng có thể được minh họa bằng tính acid của dung dịch. Tính acid biểu hiện ra qua giá trị pH đo được, màu của chất chỉ thị hay tốc độ phản ứng với kim loại; đó là những hiện tượng. Bản chất của tính acid là khả năng cho proton, được quy định bởi cấu trúc electron và độ bền của base liên hợp, thể hiện định lượng qua hằng số pK</w:t>
      </w:r>
      <w:r>
        <w:rPr>
          <w:rFonts w:ascii="Times New Roman" w:hAnsi="Times New Roman" w:eastAsia="Times New Roman" w:cs="Times New Roman"/>
          <w:vertAlign w:val="subscript"/>
        </w:rPr>
        <w:t>a</w:t>
      </w:r>
      <w:r>
        <w:rPr>
          <w:rFonts w:ascii="Times New Roman" w:hAnsi="Times New Roman" w:eastAsia="Times New Roman" w:cs="Times New Roman"/>
        </w:rPr>
        <w:t>. Cùng một bản chất có thể biểu hiện thành những hiện tượng khác nhau tùy dung môi, nồng độ và nhiệt độ; ngược lại, cùng một hiện tượng (một giá trị pH) có thể xuất phát từ những bản chất khác nhau, chẳng hạn một acid mạnh ở nồng độ thấp và một acid yếu ở nồng độ cao. Minh họa này cho thấy không thể suy trực tiếp từ một hiện tượng riêng lẻ ra bản chất, mà phải xem xét hiện tượng trong hệ thống các điều kiện sinh ra nó.</w:t>
      </w:r>
    </w:p>
    <w:p>
      <w:pPr>
        <w:pStyle w:val="Heading2"/>
      </w:pPr>
      <w:r>
        <w:rPr>
          <w:rFonts w:ascii="Times New Roman" w:hAnsi="Times New Roman" w:eastAsia="Times New Roman" w:cs="Times New Roman"/>
        </w:rPr>
        <w:t>1.4. Mối quan hệ biện chứng giữa bản chất và hiện tượng</w:t>
      </w:r>
    </w:p>
    <w:p>
      <w:pPr>
        <w:pStyle w:val="Heading3"/>
      </w:pPr>
      <w:r>
        <w:rPr>
          <w:rFonts w:ascii="Times New Roman" w:hAnsi="Times New Roman" w:eastAsia="Times New Roman" w:cs="Times New Roman"/>
        </w:rPr>
        <w:t>1.4.1. Sự thống nhất giữa bản chất và hiện tượng</w:t>
      </w:r>
    </w:p>
    <w:p>
      <w:pPr>
        <w:ind w:firstLine="567"/>
        <w:jc w:val="both"/>
      </w:pPr>
      <w:r>
        <w:rPr>
          <w:rFonts w:ascii="Times New Roman" w:hAnsi="Times New Roman" w:eastAsia="Times New Roman" w:cs="Times New Roman"/>
        </w:rPr>
        <w:t>Bản chất và hiện tượng thống nhất với nhau: bản chất bao giờ cũng bộc lộ ra thông qua hiện tượng, còn hiện tượng bao giờ cũng là sự biểu hiện của một bản chất nhất định. Không có bản chất thuần túy tồn tại tách rời hiện tượng, cũng không có hiện tượng hoàn toàn không biểu hiện bản chất. V.I. Lênin viết: “Bản chất hiện ra, hiện tượng là có tính bản chất” [4]. Sự thống nhất còn thể hiện ở chỗ bản chất và hiện tượng về căn bản phù hợp với nhau: bản chất nào thì hiện tượng ấy; khi bản chất thay đổi thì hiện tượng biểu hiện nó cũng thay đổi theo; khi bản chất mất đi thì hiện tượng tương ứng cũng mất đi [2]. Chính sự thống nhất này là cơ sở khách quan cho khả năng nhận thức bản chất thông qua việc nghiên cứu hiện tượng, và là cơ sở để bác bỏ bất khả tri luận.</w:t>
      </w:r>
    </w:p>
    <w:p>
      <w:pPr>
        <w:pStyle w:val="Heading3"/>
      </w:pPr>
      <w:r>
        <w:rPr>
          <w:rFonts w:ascii="Times New Roman" w:hAnsi="Times New Roman" w:eastAsia="Times New Roman" w:cs="Times New Roman"/>
        </w:rPr>
        <w:t>1.4.2. Sự đối lập giữa bản chất và hiện tượng</w:t>
      </w:r>
    </w:p>
    <w:p>
      <w:pPr>
        <w:ind w:firstLine="567"/>
        <w:jc w:val="both"/>
      </w:pPr>
      <w:r>
        <w:rPr>
          <w:rFonts w:ascii="Times New Roman" w:hAnsi="Times New Roman" w:eastAsia="Times New Roman" w:cs="Times New Roman"/>
        </w:rPr>
        <w:t xml:space="preserve">Sự thống nhất giữa bản chất và hiện tượng là sự thống nhất của các mặt đối lập. </w:t>
      </w:r>
      <w:r>
        <w:rPr>
          <w:rFonts w:ascii="Times New Roman" w:hAnsi="Times New Roman" w:eastAsia="Times New Roman" w:cs="Times New Roman"/>
          <w:i/>
        </w:rPr>
        <w:t>Thứ nhất</w:t>
      </w:r>
      <w:r>
        <w:rPr>
          <w:rFonts w:ascii="Times New Roman" w:hAnsi="Times New Roman" w:eastAsia="Times New Roman" w:cs="Times New Roman"/>
        </w:rPr>
        <w:t xml:space="preserve">, bản chất phản ánh cái chung, cái tất nhiên, quyết định sự tồn tại của sự vật, còn hiện tượng phản ánh cái riêng, cái cá biệt. Cùng một bản chất có thể biểu hiện ra thành nhiều hiện tượng khác nhau tùy theo điều kiện; chẳng hạn, sự chuyển electron trong phản ứng oxy hóa – khử có thể biểu hiện thành sự đổi màu của dung dịch, sự thoát khí, sự tỏa nhiệt hoặc dòng điện trong pin điện hóa. </w:t>
      </w:r>
      <w:r>
        <w:rPr>
          <w:rFonts w:ascii="Times New Roman" w:hAnsi="Times New Roman" w:eastAsia="Times New Roman" w:cs="Times New Roman"/>
          <w:i/>
        </w:rPr>
        <w:t>Thứ hai</w:t>
      </w:r>
      <w:r>
        <w:rPr>
          <w:rFonts w:ascii="Times New Roman" w:hAnsi="Times New Roman" w:eastAsia="Times New Roman" w:cs="Times New Roman"/>
        </w:rPr>
        <w:t xml:space="preserve">, bản chất là mặt bên trong, không thể nhận biết trực tiếp bằng giác quan; hiện tượng là mặt bên ngoài, có thể quan sát, đo đạc trực tiếp. </w:t>
      </w:r>
      <w:r>
        <w:rPr>
          <w:rFonts w:ascii="Times New Roman" w:hAnsi="Times New Roman" w:eastAsia="Times New Roman" w:cs="Times New Roman"/>
          <w:i/>
        </w:rPr>
        <w:t>Thứ ba</w:t>
      </w:r>
      <w:r>
        <w:rPr>
          <w:rFonts w:ascii="Times New Roman" w:hAnsi="Times New Roman" w:eastAsia="Times New Roman" w:cs="Times New Roman"/>
        </w:rPr>
        <w:t>, bản chất tương đối ổn định, còn hiện tượng thường xuyên biến đổi. Vì vậy, hiện tượng phong phú hơn bản chất, còn bản chất sâu sắc hơn hiện tượng [1], [2].</w:t>
      </w:r>
    </w:p>
    <w:p>
      <w:pPr>
        <w:ind w:firstLine="567"/>
        <w:jc w:val="both"/>
      </w:pPr>
      <w:r>
        <w:rPr>
          <w:rFonts w:ascii="Times New Roman" w:hAnsi="Times New Roman" w:eastAsia="Times New Roman" w:cs="Times New Roman"/>
        </w:rPr>
        <w:t>Sự đối lập này không tuyệt đối. Tính “bên trong” của bản chất là tương đối với trình độ của phương tiện nhận thức: cấu trúc phân tử từng là cái ẩn giấu đối với hóa học thế kỷ XIX, nhưng ngày nay có thể được “quan sát” gián tiếp bằng phổ cộng hưởng từ hạt nhân hay nhiễu xạ tia X. Khi phương tiện nhận thức phát triển, một phần của bản chất trước đây chuyển thành cái có thể đo đạc, tức là trở thành hiện tượng ở một trình độ mới, và nhận thức lại tiếp tục đi sâu hơn.</w:t>
      </w:r>
    </w:p>
    <w:p>
      <w:pPr>
        <w:pStyle w:val="Heading3"/>
      </w:pPr>
      <w:r>
        <w:rPr>
          <w:rFonts w:ascii="Times New Roman" w:hAnsi="Times New Roman" w:eastAsia="Times New Roman" w:cs="Times New Roman"/>
        </w:rPr>
        <w:t>1.4.3. Tính nhiều cấp độ của bản chất</w:t>
      </w:r>
    </w:p>
    <w:p>
      <w:pPr>
        <w:ind w:firstLine="567"/>
        <w:jc w:val="both"/>
      </w:pPr>
      <w:r>
        <w:rPr>
          <w:rFonts w:ascii="Times New Roman" w:hAnsi="Times New Roman" w:eastAsia="Times New Roman" w:cs="Times New Roman"/>
        </w:rPr>
        <w:t xml:space="preserve">Bản chất có nhiều cấp độ. V.I. Lênin chỉ ra rằng tư tưởng của con người không ngừng đi sâu từ hiện tượng đến bản chất, từ bản chất cấp một đến bản chất cấp hai và cứ thế tiếp tục [4]. Luận điểm này có ba hệ quả phương pháp luận. </w:t>
      </w:r>
      <w:r>
        <w:rPr>
          <w:rFonts w:ascii="Times New Roman" w:hAnsi="Times New Roman" w:eastAsia="Times New Roman" w:cs="Times New Roman"/>
          <w:i/>
        </w:rPr>
        <w:t>Một là</w:t>
      </w:r>
      <w:r>
        <w:rPr>
          <w:rFonts w:ascii="Times New Roman" w:hAnsi="Times New Roman" w:eastAsia="Times New Roman" w:cs="Times New Roman"/>
        </w:rPr>
        <w:t xml:space="preserve">, tri thức về bản chất ở mỗi cấp độ là tri thức tương đối, đúng trong những giới hạn xác định. </w:t>
      </w:r>
      <w:r>
        <w:rPr>
          <w:rFonts w:ascii="Times New Roman" w:hAnsi="Times New Roman" w:eastAsia="Times New Roman" w:cs="Times New Roman"/>
          <w:i/>
        </w:rPr>
        <w:t>Hai là</w:t>
      </w:r>
      <w:r>
        <w:rPr>
          <w:rFonts w:ascii="Times New Roman" w:hAnsi="Times New Roman" w:eastAsia="Times New Roman" w:cs="Times New Roman"/>
        </w:rPr>
        <w:t xml:space="preserve">, bản chất ở cấp độ sâu hơn không xóa bỏ mà bao hàm và giải thích bản chất ở cấp độ nông hơn, tức là quan hệ giữa các cấp độ bản chất tuân theo quy luật phủ định biện chứng, có kế thừa. </w:t>
      </w:r>
      <w:r>
        <w:rPr>
          <w:rFonts w:ascii="Times New Roman" w:hAnsi="Times New Roman" w:eastAsia="Times New Roman" w:cs="Times New Roman"/>
          <w:i/>
        </w:rPr>
        <w:t>Ba là</w:t>
      </w:r>
      <w:r>
        <w:rPr>
          <w:rFonts w:ascii="Times New Roman" w:hAnsi="Times New Roman" w:eastAsia="Times New Roman" w:cs="Times New Roman"/>
        </w:rPr>
        <w:t>, cái được coi là bản chất ở cấp độ này có thể lại là hiện tượng đối với cấp độ sâu hơn; chẳng hạn, định luật tuần hoàn là bản chất của sự lặp lại tính chất các nguyên tố, nhưng bản thân nó lại là biểu hiện của cấu trúc lớp vỏ electron.</w:t>
      </w:r>
    </w:p>
    <w:p>
      <w:pPr>
        <w:pStyle w:val="Heading2"/>
      </w:pPr>
      <w:r>
        <w:rPr>
          <w:rFonts w:ascii="Times New Roman" w:hAnsi="Times New Roman" w:eastAsia="Times New Roman" w:cs="Times New Roman"/>
        </w:rPr>
        <w:t>1.5. Cặp phạm trù bản chất – hiện tượng trong hệ thống phép biện chứng duy vật</w:t>
      </w:r>
    </w:p>
    <w:p>
      <w:pPr>
        <w:pStyle w:val="Heading3"/>
      </w:pPr>
      <w:r>
        <w:rPr>
          <w:rFonts w:ascii="Times New Roman" w:hAnsi="Times New Roman" w:eastAsia="Times New Roman" w:cs="Times New Roman"/>
        </w:rPr>
        <w:t>1.5.1. Liên hệ với các cặp phạm trù khác</w:t>
      </w:r>
    </w:p>
    <w:p>
      <w:pPr>
        <w:ind w:firstLine="567"/>
        <w:jc w:val="both"/>
      </w:pPr>
      <w:r>
        <w:rPr>
          <w:rFonts w:ascii="Times New Roman" w:hAnsi="Times New Roman" w:eastAsia="Times New Roman" w:cs="Times New Roman"/>
        </w:rPr>
        <w:t>Các cặp phạm trù của phép biện chứng duy vật không tồn tại biệt lập mà liên hệ, bổ sung cho nhau. Xem xét cặp phạm trù bản chất – hiện tượng trong mối liên hệ với các cặp phạm trù khác giúp làm rõ hơn nội dung của nó và mở rộng khả năng vận dụng (Bảng 1.1).</w:t>
      </w:r>
    </w:p>
    <w:p>
      <w:pPr>
        <w:ind w:firstLine="567"/>
        <w:jc w:val="both"/>
      </w:pPr>
      <w:r>
        <w:rPr>
          <w:rFonts w:ascii="Times New Roman" w:hAnsi="Times New Roman" w:eastAsia="Times New Roman" w:cs="Times New Roman"/>
        </w:rPr>
        <w:t xml:space="preserve">Với cặp phạm trù </w:t>
      </w:r>
      <w:r>
        <w:rPr>
          <w:rFonts w:ascii="Times New Roman" w:hAnsi="Times New Roman" w:eastAsia="Times New Roman" w:cs="Times New Roman"/>
          <w:i/>
        </w:rPr>
        <w:t>cái chung – cái riêng</w:t>
      </w:r>
      <w:r>
        <w:rPr>
          <w:rFonts w:ascii="Times New Roman" w:hAnsi="Times New Roman" w:eastAsia="Times New Roman" w:cs="Times New Roman"/>
        </w:rPr>
        <w:t xml:space="preserve">, bản chất thuộc về cái chung, còn hiện tượng mang tính cá biệt. Một phép đo riêng lẻ là cái riêng; chỉ khi so sánh nhiều phép đo, nhiều sự vật cùng loại, cái chung, và qua đó bản chất, mới bộc lộ. Với cặp phạm trù </w:t>
      </w:r>
      <w:r>
        <w:rPr>
          <w:rFonts w:ascii="Times New Roman" w:hAnsi="Times New Roman" w:eastAsia="Times New Roman" w:cs="Times New Roman"/>
          <w:i/>
        </w:rPr>
        <w:t>nguyên nhân – kết quả</w:t>
      </w:r>
      <w:r>
        <w:rPr>
          <w:rFonts w:ascii="Times New Roman" w:hAnsi="Times New Roman" w:eastAsia="Times New Roman" w:cs="Times New Roman"/>
        </w:rPr>
        <w:t xml:space="preserve">, một hiện tượng có thể là kết quả của nhiều nguyên nhân khác nhau; nhận thức bản chất đòi hỏi xác định đúng nguyên nhân thực sự trong số các nguyên nhân có thể. Với cặp phạm trù </w:t>
      </w:r>
      <w:r>
        <w:rPr>
          <w:rFonts w:ascii="Times New Roman" w:hAnsi="Times New Roman" w:eastAsia="Times New Roman" w:cs="Times New Roman"/>
          <w:i/>
        </w:rPr>
        <w:t>tất nhiên – ngẫu nhiên</w:t>
      </w:r>
      <w:r>
        <w:rPr>
          <w:rFonts w:ascii="Times New Roman" w:hAnsi="Times New Roman" w:eastAsia="Times New Roman" w:cs="Times New Roman"/>
        </w:rPr>
        <w:t>, bản chất gắn với cái tất nhiên, còn hiện tượng chứa đựng cả những yếu tố ngẫu nhiên; cái tất nhiên chỉ được khẳng định khi nó được lặp lại qua nhiều điều kiện khác nhau.</w:t>
      </w:r>
    </w:p>
    <w:p>
      <w:pPr>
        <w:ind w:firstLine="567"/>
        <w:jc w:val="both"/>
      </w:pPr>
      <w:r>
        <w:rPr>
          <w:rFonts w:ascii="Times New Roman" w:hAnsi="Times New Roman" w:eastAsia="Times New Roman" w:cs="Times New Roman"/>
        </w:rPr>
        <w:t xml:space="preserve">Với cặp phạm trù </w:t>
      </w:r>
      <w:r>
        <w:rPr>
          <w:rFonts w:ascii="Times New Roman" w:hAnsi="Times New Roman" w:eastAsia="Times New Roman" w:cs="Times New Roman"/>
          <w:i/>
        </w:rPr>
        <w:t>nội dung – hình thức</w:t>
      </w:r>
      <w:r>
        <w:rPr>
          <w:rFonts w:ascii="Times New Roman" w:hAnsi="Times New Roman" w:eastAsia="Times New Roman" w:cs="Times New Roman"/>
        </w:rPr>
        <w:t xml:space="preserve">, hình thức biểu hiện có thể không tương ứng với nội dung; việc căn cứ vào hình thức bên ngoài để kết luận về nội dung là một dạng đồng nhất hiện tượng với bản chất. Với cặp phạm trù </w:t>
      </w:r>
      <w:r>
        <w:rPr>
          <w:rFonts w:ascii="Times New Roman" w:hAnsi="Times New Roman" w:eastAsia="Times New Roman" w:cs="Times New Roman"/>
          <w:i/>
        </w:rPr>
        <w:t>khả năng – hiện thực</w:t>
      </w:r>
      <w:r>
        <w:rPr>
          <w:rFonts w:ascii="Times New Roman" w:hAnsi="Times New Roman" w:eastAsia="Times New Roman" w:cs="Times New Roman"/>
        </w:rPr>
        <w:t xml:space="preserve">, một hiện tượng quan sát được trong điều kiện hạn chế mới chỉ ra một khả năng; khả năng chỉ chuyển thành hiện thực khi hội đủ những điều kiện cần thiết. Trong nghiên cứu phát triển thuốc, một hợp chất có hoạt tính </w:t>
      </w:r>
      <w:r>
        <w:rPr>
          <w:rFonts w:ascii="Times New Roman" w:hAnsi="Times New Roman" w:eastAsia="Times New Roman" w:cs="Times New Roman"/>
          <w:i/>
        </w:rPr>
        <w:t>in vitro</w:t>
      </w:r>
      <w:r>
        <w:rPr>
          <w:rFonts w:ascii="Times New Roman" w:hAnsi="Times New Roman" w:eastAsia="Times New Roman" w:cs="Times New Roman"/>
        </w:rPr>
        <w:t xml:space="preserve"> mới là khả năng của một thuốc, chưa phải hiện thực của nó.</w:t>
      </w:r>
    </w:p>
    <w:p>
      <w:pPr>
        <w:keepNext/>
        <w:spacing w:before="120" w:after="120"/>
        <w:ind w:firstLine="0"/>
        <w:jc w:val="center"/>
      </w:pPr>
      <w:r>
        <w:rPr>
          <w:rFonts w:ascii="Times New Roman" w:hAnsi="Times New Roman" w:eastAsia="Times New Roman" w:cs="Times New Roman"/>
          <w:b/>
        </w:rPr>
        <w:t>Bảng 1.1. Mối liên hệ giữa cặp phạm trù bản chất – hiện tượng với các cặp phạm trù khác</w:t>
      </w:r>
    </w:p>
    <w:tbl>
      <w:tblPr>
        <w:tblStyle w:val="TableGrid"/>
        <w:tblW w:type="auto" w:w="0"/>
        <w:jc w:val="center"/>
        <w:tblLayout w:type="fixed"/>
        <w:tblLook w:firstColumn="1" w:firstRow="1" w:lastColumn="0" w:lastRow="0" w:noHBand="0" w:noVBand="1" w:val="04A0"/>
      </w:tblPr>
      <w:tblGrid>
        <w:gridCol w:w="2041"/>
        <w:gridCol w:w="3515"/>
        <w:gridCol w:w="3231"/>
      </w:tblGrid>
      <w:tr>
        <w:trPr>
          <w:cantSplit/>
          <w:tblHeader/>
        </w:trPr>
        <w:tc>
          <w:tcPr>
            <w:tcW w:type="dxa" w:w="204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Cặp phạm trù</w:t>
            </w:r>
          </w:p>
        </w:tc>
        <w:tc>
          <w:tcPr>
            <w:tcW w:type="dxa" w:w="351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Điểm liên hệ với bản chất – hiện tượng</w:t>
            </w:r>
          </w:p>
        </w:tc>
        <w:tc>
          <w:tcPr>
            <w:tcW w:type="dxa" w:w="323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Biểu hiện trong đánh giá hoạt tính</w:t>
            </w:r>
          </w:p>
        </w:tc>
      </w:tr>
      <w:tr>
        <w:trPr>
          <w:cantSplit/>
        </w:trPr>
        <w:tc>
          <w:tcPr>
            <w:tcW w:type="dxa" w:w="2041"/>
            <w:vAlign w:val="center"/>
          </w:tcPr>
          <w:p>
            <w:pPr>
              <w:spacing w:before="40" w:after="40" w:line="240" w:lineRule="auto"/>
              <w:ind w:firstLine="0"/>
              <w:jc w:val="left"/>
            </w:pPr>
            <w:r>
              <w:rPr>
                <w:rFonts w:ascii="Times New Roman" w:hAnsi="Times New Roman" w:eastAsia="Times New Roman" w:cs="Times New Roman"/>
                <w:b/>
                <w:sz w:val="26"/>
              </w:rPr>
              <w:t>Cái chung – cái riêng</w:t>
            </w:r>
          </w:p>
        </w:tc>
        <w:tc>
          <w:tcPr>
            <w:tcW w:type="dxa" w:w="3515"/>
            <w:vAlign w:val="center"/>
          </w:tcPr>
          <w:p>
            <w:pPr>
              <w:spacing w:before="40" w:after="40" w:line="240" w:lineRule="auto"/>
              <w:ind w:firstLine="0"/>
              <w:jc w:val="left"/>
            </w:pPr>
            <w:r>
              <w:rPr>
                <w:rFonts w:ascii="Times New Roman" w:hAnsi="Times New Roman" w:eastAsia="Times New Roman" w:cs="Times New Roman"/>
                <w:b w:val="0"/>
                <w:sz w:val="26"/>
              </w:rPr>
              <w:t>Bản chất thuộc về cái chung; hiện tượng mang tính cá biệt</w:t>
            </w:r>
          </w:p>
        </w:tc>
        <w:tc>
          <w:tcPr>
            <w:tcW w:type="dxa" w:w="3231"/>
            <w:vAlign w:val="center"/>
          </w:tcPr>
          <w:p>
            <w:pPr>
              <w:spacing w:before="40" w:after="40" w:line="240" w:lineRule="auto"/>
              <w:ind w:firstLine="0"/>
              <w:jc w:val="left"/>
            </w:pPr>
            <w:r>
              <w:rPr>
                <w:rFonts w:ascii="Times New Roman" w:hAnsi="Times New Roman" w:eastAsia="Times New Roman" w:cs="Times New Roman"/>
                <w:b w:val="0"/>
                <w:sz w:val="26"/>
              </w:rPr>
              <w:t>Một giá trị IC</w:t>
            </w:r>
            <w:r>
              <w:rPr>
                <w:rFonts w:ascii="Times New Roman" w:hAnsi="Times New Roman" w:eastAsia="Times New Roman" w:cs="Times New Roman"/>
                <w:b w:val="0"/>
                <w:sz w:val="26"/>
                <w:vertAlign w:val="subscript"/>
              </w:rPr>
              <w:t>50</w:t>
            </w:r>
            <w:r>
              <w:rPr>
                <w:rFonts w:ascii="Times New Roman" w:hAnsi="Times New Roman" w:eastAsia="Times New Roman" w:cs="Times New Roman"/>
                <w:b w:val="0"/>
                <w:sz w:val="26"/>
              </w:rPr>
              <w:t xml:space="preserve"> là cái riêng; xu hướng SAR của cả dãy hợp chất gần với cái chung</w:t>
            </w:r>
          </w:p>
        </w:tc>
      </w:tr>
      <w:tr>
        <w:trPr>
          <w:cantSplit/>
        </w:trPr>
        <w:tc>
          <w:tcPr>
            <w:tcW w:type="dxa" w:w="2041"/>
            <w:vAlign w:val="center"/>
          </w:tcPr>
          <w:p>
            <w:pPr>
              <w:spacing w:before="40" w:after="40" w:line="240" w:lineRule="auto"/>
              <w:ind w:firstLine="0"/>
              <w:jc w:val="left"/>
            </w:pPr>
            <w:r>
              <w:rPr>
                <w:rFonts w:ascii="Times New Roman" w:hAnsi="Times New Roman" w:eastAsia="Times New Roman" w:cs="Times New Roman"/>
                <w:b/>
                <w:sz w:val="26"/>
              </w:rPr>
              <w:t>Nguyên nhân – kết quả</w:t>
            </w:r>
          </w:p>
        </w:tc>
        <w:tc>
          <w:tcPr>
            <w:tcW w:type="dxa" w:w="3515"/>
            <w:vAlign w:val="center"/>
          </w:tcPr>
          <w:p>
            <w:pPr>
              <w:spacing w:before="40" w:after="40" w:line="240" w:lineRule="auto"/>
              <w:ind w:firstLine="0"/>
              <w:jc w:val="left"/>
            </w:pPr>
            <w:r>
              <w:rPr>
                <w:rFonts w:ascii="Times New Roman" w:hAnsi="Times New Roman" w:eastAsia="Times New Roman" w:cs="Times New Roman"/>
                <w:b w:val="0"/>
                <w:sz w:val="26"/>
              </w:rPr>
              <w:t>Một hiện tượng có thể là kết quả của nhiều nguyên nhân khác nhau</w:t>
            </w:r>
          </w:p>
        </w:tc>
        <w:tc>
          <w:tcPr>
            <w:tcW w:type="dxa" w:w="3231"/>
            <w:vAlign w:val="center"/>
          </w:tcPr>
          <w:p>
            <w:pPr>
              <w:spacing w:before="40" w:after="40" w:line="240" w:lineRule="auto"/>
              <w:ind w:firstLine="0"/>
              <w:jc w:val="left"/>
            </w:pPr>
            <w:r>
              <w:rPr>
                <w:rFonts w:ascii="Times New Roman" w:hAnsi="Times New Roman" w:eastAsia="Times New Roman" w:cs="Times New Roman"/>
                <w:b w:val="0"/>
                <w:sz w:val="26"/>
              </w:rPr>
              <w:t>Giảm tín hiệu có thể do ức chế đặc hiệu, kết tập, nhiễu quang học hoặc tạp chất</w:t>
            </w:r>
          </w:p>
        </w:tc>
      </w:tr>
      <w:tr>
        <w:trPr>
          <w:cantSplit/>
        </w:trPr>
        <w:tc>
          <w:tcPr>
            <w:tcW w:type="dxa" w:w="2041"/>
            <w:vAlign w:val="center"/>
          </w:tcPr>
          <w:p>
            <w:pPr>
              <w:spacing w:before="40" w:after="40" w:line="240" w:lineRule="auto"/>
              <w:ind w:firstLine="0"/>
              <w:jc w:val="left"/>
            </w:pPr>
            <w:r>
              <w:rPr>
                <w:rFonts w:ascii="Times New Roman" w:hAnsi="Times New Roman" w:eastAsia="Times New Roman" w:cs="Times New Roman"/>
                <w:b/>
                <w:sz w:val="26"/>
              </w:rPr>
              <w:t>Tất nhiên – ngẫu nhiên</w:t>
            </w:r>
          </w:p>
        </w:tc>
        <w:tc>
          <w:tcPr>
            <w:tcW w:type="dxa" w:w="3515"/>
            <w:vAlign w:val="center"/>
          </w:tcPr>
          <w:p>
            <w:pPr>
              <w:spacing w:before="40" w:after="40" w:line="240" w:lineRule="auto"/>
              <w:ind w:firstLine="0"/>
              <w:jc w:val="left"/>
            </w:pPr>
            <w:r>
              <w:rPr>
                <w:rFonts w:ascii="Times New Roman" w:hAnsi="Times New Roman" w:eastAsia="Times New Roman" w:cs="Times New Roman"/>
                <w:b w:val="0"/>
                <w:sz w:val="26"/>
              </w:rPr>
              <w:t>Bản chất gắn với cái tất nhiên; hiện tượng chứa cả yếu tố ngẫu nhiên</w:t>
            </w:r>
          </w:p>
        </w:tc>
        <w:tc>
          <w:tcPr>
            <w:tcW w:type="dxa" w:w="3231"/>
            <w:vAlign w:val="center"/>
          </w:tcPr>
          <w:p>
            <w:pPr>
              <w:spacing w:before="40" w:after="40" w:line="240" w:lineRule="auto"/>
              <w:ind w:firstLine="0"/>
              <w:jc w:val="left"/>
            </w:pPr>
            <w:r>
              <w:rPr>
                <w:rFonts w:ascii="Times New Roman" w:hAnsi="Times New Roman" w:eastAsia="Times New Roman" w:cs="Times New Roman"/>
                <w:b w:val="0"/>
                <w:sz w:val="26"/>
              </w:rPr>
              <w:t>Kết quả lặp lại qua nhiều hệ thử là dấu hiệu của cái tất nhiên</w:t>
            </w:r>
          </w:p>
        </w:tc>
      </w:tr>
      <w:tr>
        <w:trPr>
          <w:cantSplit/>
        </w:trPr>
        <w:tc>
          <w:tcPr>
            <w:tcW w:type="dxa" w:w="2041"/>
            <w:vAlign w:val="center"/>
          </w:tcPr>
          <w:p>
            <w:pPr>
              <w:spacing w:before="40" w:after="40" w:line="240" w:lineRule="auto"/>
              <w:ind w:firstLine="0"/>
              <w:jc w:val="left"/>
            </w:pPr>
            <w:r>
              <w:rPr>
                <w:rFonts w:ascii="Times New Roman" w:hAnsi="Times New Roman" w:eastAsia="Times New Roman" w:cs="Times New Roman"/>
                <w:b/>
                <w:sz w:val="26"/>
              </w:rPr>
              <w:t>Nội dung – hình thức</w:t>
            </w:r>
          </w:p>
        </w:tc>
        <w:tc>
          <w:tcPr>
            <w:tcW w:type="dxa" w:w="3515"/>
            <w:vAlign w:val="center"/>
          </w:tcPr>
          <w:p>
            <w:pPr>
              <w:spacing w:before="40" w:after="40" w:line="240" w:lineRule="auto"/>
              <w:ind w:firstLine="0"/>
              <w:jc w:val="left"/>
            </w:pPr>
            <w:r>
              <w:rPr>
                <w:rFonts w:ascii="Times New Roman" w:hAnsi="Times New Roman" w:eastAsia="Times New Roman" w:cs="Times New Roman"/>
                <w:b w:val="0"/>
                <w:sz w:val="26"/>
              </w:rPr>
              <w:t>Hình thức biểu hiện có thể không tương ứng với nội dung</w:t>
            </w:r>
          </w:p>
        </w:tc>
        <w:tc>
          <w:tcPr>
            <w:tcW w:type="dxa" w:w="3231"/>
            <w:vAlign w:val="center"/>
          </w:tcPr>
          <w:p>
            <w:pPr>
              <w:spacing w:before="40" w:after="40" w:line="240" w:lineRule="auto"/>
              <w:ind w:firstLine="0"/>
              <w:jc w:val="left"/>
            </w:pPr>
            <w:r>
              <w:rPr>
                <w:rFonts w:ascii="Times New Roman" w:hAnsi="Times New Roman" w:eastAsia="Times New Roman" w:cs="Times New Roman"/>
                <w:b w:val="0"/>
                <w:sz w:val="26"/>
              </w:rPr>
              <w:t>Cảnh báo cấu trúc PAINS là dấu hiệu hình thức, không thay thế thực nghiệm</w:t>
            </w:r>
          </w:p>
        </w:tc>
      </w:tr>
      <w:tr>
        <w:trPr>
          <w:cantSplit/>
        </w:trPr>
        <w:tc>
          <w:tcPr>
            <w:tcW w:type="dxa" w:w="2041"/>
            <w:vAlign w:val="center"/>
          </w:tcPr>
          <w:p>
            <w:pPr>
              <w:spacing w:before="40" w:after="40" w:line="240" w:lineRule="auto"/>
              <w:ind w:firstLine="0"/>
              <w:jc w:val="left"/>
            </w:pPr>
            <w:r>
              <w:rPr>
                <w:rFonts w:ascii="Times New Roman" w:hAnsi="Times New Roman" w:eastAsia="Times New Roman" w:cs="Times New Roman"/>
                <w:b/>
                <w:sz w:val="26"/>
              </w:rPr>
              <w:t>Khả năng – hiện thực</w:t>
            </w:r>
          </w:p>
        </w:tc>
        <w:tc>
          <w:tcPr>
            <w:tcW w:type="dxa" w:w="3515"/>
            <w:vAlign w:val="center"/>
          </w:tcPr>
          <w:p>
            <w:pPr>
              <w:spacing w:before="40" w:after="40" w:line="240" w:lineRule="auto"/>
              <w:ind w:firstLine="0"/>
              <w:jc w:val="left"/>
            </w:pPr>
            <w:r>
              <w:rPr>
                <w:rFonts w:ascii="Times New Roman" w:hAnsi="Times New Roman" w:eastAsia="Times New Roman" w:cs="Times New Roman"/>
                <w:b w:val="0"/>
                <w:sz w:val="26"/>
              </w:rPr>
              <w:t>Hiện tượng in vitro mới chỉ ra một khả năng</w:t>
            </w:r>
          </w:p>
        </w:tc>
        <w:tc>
          <w:tcPr>
            <w:tcW w:type="dxa" w:w="3231"/>
            <w:vAlign w:val="center"/>
          </w:tcPr>
          <w:p>
            <w:pPr>
              <w:spacing w:before="40" w:after="40" w:line="240" w:lineRule="auto"/>
              <w:ind w:firstLine="0"/>
              <w:jc w:val="left"/>
            </w:pPr>
            <w:r>
              <w:rPr>
                <w:rFonts w:ascii="Times New Roman" w:hAnsi="Times New Roman" w:eastAsia="Times New Roman" w:cs="Times New Roman"/>
                <w:b w:val="0"/>
                <w:sz w:val="26"/>
              </w:rPr>
              <w:t>Một chất có hoạt tính in vitro mới là khả năng, chưa phải hiện thực của một thuốc</w:t>
            </w:r>
          </w:p>
        </w:tc>
      </w:tr>
    </w:tbl>
    <w:p>
      <w:pPr>
        <w:spacing w:before="80" w:after="160"/>
        <w:ind w:firstLine="0"/>
        <w:jc w:val="left"/>
      </w:pPr>
      <w:r>
        <w:rPr>
          <w:rFonts w:ascii="Times New Roman" w:hAnsi="Times New Roman" w:eastAsia="Times New Roman" w:cs="Times New Roman"/>
          <w:i/>
        </w:rPr>
        <w:t>Nguồn: Học viên tổng hợp trên cơ sở [1], [2].</w:t>
      </w:r>
    </w:p>
    <w:p>
      <w:pPr>
        <w:pStyle w:val="Heading3"/>
      </w:pPr>
      <w:r>
        <w:rPr>
          <w:rFonts w:ascii="Times New Roman" w:hAnsi="Times New Roman" w:eastAsia="Times New Roman" w:cs="Times New Roman"/>
        </w:rPr>
        <w:t>1.5.2. Liên hệ với các quy luật cơ bản của phép biện chứng</w:t>
      </w:r>
    </w:p>
    <w:p>
      <w:pPr>
        <w:ind w:firstLine="567"/>
        <w:jc w:val="both"/>
      </w:pPr>
      <w:r>
        <w:rPr>
          <w:rFonts w:ascii="Times New Roman" w:hAnsi="Times New Roman" w:eastAsia="Times New Roman" w:cs="Times New Roman"/>
        </w:rPr>
        <w:t xml:space="preserve">Cặp phạm trù bản chất – hiện tượng cũng liên hệ chặt chẽ với ba quy luật cơ bản của phép biện chứng duy vật. Với </w:t>
      </w:r>
      <w:r>
        <w:rPr>
          <w:rFonts w:ascii="Times New Roman" w:hAnsi="Times New Roman" w:eastAsia="Times New Roman" w:cs="Times New Roman"/>
          <w:i/>
        </w:rPr>
        <w:t>quy luật chuyển hóa từ những thay đổi về lượng thành những thay đổi về chất và ngược lại</w:t>
      </w:r>
      <w:r>
        <w:rPr>
          <w:rFonts w:ascii="Times New Roman" w:hAnsi="Times New Roman" w:eastAsia="Times New Roman" w:cs="Times New Roman"/>
        </w:rPr>
        <w:t>, bản chất của sự vật gắn liền với chất của nó: trong giới hạn của độ, những thay đổi về lượng chỉ biểu hiện ra thành những biến đổi của hiện tượng mà bản chất chưa thay đổi; khi vượt qua điểm nút, bản chất thay đổi và kéo theo sự thay đổi về chất của hiện tượng. Trong đánh giá hoạt tính, mối liên hệ này có một biểu hiện đáng chú ý: khi nồng độ của một chất có xu hướng kết tập vượt quá một ngưỡng nhất định, phân tử chuyển sang trạng thái keo và “hoạt tính ức chế” xuất hiện đột ngột, thường kèm theo đường cong liều – đáp ứng có độ dốc lớn bất thường [22], [41]. Bước nhảy về chất ở đây thuộc về trạng thái hóa lý của hệ, không thuộc về tương tác giữa phân tử và enzyme; nhầm lẫn hai loại bước nhảy này là một nguồn gốc của giả tượng.</w:t>
      </w:r>
    </w:p>
    <w:p>
      <w:pPr>
        <w:ind w:firstLine="567"/>
        <w:jc w:val="both"/>
      </w:pPr>
      <w:r>
        <w:rPr>
          <w:rFonts w:ascii="Times New Roman" w:hAnsi="Times New Roman" w:eastAsia="Times New Roman" w:cs="Times New Roman"/>
        </w:rPr>
        <w:t xml:space="preserve">Với </w:t>
      </w:r>
      <w:r>
        <w:rPr>
          <w:rFonts w:ascii="Times New Roman" w:hAnsi="Times New Roman" w:eastAsia="Times New Roman" w:cs="Times New Roman"/>
          <w:i/>
        </w:rPr>
        <w:t>quy luật thống nhất và đấu tranh của các mặt đối lập</w:t>
      </w:r>
      <w:r>
        <w:rPr>
          <w:rFonts w:ascii="Times New Roman" w:hAnsi="Times New Roman" w:eastAsia="Times New Roman" w:cs="Times New Roman"/>
        </w:rPr>
        <w:t xml:space="preserve">, bản thân quan hệ giữa bản chất và hiện tượng là một thể thống nhất của các mặt đối lập. Trong nhận thức, mâu thuẫn giữa tri thức đã có về bản chất và những hiện tượng mới không phù hợp với tri thức ấy là nguồn gốc và động lực của sự phát triển nhận thức; việc giải quyết mâu thuẫn đó dẫn đến tri thức về bản chất ở cấp độ sâu hơn. Với </w:t>
      </w:r>
      <w:r>
        <w:rPr>
          <w:rFonts w:ascii="Times New Roman" w:hAnsi="Times New Roman" w:eastAsia="Times New Roman" w:cs="Times New Roman"/>
          <w:i/>
        </w:rPr>
        <w:t>quy luật phủ định của phủ định</w:t>
      </w:r>
      <w:r>
        <w:rPr>
          <w:rFonts w:ascii="Times New Roman" w:hAnsi="Times New Roman" w:eastAsia="Times New Roman" w:cs="Times New Roman"/>
        </w:rPr>
        <w:t>, sự phát triển của nhận thức về bản chất diễn ra thông qua những lần phủ định biện chứng: tri thức mới phủ định tri thức cũ nhưng giữ lại những yếu tố hợp lý của nó, và sự phát triển có tính kế thừa, tính tiến lên. Các mối liên hệ này sẽ được minh họa qua lịch sử hóa học ở Chương 2.</w:t>
      </w:r>
    </w:p>
    <w:p>
      <w:pPr>
        <w:pStyle w:val="Heading2"/>
      </w:pPr>
      <w:r>
        <w:rPr>
          <w:rFonts w:ascii="Times New Roman" w:hAnsi="Times New Roman" w:eastAsia="Times New Roman" w:cs="Times New Roman"/>
        </w:rPr>
        <w:t>1.6. Bản chất và hiện tượng trong tiến trình nhận thức</w:t>
      </w:r>
    </w:p>
    <w:p>
      <w:pPr>
        <w:pStyle w:val="Heading3"/>
      </w:pPr>
      <w:r>
        <w:rPr>
          <w:rFonts w:ascii="Times New Roman" w:hAnsi="Times New Roman" w:eastAsia="Times New Roman" w:cs="Times New Roman"/>
        </w:rPr>
        <w:t>1.6.1. Con đường biện chứng của sự nhận thức</w:t>
      </w:r>
    </w:p>
    <w:p>
      <w:pPr>
        <w:ind w:firstLine="567"/>
        <w:jc w:val="both"/>
      </w:pPr>
      <w:r>
        <w:rPr>
          <w:rFonts w:ascii="Times New Roman" w:hAnsi="Times New Roman" w:eastAsia="Times New Roman" w:cs="Times New Roman"/>
        </w:rPr>
        <w:t>Theo lý luận phản ánh của chủ nghĩa duy vật biện chứng, nhận thức là quá trình phản ánh tích cực, sáng tạo hiện thực khách quan vào bộ óc con người trên cơ sở thực tiễn. V.I. Lênin đã khái quát: “Từ trực quan sinh động đến tư duy trừu tượng, và từ tư duy trừu tượng đến thực tiễn – đó là con đường biện chứng của sự nhận thức chân lý, của sự nhận thức thực tại khách quan” [4]. Ở giai đoạn nhận thức cảm tính, thông qua cảm giác, tri giác và biểu tượng, con người tiếp nhận hiện tượng. Ở giai đoạn nhận thức lý tính, thông qua khái niệm, phán đoán và suy luận, con người trừu tượng hóa khỏi những yếu tố ngẫu nhiên, cá biệt để nắm bắt cái chung, cái tất nhiên, tức là bản chất [2].</w:t>
      </w:r>
    </w:p>
    <w:p>
      <w:pPr>
        <w:ind w:firstLine="567"/>
        <w:jc w:val="both"/>
      </w:pPr>
      <w:r>
        <w:rPr>
          <w:rFonts w:ascii="Times New Roman" w:hAnsi="Times New Roman" w:eastAsia="Times New Roman" w:cs="Times New Roman"/>
        </w:rPr>
        <w:t>Hai giai đoạn này thống nhất với nhau. Nhận thức lý tính phải dựa trên tài liệu do nhận thức cảm tính cung cấp; tách khỏi hiện tượng, tư duy trừu tượng dễ rơi vào tư biện. Ngược lại, nhận thức cảm tính chỉ đem lại hiện tượng; dừng lại ở đó, nhận thức rơi vào chủ nghĩa kinh nghiệm hẹp hòi. Trong khoa học thực nghiệm hiện đại, nhận thức cảm tính được mở rộng bằng các thiết bị đo; do đó, “hiện tượng” mà nhà khoa học tiếp nhận không còn là cảm giác trực tiếp, mà là tín hiệu đã được thiết bị và các giả định lý thuyết trung gian. Điều này làm tăng khả năng tiếp cận bản chất, nhưng cũng làm xuất hiện những dạng giả tượng mới gắn với chính phương tiện đo.</w:t>
      </w:r>
    </w:p>
    <w:p>
      <w:pPr>
        <w:ind w:firstLine="567"/>
        <w:jc w:val="both"/>
      </w:pPr>
      <w:r>
        <w:rPr>
          <w:rFonts w:ascii="Times New Roman" w:hAnsi="Times New Roman" w:eastAsia="Times New Roman" w:cs="Times New Roman"/>
        </w:rPr>
        <w:t xml:space="preserve">Điều này không làm mất đi tính khách quan của hiện tượng khoa học. Theo quan điểm duy vật biện chứng, phản ánh là một quá trình tích cực, được trung gian bởi hoạt động thực tiễn; thiết bị đo là sản phẩm của thực tiễn và là sự vật chất hóa của những tri thức đã được kiểm nghiệm. Kết quả đo vì vậy là một hiện tượng khách quan, nhưng là hiện tượng của một </w:t>
      </w:r>
      <w:r>
        <w:rPr>
          <w:rFonts w:ascii="Times New Roman" w:hAnsi="Times New Roman" w:eastAsia="Times New Roman" w:cs="Times New Roman"/>
          <w:i/>
        </w:rPr>
        <w:t>quan hệ</w:t>
      </w:r>
      <w:r>
        <w:rPr>
          <w:rFonts w:ascii="Times New Roman" w:hAnsi="Times New Roman" w:eastAsia="Times New Roman" w:cs="Times New Roman"/>
        </w:rPr>
        <w:t>: quan hệ giữa đối tượng nghiên cứu, phương tiện đo và điều kiện đo. Khi quên đi tính chất quan hệ đó và coi kết quả đo là thuộc tính riêng của đối tượng, người nghiên cứu dễ gán cho đối tượng những đặc điểm thực ra thuộc về phương tiện hoặc điều kiện đo. Đây là cơ sở nhận thức luận của nhiều dạng giả tượng sẽ được phân tích ở Chương 3.</w:t>
      </w:r>
    </w:p>
    <w:p>
      <w:pPr>
        <w:pStyle w:val="Heading3"/>
      </w:pPr>
      <w:r>
        <w:rPr>
          <w:rFonts w:ascii="Times New Roman" w:hAnsi="Times New Roman" w:eastAsia="Times New Roman" w:cs="Times New Roman"/>
        </w:rPr>
        <w:t>1.6.2. Mô hình, giả thuyết và chân lý</w:t>
      </w:r>
    </w:p>
    <w:p>
      <w:pPr>
        <w:ind w:firstLine="567"/>
        <w:jc w:val="both"/>
      </w:pPr>
      <w:r>
        <w:rPr>
          <w:rFonts w:ascii="Times New Roman" w:hAnsi="Times New Roman" w:eastAsia="Times New Roman" w:cs="Times New Roman"/>
        </w:rPr>
        <w:t>Trên con đường từ hiện tượng đến bản chất, khoa học sử dụng mô hình và giả thuyết như những hình thức trung gian. Mô hình là sự tái hiện có đơn giản hóa đối tượng; nó phản ánh một số mặt của bản chất trong những giới hạn xác định. Giả thuyết là một phán đoán về bản chất chưa được chứng minh; nó chỉ trở thành lý thuyết khi được thực tiễn kiểm nghiệm. Nhầm lẫn mô hình với đối tượng, hoặc coi giả thuyết là chân lý đã được xác lập, là hai dạng sai lầm nhận thức luận phổ biến.</w:t>
      </w:r>
    </w:p>
    <w:p>
      <w:pPr>
        <w:ind w:firstLine="567"/>
        <w:jc w:val="both"/>
      </w:pPr>
      <w:r>
        <w:rPr>
          <w:rFonts w:ascii="Times New Roman" w:hAnsi="Times New Roman" w:eastAsia="Times New Roman" w:cs="Times New Roman"/>
        </w:rPr>
        <w:t>Chân lý là tri thức phù hợp với hiện thực khách quan và được thực tiễn kiểm nghiệm. Chân lý có tính khách quan, tính tương đối và tính tuyệt đối, và tính cụ thể. Mọi tri thức về bản chất đạt được ở một thời điểm đều là chân lý tương đối, đúng trong những điều kiện xác định; tổng số các chân lý tương đối hợp thành chân lý tuyệt đối. Không có chân lý trừu tượng; chân lý luôn luôn là cụ thể, gắn với những điều kiện lịch sử – cụ thể của đối tượng được phản ánh [2].</w:t>
      </w:r>
    </w:p>
    <w:p>
      <w:pPr>
        <w:pStyle w:val="Heading3"/>
      </w:pPr>
      <w:r>
        <w:rPr>
          <w:rFonts w:ascii="Times New Roman" w:hAnsi="Times New Roman" w:eastAsia="Times New Roman" w:cs="Times New Roman"/>
        </w:rPr>
        <w:t>1.6.3. Thực tiễn – tiêu chuẩn kiểm nghiệm tri thức về bản chất</w:t>
      </w:r>
    </w:p>
    <w:p>
      <w:pPr>
        <w:ind w:firstLine="567"/>
        <w:jc w:val="both"/>
      </w:pPr>
      <w:r>
        <w:rPr>
          <w:rFonts w:ascii="Times New Roman" w:hAnsi="Times New Roman" w:eastAsia="Times New Roman" w:cs="Times New Roman"/>
        </w:rPr>
        <w:t xml:space="preserve">Thực tiễn là cơ sở, động lực, mục đích và tiêu chuẩn của nhận thức. V.I. Lênin nhấn mạnh rằng quan điểm về đời sống, về thực tiễn phải là quan điểm thứ nhất và cơ bản của lý luận về nhận thức [3]. C. Mác, trong </w:t>
      </w:r>
      <w:r>
        <w:rPr>
          <w:rFonts w:ascii="Times New Roman" w:hAnsi="Times New Roman" w:eastAsia="Times New Roman" w:cs="Times New Roman"/>
          <w:i/>
        </w:rPr>
        <w:t>Luận cương về Phoiơbắc</w:t>
      </w:r>
      <w:r>
        <w:rPr>
          <w:rFonts w:ascii="Times New Roman" w:hAnsi="Times New Roman" w:eastAsia="Times New Roman" w:cs="Times New Roman"/>
        </w:rPr>
        <w:t>, khẳng định vấn đề tư duy của con người có thể đạt tới chân lý khách quan hay không là một vấn đề thực tiễn chứ không phải vấn đề lý luận thuần túy [2]. Đối với khoa học thực nghiệm, thực tiễn bao gồm thí nghiệm có kiểm soát, sản xuất và ứng dụng. Một tri thức về bản chất chỉ được coi là đã kiểm chứng khi nó cho phép dự báo và tạo ra những hiện tượng mới trong những điều kiện mới, chứ không chỉ giải thích những hiện tượng đã có.</w:t>
      </w:r>
    </w:p>
    <w:p>
      <w:pPr>
        <w:pStyle w:val="Heading2"/>
      </w:pPr>
      <w:r>
        <w:rPr>
          <w:rFonts w:ascii="Times New Roman" w:hAnsi="Times New Roman" w:eastAsia="Times New Roman" w:cs="Times New Roman"/>
        </w:rPr>
        <w:t>1.7. Ý nghĩa phương pháp luận</w:t>
      </w:r>
    </w:p>
    <w:p>
      <w:pPr>
        <w:ind w:firstLine="567"/>
        <w:jc w:val="both"/>
      </w:pPr>
      <w:r>
        <w:rPr>
          <w:rFonts w:ascii="Times New Roman" w:hAnsi="Times New Roman" w:eastAsia="Times New Roman" w:cs="Times New Roman"/>
        </w:rPr>
        <w:t>Từ những nội dung trên có thể rút ra bốn yêu cầu phương pháp luận, được sử dụng làm cơ sở cho việc phân tích ở các chương tiếp theo.</w:t>
      </w:r>
    </w:p>
    <w:p>
      <w:pPr>
        <w:ind w:firstLine="567"/>
        <w:jc w:val="both"/>
      </w:pPr>
      <w:r>
        <w:rPr>
          <w:rFonts w:ascii="Times New Roman" w:hAnsi="Times New Roman" w:eastAsia="Times New Roman" w:cs="Times New Roman"/>
          <w:i/>
        </w:rPr>
        <w:t>Thứ nhất</w:t>
      </w:r>
      <w:r>
        <w:rPr>
          <w:rFonts w:ascii="Times New Roman" w:hAnsi="Times New Roman" w:eastAsia="Times New Roman" w:cs="Times New Roman"/>
        </w:rPr>
        <w:t>, nhận thức không được dừng lại ở hiện tượng mà phải đi đến bản chất. Chỉ khi nắm được bản chất, con người mới giải thích được đầy đủ các hiện tượng và tác động vào sự vật một cách có hiệu quả. Trong hoạt động thực tiễn, cần căn cứ vào bản chất chứ không căn cứ vào hiện tượng để đánh giá sự vật.</w:t>
      </w:r>
    </w:p>
    <w:p>
      <w:pPr>
        <w:ind w:firstLine="567"/>
        <w:jc w:val="both"/>
      </w:pPr>
      <w:r>
        <w:rPr>
          <w:rFonts w:ascii="Times New Roman" w:hAnsi="Times New Roman" w:eastAsia="Times New Roman" w:cs="Times New Roman"/>
          <w:i/>
        </w:rPr>
        <w:t>Thứ hai</w:t>
      </w:r>
      <w:r>
        <w:rPr>
          <w:rFonts w:ascii="Times New Roman" w:hAnsi="Times New Roman" w:eastAsia="Times New Roman" w:cs="Times New Roman"/>
        </w:rPr>
        <w:t>, muốn nhận thức bản chất phải xuất phát từ hiện tượng, vì bản chất chỉ bộc lộ qua hiện tượng. Hơn nữa, cần nghiên cứu nhiều hiện tượng trong nhiều điều kiện khác nhau, vì một hiện tượng riêng lẻ chỉ phản ánh một phương diện của bản chất. Yêu cầu này là sự cụ thể hóa nguyên tắc khách quan và nguyên tắc toàn diện.</w:t>
      </w:r>
    </w:p>
    <w:p>
      <w:pPr>
        <w:ind w:firstLine="567"/>
        <w:jc w:val="both"/>
      </w:pPr>
      <w:r>
        <w:rPr>
          <w:rFonts w:ascii="Times New Roman" w:hAnsi="Times New Roman" w:eastAsia="Times New Roman" w:cs="Times New Roman"/>
          <w:i/>
        </w:rPr>
        <w:t>Thứ ba</w:t>
      </w:r>
      <w:r>
        <w:rPr>
          <w:rFonts w:ascii="Times New Roman" w:hAnsi="Times New Roman" w:eastAsia="Times New Roman" w:cs="Times New Roman"/>
        </w:rPr>
        <w:t>, cần phân biệt hiện tượng điển hình với giả tượng. Lấy giả tượng làm căn cứ sẽ dẫn đến kết luận sai về bản chất và do đó dẫn đến hành động sai trong thực tiễn. Việc phân biệt này đòi hỏi làm rõ những điều kiện khách quan đã sinh ra hiện tượng.</w:t>
      </w:r>
    </w:p>
    <w:p>
      <w:pPr>
        <w:ind w:firstLine="567"/>
        <w:jc w:val="both"/>
      </w:pPr>
      <w:r>
        <w:rPr>
          <w:rFonts w:ascii="Times New Roman" w:hAnsi="Times New Roman" w:eastAsia="Times New Roman" w:cs="Times New Roman"/>
          <w:i/>
        </w:rPr>
        <w:t>Thứ tư</w:t>
      </w:r>
      <w:r>
        <w:rPr>
          <w:rFonts w:ascii="Times New Roman" w:hAnsi="Times New Roman" w:eastAsia="Times New Roman" w:cs="Times New Roman"/>
        </w:rPr>
        <w:t>, nhận thức bản chất là quá trình đi từ bản chất cấp thấp đến bản chất cấp cao hơn, gắn với những điều kiện lịch sử – cụ thể; thực tiễn là tiêu chuẩn để kiểm nghiệm mức độ đúng đắn của tri thức về bản chất. Yêu cầu này là sự cụ thể hóa nguyên tắc lịch sử – cụ thể, nguyên tắc phát triển và nguyên tắc thống nhất giữa lý luận và thực tiễn.</w:t>
      </w:r>
    </w:p>
    <w:p>
      <w:pPr>
        <w:ind w:firstLine="567"/>
        <w:jc w:val="both"/>
      </w:pPr>
      <w:r>
        <w:rPr>
          <w:rFonts w:ascii="Times New Roman" w:hAnsi="Times New Roman" w:eastAsia="Times New Roman" w:cs="Times New Roman"/>
        </w:rPr>
        <w:t>Vi phạm các yêu cầu trên dẫn đến hai khuynh hướng sai lầm đối lập nhau. Khuynh hướng thứ nhất là chủ nghĩa kinh nghiệm hẹp hòi: tuyệt đối hóa hiện tượng, coi dữ kiện quan sát được là bản chất, coi số liệu đo được là kết luận. Khuynh hướng thứ hai là chủ nghĩa giáo điều: xuất phát từ những khuôn mẫu, mô hình hoặc quy tắc có sẵn để phán xét sự vật mà không qua phân tích hiện tượng cụ thể. Cả hai khuynh hướng đều là biểu hiện của phương pháp tư duy siêu hình, tách rời bản chất khỏi hiện tượng.</w:t>
      </w:r>
    </w:p>
    <w:p>
      <w:pPr>
        <w:keepNext/>
        <w:spacing w:before="120" w:after="60"/>
        <w:ind w:firstLine="0"/>
        <w:jc w:val="left"/>
      </w:pPr>
      <w:r>
        <w:rPr>
          <w:rFonts w:ascii="Times New Roman" w:hAnsi="Times New Roman" w:eastAsia="Times New Roman" w:cs="Times New Roman"/>
          <w:b/>
        </w:rPr>
        <w:t>Tiểu kết Chương 1</w:t>
      </w:r>
    </w:p>
    <w:p>
      <w:pPr>
        <w:ind w:firstLine="567"/>
        <w:jc w:val="both"/>
      </w:pPr>
      <w:r>
        <w:rPr>
          <w:rFonts w:ascii="Times New Roman" w:hAnsi="Times New Roman" w:eastAsia="Times New Roman" w:cs="Times New Roman"/>
        </w:rPr>
        <w:t>Chương 1 đã hệ thống hóa lịch sử vấn đề và quan niệm duy vật biện chứng về bản chất, hiện tượng và giả tượng. Bản chất và hiện tượng đều khách quan, thống nhất và đối lập với nhau; bản chất có nhiều cấp độ, và nhận thức bản chất là một quá trình vô tận, dựa trên thực tiễn. Ranh giới giữa bản chất và hiện tượng không phải là ranh giới giữa cái có thể biết và cái không thể biết, mà là ranh giới lịch sử giữa cái đã biết và cái chưa biết. Bốn yêu cầu phương pháp luận được rút ra ở mục 1.7 sẽ được sử dụng làm công cụ phân tích trong các chương tiếp theo.</w:t>
      </w:r>
    </w:p>
    <w:p>
      <w:pPr>
        <w:pStyle w:val="Heading1"/>
        <w:pageBreakBefore/>
      </w:pPr>
      <w:r>
        <w:rPr>
          <w:rFonts w:ascii="Times New Roman" w:hAnsi="Times New Roman" w:eastAsia="Times New Roman" w:cs="Times New Roman"/>
        </w:rPr>
        <w:t>CHƯƠNG 2</w:t>
      </w:r>
      <w:r>
        <w:br/>
      </w:r>
      <w:r>
        <w:rPr>
          <w:rFonts w:ascii="Times New Roman" w:hAnsi="Times New Roman" w:eastAsia="Times New Roman" w:cs="Times New Roman"/>
        </w:rPr>
        <w:t>SỰ VẬN ĐỘNG CỦA NHẬN THỨC TỪ HIỆN TƯỢNG ĐẾN BẢN CHẤT TRONG LỊCH SỬ HÓA HỌC</w:t>
      </w:r>
    </w:p>
    <w:p>
      <w:pPr>
        <w:ind w:firstLine="567"/>
        <w:jc w:val="both"/>
      </w:pPr>
      <w:r>
        <w:rPr>
          <w:rFonts w:ascii="Times New Roman" w:hAnsi="Times New Roman" w:eastAsia="Times New Roman" w:cs="Times New Roman"/>
        </w:rPr>
        <w:t>Lịch sử của một khoa học là bằng chứng thực tiễn cho những luận điểm của lý luận nhận thức. Theo nguyên tắc thống nhất giữa lôgíc và lịch sử, con đường mà nhận thức của nhân loại đã đi qua trong một lĩnh vực phản ánh, dưới dạng rút gọn, lôgíc của quá trình đi từ hiện tượng đến bản chất. Chương này phân tích năm trường hợp tiêu biểu của lịch sử hóa học, nhằm làm rõ các luận điểm đã trình bày ở Chương 1 và rút ra những bài học nhận thức luận làm cơ sở cho các chương sau.</w:t>
      </w:r>
    </w:p>
    <w:p>
      <w:pPr>
        <w:pStyle w:val="Heading2"/>
      </w:pPr>
      <w:r>
        <w:rPr>
          <w:rFonts w:ascii="Times New Roman" w:hAnsi="Times New Roman" w:eastAsia="Times New Roman" w:cs="Times New Roman"/>
        </w:rPr>
        <w:t>2.1. Sự cháy: từ thuyết phlogiston đến thuyết oxy hóa</w:t>
      </w:r>
    </w:p>
    <w:p>
      <w:pPr>
        <w:ind w:firstLine="567"/>
        <w:jc w:val="both"/>
      </w:pPr>
      <w:r>
        <w:rPr>
          <w:rFonts w:ascii="Times New Roman" w:hAnsi="Times New Roman" w:eastAsia="Times New Roman" w:cs="Times New Roman"/>
        </w:rPr>
        <w:t>Sự cháy và sự nung kim loại là những hiện tượng được con người quan sát từ rất sớm: vật cháy tỏa nhiệt và ánh sáng, gỗ cháy để lại tro nhẹ hơn, kim loại khi nung biến thành “vôi kim loại” (calx). Đầu thế kỷ XVIII, G.E. Stahl, phát triển ý tưởng của J.J. Becher, đã khái quát các hiện tượng này bằng thuyết phlogiston: vật cháy được là vật chứa phlogiston, sự cháy là quá trình giải phóng phlogiston, còn vôi kim loại là kim loại đã mất phlogiston. Thuyết này giải thích được một loạt hiện tượng có vẻ nhất quán, chẳng hạn việc khử vôi kim loại bằng than (được coi là giàu phlogiston) để thu lại kim loại [13].</w:t>
      </w:r>
    </w:p>
    <w:p>
      <w:pPr>
        <w:ind w:firstLine="567"/>
        <w:jc w:val="both"/>
      </w:pPr>
      <w:r>
        <w:rPr>
          <w:rFonts w:ascii="Times New Roman" w:hAnsi="Times New Roman" w:eastAsia="Times New Roman" w:cs="Times New Roman"/>
        </w:rPr>
        <w:t xml:space="preserve">Tuy vậy, thuyết phlogiston vấp phải một hiện tượng không phù hợp: vôi kim loại nặng hơn kim loại ban đầu. Năm 1774, J. Priestley điều chế được một loại “khí” duy trì sự cháy mạnh hơn không khí, và C.W. Scheele cũng thu được khí này một cách độc lập; song cả hai vẫn giải thích nó trong khuôn khổ của thuyết phlogiston. A.L. Lavoisier, bằng những thí nghiệm định lượng dùng cân trong hệ kín, đã chứng minh rằng sự cháy và sự nung là quá trình kết hợp với một thành phần của không khí, được ông gọi là oxygène; kết quả này được hệ thống hóa trong </w:t>
      </w:r>
      <w:r>
        <w:rPr>
          <w:rFonts w:ascii="Times New Roman" w:hAnsi="Times New Roman" w:eastAsia="Times New Roman" w:cs="Times New Roman"/>
          <w:i/>
        </w:rPr>
        <w:t>Traité élémentaire de chimie</w:t>
      </w:r>
      <w:r>
        <w:rPr>
          <w:rFonts w:ascii="Times New Roman" w:hAnsi="Times New Roman" w:eastAsia="Times New Roman" w:cs="Times New Roman"/>
        </w:rPr>
        <w:t xml:space="preserve"> (1789), cùng với nguyên lý bảo toàn khối lượng [13].</w:t>
      </w:r>
    </w:p>
    <w:p>
      <w:pPr>
        <w:ind w:firstLine="567"/>
        <w:jc w:val="both"/>
      </w:pPr>
      <w:r>
        <w:rPr>
          <w:rFonts w:ascii="Times New Roman" w:hAnsi="Times New Roman" w:eastAsia="Times New Roman" w:cs="Times New Roman"/>
        </w:rPr>
        <w:t xml:space="preserve">Xét dưới góc độ triết học, trường hợp này minh họa ba luận điểm. </w:t>
      </w:r>
      <w:r>
        <w:rPr>
          <w:rFonts w:ascii="Times New Roman" w:hAnsi="Times New Roman" w:eastAsia="Times New Roman" w:cs="Times New Roman"/>
          <w:i/>
        </w:rPr>
        <w:t>Thứ nhất</w:t>
      </w:r>
      <w:r>
        <w:rPr>
          <w:rFonts w:ascii="Times New Roman" w:hAnsi="Times New Roman" w:eastAsia="Times New Roman" w:cs="Times New Roman"/>
        </w:rPr>
        <w:t xml:space="preserve">, sự giảm khối lượng khi gỗ cháy là một giả tượng: nó có thật trong hệ hở, nhưng biểu hiện xuyên tạc bản chất của quá trình, vì sản phẩm cháy là chất khí thoát ra; chỉ khi thí nghiệm được tiến hành trong hệ kín, bản chất mới bộc lộ. Điều này khẳng định rằng giả tượng không bị loại bỏ bằng cách phủ nhận dữ kiện, mà bằng cách thay đổi và kiểm soát điều kiện biểu hiện. </w:t>
      </w:r>
      <w:r>
        <w:rPr>
          <w:rFonts w:ascii="Times New Roman" w:hAnsi="Times New Roman" w:eastAsia="Times New Roman" w:cs="Times New Roman"/>
          <w:i/>
        </w:rPr>
        <w:t>Thứ hai</w:t>
      </w:r>
      <w:r>
        <w:rPr>
          <w:rFonts w:ascii="Times New Roman" w:hAnsi="Times New Roman" w:eastAsia="Times New Roman" w:cs="Times New Roman"/>
        </w:rPr>
        <w:t xml:space="preserve">, Priestley và Scheele đã có trong tay hiện tượng mới, nhưng vẫn diễn giải nó bằng khuôn khổ lý thuyết cũ; đây là minh họa cho sự chi phối của hệ thống phạm trù đã có đối với việc tiếp nhận hiện tượng, và cho nguy cơ của chủ nghĩa giáo điều trong nhận thức khoa học. </w:t>
      </w:r>
      <w:r>
        <w:rPr>
          <w:rFonts w:ascii="Times New Roman" w:hAnsi="Times New Roman" w:eastAsia="Times New Roman" w:cs="Times New Roman"/>
          <w:i/>
        </w:rPr>
        <w:t>Thứ ba</w:t>
      </w:r>
      <w:r>
        <w:rPr>
          <w:rFonts w:ascii="Times New Roman" w:hAnsi="Times New Roman" w:eastAsia="Times New Roman" w:cs="Times New Roman"/>
        </w:rPr>
        <w:t>, mâu thuẫn giữa lý thuyết đang thống trị và hiện tượng không phù hợp với nó là động lực của sự phát triển nhận thức; việc giải quyết mâu thuẫn đó đã dẫn đến một bước nhảy về chất trong hóa học.</w:t>
      </w:r>
    </w:p>
    <w:p>
      <w:pPr>
        <w:pStyle w:val="Heading2"/>
      </w:pPr>
      <w:r>
        <w:rPr>
          <w:rFonts w:ascii="Times New Roman" w:hAnsi="Times New Roman" w:eastAsia="Times New Roman" w:cs="Times New Roman"/>
        </w:rPr>
        <w:t>2.2. Tính tuần hoàn của các nguyên tố: từ khối lượng nguyên tử đến điện tích hạt nhân</w:t>
      </w:r>
    </w:p>
    <w:p>
      <w:pPr>
        <w:ind w:firstLine="567"/>
        <w:jc w:val="both"/>
      </w:pPr>
      <w:r>
        <w:rPr>
          <w:rFonts w:ascii="Times New Roman" w:hAnsi="Times New Roman" w:eastAsia="Times New Roman" w:cs="Times New Roman"/>
        </w:rPr>
        <w:t>Năm 1869, D.I. Menđêlêép sắp xếp các nguyên tố theo chiều tăng của khối lượng nguyên tử và phát hiện sự lặp lại có quy luật của các tính chất. Ông để trống những vị trí chưa có nguyên tố tương ứng và dự báo tính chất của chúng; các nguyên tố gali (1875), scanđi (1879) và gecmani (1886) được phát hiện sau đó với tính chất phù hợp với dự báo [13]. Đồng thời, Menđêlêép đã đặt telu trước iot dù khối lượng nguyên tử của telu lớn hơn, vì ông ưu tiên sự tương đồng về tính chất hơn trật tự khối lượng.</w:t>
      </w:r>
    </w:p>
    <w:p>
      <w:pPr>
        <w:ind w:firstLine="567"/>
        <w:jc w:val="both"/>
      </w:pPr>
      <w:r>
        <w:rPr>
          <w:rFonts w:ascii="Times New Roman" w:hAnsi="Times New Roman" w:eastAsia="Times New Roman" w:cs="Times New Roman"/>
        </w:rPr>
        <w:t>Những trường hợp đảo ngược như telu – iot, coban – niken, agon – kali cho thấy khối lượng nguyên tử có liên hệ với bản chất của tính tuần hoàn nhưng không phải là bản chất đó. Năm 1913, H.G.J. Moseley đo tần số tia X đặc trưng của các nguyên tố và chỉ ra rằng căn bậc hai của tần số biến thiên tuyến tính theo một số nguyên tăng dần đều theo vị trí trong bảng tuần hoàn, tức là số hiệu nguyên tử, đại lượng tương ứng với điện tích hạt nhân [34]. Sau đó, cơ học lượng tử giải thích tính tuần hoàn bằng cấu hình electron của nguyên tử [13].</w:t>
      </w:r>
    </w:p>
    <w:p>
      <w:pPr>
        <w:ind w:firstLine="567"/>
        <w:jc w:val="both"/>
      </w:pPr>
      <w:r>
        <w:rPr>
          <w:rFonts w:ascii="Times New Roman" w:hAnsi="Times New Roman" w:eastAsia="Times New Roman" w:cs="Times New Roman"/>
        </w:rPr>
        <w:t>Trường hợp này minh họa rõ luận điểm về các cấp độ của bản chất. Sự lặp lại của các tính chất là hiện tượng. Định luật tuần hoàn theo khối lượng nguyên tử là bản chất cấp một, đủ để dự báo những nguyên tố chưa biết. Quan hệ với điện tích hạt nhân là bản chất cấp hai, giải thích được các trường hợp đảo ngược. Cấu hình electron là bản chất cấp ba, giải thích vì sao có sự tuần hoàn. Mỗi cấp độ sau không bác bỏ mà bao hàm và giới hạn phạm vi đúng của cấp độ trước, đúng với tính chất phủ định biện chứng có kế thừa. Đáng chú ý là các “ngoại lệ”, tức những hiện tượng không khớp với bản chất cấp một, lại chính là đầu mối dẫn đến bản chất cấp hai. Đồng thời, định luật tuần hoàn theo điện tích hạt nhân là một minh họa của quy luật lượng – chất: sự thay đổi một đơn vị điện tích hạt nhân dẫn đến một nguyên tố mới, tức là một chất mới.</w:t>
      </w:r>
    </w:p>
    <w:p>
      <w:pPr>
        <w:pStyle w:val="Heading2"/>
      </w:pPr>
      <w:r>
        <w:rPr>
          <w:rFonts w:ascii="Times New Roman" w:hAnsi="Times New Roman" w:eastAsia="Times New Roman" w:cs="Times New Roman"/>
        </w:rPr>
        <w:t>2.3. Các thuyết acid – base: những cấp độ nhận thức bản chất</w:t>
      </w:r>
    </w:p>
    <w:p>
      <w:pPr>
        <w:ind w:firstLine="567"/>
        <w:jc w:val="both"/>
      </w:pPr>
      <w:r>
        <w:rPr>
          <w:rFonts w:ascii="Times New Roman" w:hAnsi="Times New Roman" w:eastAsia="Times New Roman" w:cs="Times New Roman"/>
        </w:rPr>
        <w:t>Các hiện tượng gắn với acid được biết từ lâu: vị chua, làm đổi màu chất chỉ thị, tác dụng với kim loại giải phóng khí hydro, trung hòa base. Cuối thế kỷ XIX, thuyết điện ly của S. Arrhenius định nghĩa acid là chất phân ly trong nước tạo ion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 Năm 1923, J.N. Brønsted và T.M. Lowry, độc lập với nhau, định nghĩa acid là chất cho proton và base là chất nhận proton [14], [31]. Cùng năm, G.N. Lewis đưa ra một định nghĩa tổng quát hơn: acid là chất nhận cặp electron, base là chất cho cặp electron [30].</w:t>
      </w:r>
    </w:p>
    <w:p>
      <w:pPr>
        <w:ind w:firstLine="567"/>
        <w:jc w:val="both"/>
      </w:pPr>
      <w:r>
        <w:rPr>
          <w:rFonts w:ascii="Times New Roman" w:hAnsi="Times New Roman" w:eastAsia="Times New Roman" w:cs="Times New Roman"/>
        </w:rPr>
        <w:t>Ba thuyết này không phải là ba quan niệm loại trừ nhau, mà là ba cấp độ nhận thức bản chất của cùng một nhóm hiện tượng (Bảng 2.1). Thuyết sau bao hàm thuyết trước như một trường hợp riêng: mọi acid Arrhenius đều là acid Brønsted – Lowry, và mọi phản ứng trao đổi proton đều có thể được mô tả như tương tác cho – nhận cặp electron. Đây là biểu hiện của quy luật phủ định của phủ định trong sự phát triển của nhận thức: cái mới phủ định cái cũ nhưng giữ lại những yếu tố hợp lý của nó, và sự phát triển diễn ra theo hướng mở rộng phạm vi hiện tượng được giải thích. Tri thức ở mỗi cấp độ là chân lý tương đối, đúng trong những giới hạn xác định; việc sử dụng thuyết nào tùy thuộc vào điều kiện cụ thể của vấn đề, đúng với tính cụ thể của chân lý.</w:t>
      </w:r>
    </w:p>
    <w:p>
      <w:pPr>
        <w:keepNext/>
        <w:spacing w:before="120" w:after="120"/>
        <w:ind w:firstLine="0"/>
        <w:jc w:val="center"/>
      </w:pPr>
      <w:r>
        <w:rPr>
          <w:rFonts w:ascii="Times New Roman" w:hAnsi="Times New Roman" w:eastAsia="Times New Roman" w:cs="Times New Roman"/>
          <w:b/>
        </w:rPr>
        <w:t>Bảng 2.1. Các thuyết acid – base như những cấp độ nhận thức bản chất</w:t>
      </w:r>
    </w:p>
    <w:tbl>
      <w:tblPr>
        <w:tblStyle w:val="TableGrid"/>
        <w:tblW w:type="auto" w:w="0"/>
        <w:jc w:val="center"/>
        <w:tblLayout w:type="fixed"/>
        <w:tblLook w:firstColumn="1" w:firstRow="1" w:lastColumn="0" w:lastRow="0" w:noHBand="0" w:noVBand="1" w:val="04A0"/>
      </w:tblPr>
      <w:tblGrid>
        <w:gridCol w:w="1871"/>
        <w:gridCol w:w="2494"/>
        <w:gridCol w:w="2381"/>
        <w:gridCol w:w="2041"/>
      </w:tblGrid>
      <w:tr>
        <w:trPr>
          <w:cantSplit/>
          <w:tblHeader/>
        </w:trPr>
        <w:tc>
          <w:tcPr>
            <w:tcW w:type="dxa" w:w="187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Thuyết</w:t>
            </w:r>
          </w:p>
        </w:tc>
        <w:tc>
          <w:tcPr>
            <w:tcW w:type="dxa" w:w="2494"/>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Bản chất của tính acid</w:t>
            </w:r>
          </w:p>
        </w:tc>
        <w:tc>
          <w:tcPr>
            <w:tcW w:type="dxa" w:w="238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Phạm vi hiện tượng được giải thích</w:t>
            </w:r>
          </w:p>
        </w:tc>
        <w:tc>
          <w:tcPr>
            <w:tcW w:type="dxa" w:w="204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Giới hạn</w:t>
            </w:r>
          </w:p>
        </w:tc>
      </w:tr>
      <w:tr>
        <w:trPr>
          <w:cantSplit/>
        </w:trPr>
        <w:tc>
          <w:tcPr>
            <w:tcW w:type="dxa" w:w="1871"/>
            <w:vAlign w:val="center"/>
          </w:tcPr>
          <w:p>
            <w:pPr>
              <w:spacing w:before="40" w:after="40" w:line="240" w:lineRule="auto"/>
              <w:ind w:firstLine="0"/>
              <w:jc w:val="left"/>
            </w:pPr>
            <w:r>
              <w:rPr>
                <w:rFonts w:ascii="Times New Roman" w:hAnsi="Times New Roman" w:eastAsia="Times New Roman" w:cs="Times New Roman"/>
                <w:b/>
                <w:sz w:val="26"/>
              </w:rPr>
              <w:t>Arrhenius</w:t>
            </w:r>
            <w:r>
              <w:br/>
            </w:r>
            <w:r>
              <w:rPr>
                <w:rFonts w:ascii="Times New Roman" w:hAnsi="Times New Roman" w:eastAsia="Times New Roman" w:cs="Times New Roman"/>
                <w:b w:val="0"/>
                <w:sz w:val="26"/>
              </w:rPr>
              <w:t>(cuối thế kỷ XIX)</w:t>
            </w:r>
          </w:p>
        </w:tc>
        <w:tc>
          <w:tcPr>
            <w:tcW w:type="dxa" w:w="2494"/>
            <w:vAlign w:val="center"/>
          </w:tcPr>
          <w:p>
            <w:pPr>
              <w:spacing w:before="40" w:after="40" w:line="240" w:lineRule="auto"/>
              <w:ind w:firstLine="0"/>
              <w:jc w:val="left"/>
            </w:pPr>
            <w:r>
              <w:rPr>
                <w:rFonts w:ascii="Times New Roman" w:hAnsi="Times New Roman" w:eastAsia="Times New Roman" w:cs="Times New Roman"/>
                <w:b w:val="0"/>
                <w:sz w:val="26"/>
              </w:rPr>
              <w:t>Chất phân ly trong nước tạo ion H</w:t>
            </w:r>
            <w:r>
              <w:rPr>
                <w:rFonts w:ascii="Times New Roman" w:hAnsi="Times New Roman" w:eastAsia="Times New Roman" w:cs="Times New Roman"/>
                <w:b w:val="0"/>
                <w:sz w:val="26"/>
                <w:vertAlign w:val="superscript"/>
              </w:rPr>
              <w:t>+</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Dung dịch nước; phản ứng trung hòa</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Không áp dụng cho dung môi khác nước; khó giải thích tính base của NH</w:t>
            </w:r>
            <w:r>
              <w:rPr>
                <w:rFonts w:ascii="Times New Roman" w:hAnsi="Times New Roman" w:eastAsia="Times New Roman" w:cs="Times New Roman"/>
                <w:b w:val="0"/>
                <w:sz w:val="26"/>
                <w:vertAlign w:val="subscript"/>
              </w:rPr>
              <w:t>3</w:t>
            </w:r>
          </w:p>
        </w:tc>
      </w:tr>
      <w:tr>
        <w:trPr>
          <w:cantSplit/>
        </w:trPr>
        <w:tc>
          <w:tcPr>
            <w:tcW w:type="dxa" w:w="1871"/>
            <w:vAlign w:val="center"/>
          </w:tcPr>
          <w:p>
            <w:pPr>
              <w:spacing w:before="40" w:after="40" w:line="240" w:lineRule="auto"/>
              <w:ind w:firstLine="0"/>
              <w:jc w:val="left"/>
            </w:pPr>
            <w:r>
              <w:rPr>
                <w:rFonts w:ascii="Times New Roman" w:hAnsi="Times New Roman" w:eastAsia="Times New Roman" w:cs="Times New Roman"/>
                <w:b/>
                <w:sz w:val="26"/>
              </w:rPr>
              <w:t>Brønsted – Lowry</w:t>
            </w:r>
            <w:r>
              <w:br/>
            </w:r>
            <w:r>
              <w:rPr>
                <w:rFonts w:ascii="Times New Roman" w:hAnsi="Times New Roman" w:eastAsia="Times New Roman" w:cs="Times New Roman"/>
                <w:b w:val="0"/>
                <w:sz w:val="26"/>
              </w:rPr>
              <w:t>(1923)</w:t>
            </w:r>
          </w:p>
        </w:tc>
        <w:tc>
          <w:tcPr>
            <w:tcW w:type="dxa" w:w="2494"/>
            <w:vAlign w:val="center"/>
          </w:tcPr>
          <w:p>
            <w:pPr>
              <w:spacing w:before="40" w:after="40" w:line="240" w:lineRule="auto"/>
              <w:ind w:firstLine="0"/>
              <w:jc w:val="left"/>
            </w:pPr>
            <w:r>
              <w:rPr>
                <w:rFonts w:ascii="Times New Roman" w:hAnsi="Times New Roman" w:eastAsia="Times New Roman" w:cs="Times New Roman"/>
                <w:b w:val="0"/>
                <w:sz w:val="26"/>
              </w:rPr>
              <w:t>Chất cho proton; base là chất nhận proton</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Cặp acid – base liên hợp; dung môi không phải nước</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Chỉ bao quát các quá trình trao đổi proton</w:t>
            </w:r>
          </w:p>
        </w:tc>
      </w:tr>
      <w:tr>
        <w:trPr>
          <w:cantSplit/>
        </w:trPr>
        <w:tc>
          <w:tcPr>
            <w:tcW w:type="dxa" w:w="1871"/>
            <w:vAlign w:val="center"/>
          </w:tcPr>
          <w:p>
            <w:pPr>
              <w:spacing w:before="40" w:after="40" w:line="240" w:lineRule="auto"/>
              <w:ind w:firstLine="0"/>
              <w:jc w:val="left"/>
            </w:pPr>
            <w:r>
              <w:rPr>
                <w:rFonts w:ascii="Times New Roman" w:hAnsi="Times New Roman" w:eastAsia="Times New Roman" w:cs="Times New Roman"/>
                <w:b/>
                <w:sz w:val="26"/>
              </w:rPr>
              <w:t>Lewis</w:t>
            </w:r>
            <w:r>
              <w:br/>
            </w:r>
            <w:r>
              <w:rPr>
                <w:rFonts w:ascii="Times New Roman" w:hAnsi="Times New Roman" w:eastAsia="Times New Roman" w:cs="Times New Roman"/>
                <w:b w:val="0"/>
                <w:sz w:val="26"/>
              </w:rPr>
              <w:t>(1923)</w:t>
            </w:r>
          </w:p>
        </w:tc>
        <w:tc>
          <w:tcPr>
            <w:tcW w:type="dxa" w:w="2494"/>
            <w:vAlign w:val="center"/>
          </w:tcPr>
          <w:p>
            <w:pPr>
              <w:spacing w:before="40" w:after="40" w:line="240" w:lineRule="auto"/>
              <w:ind w:firstLine="0"/>
              <w:jc w:val="left"/>
            </w:pPr>
            <w:r>
              <w:rPr>
                <w:rFonts w:ascii="Times New Roman" w:hAnsi="Times New Roman" w:eastAsia="Times New Roman" w:cs="Times New Roman"/>
                <w:b w:val="0"/>
                <w:sz w:val="26"/>
              </w:rPr>
              <w:t>Chất nhận cặp electron; base là chất cho cặp electron</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BF</w:t>
            </w:r>
            <w:r>
              <w:rPr>
                <w:rFonts w:ascii="Times New Roman" w:hAnsi="Times New Roman" w:eastAsia="Times New Roman" w:cs="Times New Roman"/>
                <w:b w:val="0"/>
                <w:sz w:val="26"/>
                <w:vertAlign w:val="subscript"/>
              </w:rPr>
              <w:t>3</w:t>
            </w:r>
            <w:r>
              <w:rPr>
                <w:rFonts w:ascii="Times New Roman" w:hAnsi="Times New Roman" w:eastAsia="Times New Roman" w:cs="Times New Roman"/>
                <w:b w:val="0"/>
                <w:sz w:val="26"/>
              </w:rPr>
              <w:t>, AlCl</w:t>
            </w:r>
            <w:r>
              <w:rPr>
                <w:rFonts w:ascii="Times New Roman" w:hAnsi="Times New Roman" w:eastAsia="Times New Roman" w:cs="Times New Roman"/>
                <w:b w:val="0"/>
                <w:sz w:val="26"/>
                <w:vertAlign w:val="subscript"/>
              </w:rPr>
              <w:t>3</w:t>
            </w:r>
            <w:r>
              <w:rPr>
                <w:rFonts w:ascii="Times New Roman" w:hAnsi="Times New Roman" w:eastAsia="Times New Roman" w:cs="Times New Roman"/>
                <w:b w:val="0"/>
                <w:sz w:val="26"/>
              </w:rPr>
              <w:t>, ion kim loại, phức chất</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Khó định lượng độ mạnh bằng một thang duy nhất</w:t>
            </w:r>
          </w:p>
        </w:tc>
      </w:tr>
    </w:tbl>
    <w:p>
      <w:pPr>
        <w:spacing w:before="80" w:after="160"/>
        <w:ind w:firstLine="0"/>
        <w:jc w:val="left"/>
      </w:pPr>
      <w:r>
        <w:rPr>
          <w:rFonts w:ascii="Times New Roman" w:hAnsi="Times New Roman" w:eastAsia="Times New Roman" w:cs="Times New Roman"/>
          <w:i/>
        </w:rPr>
        <w:t>Nguồn: Học viên tổng hợp từ [13], [14], [30], [31].</w:t>
      </w:r>
    </w:p>
    <w:p>
      <w:pPr>
        <w:ind w:firstLine="567"/>
        <w:jc w:val="both"/>
      </w:pPr>
      <w:r>
        <w:rPr>
          <w:rFonts w:ascii="Times New Roman" w:hAnsi="Times New Roman" w:eastAsia="Times New Roman" w:cs="Times New Roman"/>
        </w:rPr>
        <w:t>Khái niệm acid Lewis còn cho thấy một bản chất có thể được nhận thức sâu hơn qua những lĩnh vực hiện tượng rất khác nhau. Chẳng hạn, captopril, một thuốc ức chế enzyme chuyển angiotensin, được thiết kế sao cho nhóm thiol của nó liên kết với ion kẽm ở tâm hoạt động của enzyme [18]; tương tác giữa ion kim loại (acid Lewis) và nhóm cho electron (base Lewis) ở đây là một mắt xích trong bản chất của tác dụng dược lý.</w:t>
      </w:r>
    </w:p>
    <w:p>
      <w:pPr>
        <w:pStyle w:val="Heading2"/>
      </w:pPr>
      <w:r>
        <w:rPr>
          <w:rFonts w:ascii="Times New Roman" w:hAnsi="Times New Roman" w:eastAsia="Times New Roman" w:cs="Times New Roman"/>
        </w:rPr>
        <w:t>2.4. Đồng phân và tính bất đối: từ thành phần đến cấu trúc không gian</w:t>
      </w:r>
    </w:p>
    <w:p>
      <w:pPr>
        <w:ind w:firstLine="567"/>
        <w:jc w:val="both"/>
      </w:pPr>
      <w:r>
        <w:rPr>
          <w:rFonts w:ascii="Times New Roman" w:hAnsi="Times New Roman" w:eastAsia="Times New Roman" w:cs="Times New Roman"/>
        </w:rPr>
        <w:t>Trong thập niên 1820, người ta phát hiện rằng bạc cyanat và bạc fulminat có cùng thành phần nguyên tố nhưng tính chất khác hẳn nhau; J.J. Berzelius gọi hiện tượng này là đồng phân. Sau đó, thuyết cấu tạo hóa học khẳng định tính chất của chất phụ thuộc không chỉ vào thành phần mà vào trật tự liên kết giữa các nguyên tử. L. Pasteur (1848) tách được hai dạng tinh thể đối xứng gương của muối tartrat có tính quang hoạt ngược nhau, và J.H. van 't Hoff cùng J.A. Le Bel (1874) giải thích hiện tượng này bằng cấu trúc tứ diện của nguyên tử carbon [13]. Nhận thức đã đi từ hiện tượng (cùng thành phần, khác tính chất) đến bản chất cấp một (khác trật tự liên kết) và bản chất cấp hai (khác cách sắp xếp trong không gian).</w:t>
      </w:r>
    </w:p>
    <w:p>
      <w:pPr>
        <w:ind w:firstLine="567"/>
        <w:jc w:val="both"/>
      </w:pPr>
      <w:r>
        <w:rPr>
          <w:rFonts w:ascii="Times New Roman" w:hAnsi="Times New Roman" w:eastAsia="Times New Roman" w:cs="Times New Roman"/>
        </w:rPr>
        <w:t>Trường hợp thalidomide cho thấy ý nghĩa thực tiễn của việc dừng lại ở một cấp độ bản chất chưa đầy đủ. Thalidomide được đưa ra thị trường cuối thập niên 1950 như một thuốc an thần và gây dị tật cho hơn 10.000 trẻ em trước khi bị cấm vào năm 1961 [43]. Phân tử thalidomide có một carbon bất đối, và đồng phân S được xác định là đồng phân gây quái thai. Tuy nhiên, hai đồng phân chuyển hóa lẫn nhau nhanh chóng trong dịch cơ thể, nên việc chỉ sử dụng một đồng phân không loại bỏ được nguy cơ [43]. Năm 2010, cereblon được xác định là đích phân tử chính của tác dụng gây quái thai: thalidomide gắn vào cereblon và ức chế phức hợp ubiquitin ligase liên quan [26]. Ở đây, “đồng phân S gây quái thai” là một tri thức về bản chất ở cấp độ lập thể; nhưng nếu dừng lại ở đó, người ta sẽ rút ra kết luận thực tiễn sai lầm rằng chỉ cần tách đồng phân. Chỉ khi xét đến sự chuyển hóa trong cơ thể (điều kiện cụ thể) và đích phân tử (bản chất cấp sâu hơn), tri thức mới đủ để định hướng hành động. Trường hợp này minh họa một cách bi thảm yêu cầu “căn cứ vào bản chất chứ không căn cứ vào hiện tượng”, và tính cụ thể của chân lý.</w:t>
      </w:r>
    </w:p>
    <w:p>
      <w:pPr>
        <w:pStyle w:val="Heading2"/>
      </w:pPr>
      <w:r>
        <w:rPr>
          <w:rFonts w:ascii="Times New Roman" w:hAnsi="Times New Roman" w:eastAsia="Times New Roman" w:cs="Times New Roman"/>
        </w:rPr>
        <w:t>2.5. Động học enzyme: từ tốc độ phản ứng đến cấu trúc phức hợp</w:t>
      </w:r>
    </w:p>
    <w:p>
      <w:pPr>
        <w:ind w:firstLine="567"/>
        <w:jc w:val="both"/>
      </w:pPr>
      <w:r>
        <w:rPr>
          <w:rFonts w:ascii="Times New Roman" w:hAnsi="Times New Roman" w:eastAsia="Times New Roman" w:cs="Times New Roman"/>
        </w:rPr>
        <w:t>Năm 1913, L. Michaelis và M.L. Menten nghiên cứu động học của enzyme invertase và chỉ ra rằng tốc độ phản ứng tỉ lệ với nồng độ của phức hợp enzyme – cơ chất, một thực thể mà lúc đó chưa thể quan sát trực tiếp [28]. Từ những hiện tượng động học (sự phụ thuộc của tốc độ vào nồng độ cơ chất), họ đã suy ra một bản chất (sự hình thành phức hợp trung gian) và biểu đạt nó bằng các hằng số định lượng. Các phương pháp động học sau đó cho phép phân biệt các kiểu ức chế enzyme và xác định hằng số ức chế [17]. Năm 1958, D.E. Koshland đề xuất giả thuyết “khớp cảm ứng”, theo đó enzyme thay đổi cấu dạng khi gắn cơ chất [29]. Năm 1965, cấu trúc không gian của lysozyme được xác định bằng nhiễu xạ tia X ở độ phân giải 2 Å [12], mở ra khả năng tiếp cận trực tiếp cấu trúc của enzyme và phức hợp của nó.</w:t>
      </w:r>
    </w:p>
    <w:p>
      <w:pPr>
        <w:ind w:firstLine="567"/>
        <w:jc w:val="both"/>
      </w:pPr>
      <w:r>
        <w:rPr>
          <w:rFonts w:ascii="Times New Roman" w:hAnsi="Times New Roman" w:eastAsia="Times New Roman" w:cs="Times New Roman"/>
        </w:rPr>
        <w:t xml:space="preserve">Tiến trình này thể hiện rõ con đường từ hiện tượng đến bản chất nhiều cấp: từ đường cong tốc độ (hiện tượng), đến mô hình phức hợp và các hằng số động học (bản chất cấp một), đến giả thuyết về tính linh động cấu dạng (bản chất cấp hai), đến cấu trúc nguyên tử của phức hợp (bản chất cấp ba). Điều quan trọng là phức hợp enzyme – cơ chất đã được xác lập như một bản chất </w:t>
      </w:r>
      <w:r>
        <w:rPr>
          <w:rFonts w:ascii="Times New Roman" w:hAnsi="Times New Roman" w:eastAsia="Times New Roman" w:cs="Times New Roman"/>
          <w:i/>
        </w:rPr>
        <w:t>trước khi</w:t>
      </w:r>
      <w:r>
        <w:rPr>
          <w:rFonts w:ascii="Times New Roman" w:hAnsi="Times New Roman" w:eastAsia="Times New Roman" w:cs="Times New Roman"/>
        </w:rPr>
        <w:t xml:space="preserve"> được quan sát trực tiếp: tư duy lý tính, dựa trên hiện tượng định lượng, có khả năng vượt trước phương tiện quan sát. Đồng thời, việc xác định cấu trúc sau này là sự kiểm nghiệm bằng thực tiễn cho suy luận trước đó. Xét trong tiến trình này,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được đo ngày nay thuộc về tầng hiện tượng nông nhất của nhận thức về tương tác enzyme – chất ức chế.</w:t>
      </w:r>
    </w:p>
    <w:p>
      <w:pPr>
        <w:pStyle w:val="Heading2"/>
      </w:pPr>
      <w:r>
        <w:rPr>
          <w:rFonts w:ascii="Times New Roman" w:hAnsi="Times New Roman" w:eastAsia="Times New Roman" w:cs="Times New Roman"/>
        </w:rPr>
        <w:t>2.6. Phương tiện nhận thức và sự dịch chuyển ranh giới giữa bản chất và hiện tượng</w:t>
      </w:r>
    </w:p>
    <w:p>
      <w:pPr>
        <w:ind w:firstLine="567"/>
        <w:jc w:val="both"/>
      </w:pPr>
      <w:r>
        <w:rPr>
          <w:rFonts w:ascii="Times New Roman" w:hAnsi="Times New Roman" w:eastAsia="Times New Roman" w:cs="Times New Roman"/>
        </w:rPr>
        <w:t>Các trường hợp trên còn cho thấy vai trò của phương tiện nhận thức. Trong thế kỷ XIX, cấu tạo phân tử là một bản chất chỉ có thể được suy ra một cách gián tiếp từ thành phần nguyên tố, số lượng đồng phân và các phản ứng hóa học [13]. Trong thế kỷ XX, nhiễu xạ tia X và các phương pháp phổ, trong đó có phổ cộng hưởng từ hạt nhân, cho phép xác định cấu trúc một cách trực tiếp hơn; việc xác định cấu trúc không gian của lysozyme năm 1965 là một mốc của quá trình này đối với enzyme [12]. Cái từng là bản chất ẩn giấu đã trở thành đối tượng của phép đo, tức là trở thành hiện tượng ở một trình độ mới. Quá trình này minh họa luận điểm của V.I. Lênin rằng không có ranh giới về nguyên tắc giữa hiện tượng và vật tự nó, mà chỉ có ranh giới giữa cái đã biết và cái chưa biết [3].</w:t>
      </w:r>
    </w:p>
    <w:p>
      <w:pPr>
        <w:ind w:firstLine="567"/>
        <w:jc w:val="both"/>
      </w:pPr>
      <w:r>
        <w:rPr>
          <w:rFonts w:ascii="Times New Roman" w:hAnsi="Times New Roman" w:eastAsia="Times New Roman" w:cs="Times New Roman"/>
        </w:rPr>
        <w:t>Tuy nhiên, phương tiện nhận thức không phải là một “cửa sổ trong suốt” mở vào bản chất. Mỗi phương pháp đo dựa trên những giả định lý thuyết nhất định và có những giới hạn riêng, do đó có thể tạo ra những giả tượng đặc thù. Vì vậy, sự phát triển của phương tiện nhận thức vừa mở rộng khả năng tiếp cận bản chất, vừa đặt ra yêu cầu phải hiểu rõ bản chất của chính phương tiện ấy. Đây là một biểu hiện của tính biện chứng trong nhận thức: mỗi bước tiến giải quyết một mâu thuẫn cũ đồng thời làm nảy sinh những mâu thuẫn mới, và nhận thức phát triển thông qua việc giải quyết liên tục các mâu thuẫn đó.</w:t>
      </w:r>
    </w:p>
    <w:p>
      <w:pPr>
        <w:pStyle w:val="Heading2"/>
      </w:pPr>
      <w:r>
        <w:rPr>
          <w:rFonts w:ascii="Times New Roman" w:hAnsi="Times New Roman" w:eastAsia="Times New Roman" w:cs="Times New Roman"/>
        </w:rPr>
        <w:t>2.7. Những bài học nhận thức luận</w:t>
      </w:r>
    </w:p>
    <w:p>
      <w:pPr>
        <w:ind w:firstLine="567"/>
        <w:jc w:val="both"/>
      </w:pPr>
      <w:r>
        <w:rPr>
          <w:rFonts w:ascii="Times New Roman" w:hAnsi="Times New Roman" w:eastAsia="Times New Roman" w:cs="Times New Roman"/>
        </w:rPr>
        <w:t>Năm trường hợp trên cho phép rút ra năm bài học nhận thức luận có ý nghĩa đối với nghiên cứu hóa học hiện nay.</w:t>
      </w:r>
    </w:p>
    <w:p>
      <w:pPr>
        <w:ind w:firstLine="567"/>
        <w:jc w:val="both"/>
      </w:pPr>
      <w:r>
        <w:rPr>
          <w:rFonts w:ascii="Times New Roman" w:hAnsi="Times New Roman" w:eastAsia="Times New Roman" w:cs="Times New Roman"/>
          <w:i/>
        </w:rPr>
        <w:t>Một là</w:t>
      </w:r>
      <w:r>
        <w:rPr>
          <w:rFonts w:ascii="Times New Roman" w:hAnsi="Times New Roman" w:eastAsia="Times New Roman" w:cs="Times New Roman"/>
        </w:rPr>
        <w:t>, hiện tượng là điểm xuất phát không thể thay thế: mọi bước tiến tới bản chất đều dựa trên những hiện tượng mới hoặc được đo đạc chính xác hơn, như khối lượng trong thí nghiệm của Lavoisier hay tần số tia X trong thí nghiệm của Moseley.</w:t>
      </w:r>
    </w:p>
    <w:p>
      <w:pPr>
        <w:ind w:firstLine="567"/>
        <w:jc w:val="both"/>
      </w:pPr>
      <w:r>
        <w:rPr>
          <w:rFonts w:ascii="Times New Roman" w:hAnsi="Times New Roman" w:eastAsia="Times New Roman" w:cs="Times New Roman"/>
          <w:i/>
        </w:rPr>
        <w:t>Hai là</w:t>
      </w:r>
      <w:r>
        <w:rPr>
          <w:rFonts w:ascii="Times New Roman" w:hAnsi="Times New Roman" w:eastAsia="Times New Roman" w:cs="Times New Roman"/>
        </w:rPr>
        <w:t>, những hiện tượng không phù hợp với lý thuyết đang có, gồm cả những “ngoại lệ” và giả tượng, là đầu mối của nhận thức bản chất sâu hơn. Mâu thuẫn giữa lý thuyết và dữ kiện là động lực của sự phát triển nhận thức; bỏ qua hoặc giải thích gượng ép những mâu thuẫn đó, như cách Priestley diễn giải khí oxy bằng thuyết phlogiston, là biểu hiện của tư duy giáo điều.</w:t>
      </w:r>
    </w:p>
    <w:p>
      <w:pPr>
        <w:ind w:firstLine="567"/>
        <w:jc w:val="both"/>
      </w:pPr>
      <w:r>
        <w:rPr>
          <w:rFonts w:ascii="Times New Roman" w:hAnsi="Times New Roman" w:eastAsia="Times New Roman" w:cs="Times New Roman"/>
          <w:i/>
        </w:rPr>
        <w:t>Ba là</w:t>
      </w:r>
      <w:r>
        <w:rPr>
          <w:rFonts w:ascii="Times New Roman" w:hAnsi="Times New Roman" w:eastAsia="Times New Roman" w:cs="Times New Roman"/>
        </w:rPr>
        <w:t>, việc vượt qua giả tượng đòi hỏi kiểm soát điều kiện biểu hiện: hệ kín thay cho hệ hở, đo định lượng thay cho quan sát định tính, phương pháp độc lập thay cho một phương pháp duy nhất.</w:t>
      </w:r>
    </w:p>
    <w:p>
      <w:pPr>
        <w:ind w:firstLine="567"/>
        <w:jc w:val="both"/>
      </w:pPr>
      <w:r>
        <w:rPr>
          <w:rFonts w:ascii="Times New Roman" w:hAnsi="Times New Roman" w:eastAsia="Times New Roman" w:cs="Times New Roman"/>
          <w:i/>
        </w:rPr>
        <w:t>Bốn là</w:t>
      </w:r>
      <w:r>
        <w:rPr>
          <w:rFonts w:ascii="Times New Roman" w:hAnsi="Times New Roman" w:eastAsia="Times New Roman" w:cs="Times New Roman"/>
        </w:rPr>
        <w:t>, bản chất có nhiều cấp độ; các cấp độ sau bao hàm các cấp độ trước theo kiểu phủ định biện chứng. Tri thức ở mỗi cấp độ là chân lý tương đối, và việc dừng lại ở một cấp độ chưa đủ sâu có thể dẫn đến hành động sai lầm, như trường hợp thalidomide.</w:t>
      </w:r>
    </w:p>
    <w:p>
      <w:pPr>
        <w:ind w:firstLine="567"/>
        <w:jc w:val="both"/>
      </w:pPr>
      <w:r>
        <w:rPr>
          <w:rFonts w:ascii="Times New Roman" w:hAnsi="Times New Roman" w:eastAsia="Times New Roman" w:cs="Times New Roman"/>
          <w:i/>
        </w:rPr>
        <w:t>Năm là</w:t>
      </w:r>
      <w:r>
        <w:rPr>
          <w:rFonts w:ascii="Times New Roman" w:hAnsi="Times New Roman" w:eastAsia="Times New Roman" w:cs="Times New Roman"/>
        </w:rPr>
        <w:t>, thực tiễn, bao gồm dự báo được kiểm chứng (các nguyên tố của Menđêlêép), tổng hợp có chủ đích (alizarin) và xác định cấu trúc (lysozyme), là tiêu chuẩn cuối cùng để xác nhận rằng nhận thức đã đạt tới bản chất ở một cấp độ nhất định.</w:t>
      </w:r>
    </w:p>
    <w:p>
      <w:pPr>
        <w:keepNext/>
        <w:spacing w:before="120" w:after="60"/>
        <w:ind w:firstLine="0"/>
        <w:jc w:val="left"/>
      </w:pPr>
      <w:r>
        <w:rPr>
          <w:rFonts w:ascii="Times New Roman" w:hAnsi="Times New Roman" w:eastAsia="Times New Roman" w:cs="Times New Roman"/>
          <w:b/>
        </w:rPr>
        <w:t>Tiểu kết Chương 2</w:t>
      </w:r>
    </w:p>
    <w:p>
      <w:pPr>
        <w:ind w:firstLine="567"/>
        <w:jc w:val="both"/>
      </w:pPr>
      <w:r>
        <w:rPr>
          <w:rFonts w:ascii="Times New Roman" w:hAnsi="Times New Roman" w:eastAsia="Times New Roman" w:cs="Times New Roman"/>
        </w:rPr>
        <w:t>Lịch sử hóa học xác nhận các luận điểm của phép biện chứng duy vật về quan hệ giữa bản chất và hiện tượng: nhận thức đi từ hiện tượng đến bản chất, từ bản chất cấp thấp đến bản chất cấp cao; giả tượng được vượt qua bằng kiểm soát điều kiện; mâu thuẫn giữa lý thuyết và dữ kiện là động lực phát triển; thực tiễn là tiêu chuẩn của chân lý. Những bài học này là cơ sở để phân tích thực trạng đánh giá hoạt tính sinh học của hợp chất thiên nhiên ở Chương 3.</w:t>
      </w:r>
    </w:p>
    <w:p>
      <w:pPr>
        <w:pStyle w:val="Heading1"/>
        <w:pageBreakBefore/>
      </w:pPr>
      <w:r>
        <w:rPr>
          <w:rFonts w:ascii="Times New Roman" w:hAnsi="Times New Roman" w:eastAsia="Times New Roman" w:cs="Times New Roman"/>
        </w:rPr>
        <w:t>CHƯƠNG 3</w:t>
      </w:r>
      <w:r>
        <w:br/>
      </w:r>
      <w:r>
        <w:rPr>
          <w:rFonts w:ascii="Times New Roman" w:hAnsi="Times New Roman" w:eastAsia="Times New Roman" w:cs="Times New Roman"/>
        </w:rPr>
        <w:t>THỰC TRẠNG ĐÁNH GIÁ HOẠT TÍNH ỨC CHẾ ENZYME CỦA HỢP CHẤT THIÊN NHIÊN DƯỚI GÓC ĐỘ CẶP PHẠM TRÙ BẢN CHẤT VÀ HIỆN TƯỢNG</w:t>
      </w:r>
    </w:p>
    <w:p>
      <w:pPr>
        <w:pStyle w:val="Heading2"/>
      </w:pPr>
      <w:r>
        <w:rPr>
          <w:rFonts w:ascii="Times New Roman" w:hAnsi="Times New Roman" w:eastAsia="Times New Roman" w:cs="Times New Roman"/>
        </w:rPr>
        <w:t>3.1. Hợp chất thiên nhiên và con đường đi đến bản chất của các thuốc ức chế enzyme</w:t>
      </w:r>
    </w:p>
    <w:p>
      <w:pPr>
        <w:ind w:firstLine="567"/>
        <w:jc w:val="both"/>
      </w:pPr>
      <w:r>
        <w:rPr>
          <w:rFonts w:ascii="Times New Roman" w:hAnsi="Times New Roman" w:eastAsia="Times New Roman" w:cs="Times New Roman"/>
        </w:rPr>
        <w:t xml:space="preserve">Nhiều thuốc ức chế enzyme quan trọng có nguồn gốc từ hợp chất thiên nhiên (Bảng 3.1). Điểm chung của các trường hợp thành công này không phải là một giá trị hoạt tính </w:t>
      </w:r>
      <w:r>
        <w:rPr>
          <w:rFonts w:ascii="Times New Roman" w:hAnsi="Times New Roman" w:eastAsia="Times New Roman" w:cs="Times New Roman"/>
          <w:i/>
        </w:rPr>
        <w:t>in vitro</w:t>
      </w:r>
      <w:r>
        <w:rPr>
          <w:rFonts w:ascii="Times New Roman" w:hAnsi="Times New Roman" w:eastAsia="Times New Roman" w:cs="Times New Roman"/>
        </w:rPr>
        <w:t xml:space="preserve"> thấp, mà là việc quá trình nghiên cứu đã đi qua nhiều cấp độ của bản chất: từ hiện tượng sinh học ban đầu đến cơ chế, tính chọn lọc, tác dụng trên cơ thể và cuối cùng là hiệu quả lâm sàng.</w:t>
      </w:r>
    </w:p>
    <w:p>
      <w:pPr>
        <w:keepNext/>
        <w:spacing w:before="120" w:after="120"/>
        <w:ind w:firstLine="0"/>
        <w:jc w:val="center"/>
      </w:pPr>
      <w:r>
        <w:rPr>
          <w:rFonts w:ascii="Times New Roman" w:hAnsi="Times New Roman" w:eastAsia="Times New Roman" w:cs="Times New Roman"/>
          <w:b/>
        </w:rPr>
        <w:t>Bảng 3.1. Một số thuốc ức chế enzyme có nguồn gốc từ hợp chất thiên nhiên</w:t>
      </w:r>
    </w:p>
    <w:tbl>
      <w:tblPr>
        <w:tblStyle w:val="TableGrid"/>
        <w:tblW w:type="auto" w:w="0"/>
        <w:jc w:val="center"/>
        <w:tblLayout w:type="fixed"/>
        <w:tblLook w:firstColumn="1" w:firstRow="1" w:lastColumn="0" w:lastRow="0" w:noHBand="0" w:noVBand="1" w:val="04A0"/>
      </w:tblPr>
      <w:tblGrid>
        <w:gridCol w:w="1701"/>
        <w:gridCol w:w="2041"/>
        <w:gridCol w:w="2835"/>
        <w:gridCol w:w="2211"/>
      </w:tblGrid>
      <w:tr>
        <w:trPr>
          <w:cantSplit/>
          <w:tblHeader/>
        </w:trPr>
        <w:tc>
          <w:tcPr>
            <w:tcW w:type="dxa" w:w="170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Thuốc</w:t>
            </w:r>
          </w:p>
        </w:tc>
        <w:tc>
          <w:tcPr>
            <w:tcW w:type="dxa" w:w="204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Enzyme đích</w:t>
            </w:r>
          </w:p>
        </w:tc>
        <w:tc>
          <w:tcPr>
            <w:tcW w:type="dxa" w:w="283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Nguồn gốc</w:t>
            </w:r>
          </w:p>
        </w:tc>
        <w:tc>
          <w:tcPr>
            <w:tcW w:type="dxa" w:w="221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Ghi chú</w:t>
            </w:r>
          </w:p>
        </w:tc>
      </w:tr>
      <w:tr>
        <w:trPr>
          <w:cantSplit/>
        </w:trPr>
        <w:tc>
          <w:tcPr>
            <w:tcW w:type="dxa" w:w="1701"/>
            <w:vAlign w:val="center"/>
          </w:tcPr>
          <w:p>
            <w:pPr>
              <w:spacing w:before="40" w:after="40" w:line="240" w:lineRule="auto"/>
              <w:ind w:firstLine="0"/>
              <w:jc w:val="left"/>
            </w:pPr>
            <w:r>
              <w:rPr>
                <w:rFonts w:ascii="Times New Roman" w:hAnsi="Times New Roman" w:eastAsia="Times New Roman" w:cs="Times New Roman"/>
                <w:b/>
                <w:sz w:val="26"/>
              </w:rPr>
              <w:t>Acarbose</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α-Glucosidase ruột</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Sản xuất bằng lên men chủng </w:t>
            </w:r>
            <w:r>
              <w:rPr>
                <w:rFonts w:ascii="Times New Roman" w:hAnsi="Times New Roman" w:eastAsia="Times New Roman" w:cs="Times New Roman"/>
                <w:b w:val="0"/>
                <w:i/>
                <w:sz w:val="26"/>
              </w:rPr>
              <w:t>Actinoplanes</w:t>
            </w:r>
            <w:r>
              <w:rPr>
                <w:rFonts w:ascii="Times New Roman" w:hAnsi="Times New Roman" w:eastAsia="Times New Roman" w:cs="Times New Roman"/>
                <w:b w:val="0"/>
                <w:sz w:val="26"/>
              </w:rPr>
              <w:t xml:space="preserve"> sp. SE50</w:t>
            </w:r>
          </w:p>
        </w:tc>
        <w:tc>
          <w:tcPr>
            <w:tcW w:type="dxa" w:w="2211"/>
            <w:vAlign w:val="center"/>
          </w:tcPr>
          <w:p>
            <w:pPr>
              <w:spacing w:before="40" w:after="40" w:line="240" w:lineRule="auto"/>
              <w:ind w:firstLine="0"/>
              <w:jc w:val="left"/>
            </w:pPr>
            <w:r>
              <w:rPr>
                <w:rFonts w:ascii="Times New Roman" w:hAnsi="Times New Roman" w:eastAsia="Times New Roman" w:cs="Times New Roman"/>
                <w:b w:val="0"/>
                <w:sz w:val="26"/>
              </w:rPr>
              <w:t>Dùng trong điều trị đái tháo đường type 2 từ năm 1990</w:t>
            </w:r>
          </w:p>
        </w:tc>
      </w:tr>
      <w:tr>
        <w:trPr>
          <w:cantSplit/>
        </w:trPr>
        <w:tc>
          <w:tcPr>
            <w:tcW w:type="dxa" w:w="1701"/>
            <w:vAlign w:val="center"/>
          </w:tcPr>
          <w:p>
            <w:pPr>
              <w:spacing w:before="40" w:after="40" w:line="240" w:lineRule="auto"/>
              <w:ind w:firstLine="0"/>
              <w:jc w:val="left"/>
            </w:pPr>
            <w:r>
              <w:rPr>
                <w:rFonts w:ascii="Times New Roman" w:hAnsi="Times New Roman" w:eastAsia="Times New Roman" w:cs="Times New Roman"/>
                <w:b/>
                <w:sz w:val="26"/>
              </w:rPr>
              <w:t>Lovastatin và các statin</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HMG-CoA reductase</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Chất chuyển hóa của nấm; compactin từ </w:t>
            </w:r>
            <w:r>
              <w:rPr>
                <w:rFonts w:ascii="Times New Roman" w:hAnsi="Times New Roman" w:eastAsia="Times New Roman" w:cs="Times New Roman"/>
                <w:b w:val="0"/>
                <w:i/>
                <w:sz w:val="26"/>
              </w:rPr>
              <w:t>Penicillium citrinum</w:t>
            </w:r>
            <w:r>
              <w:rPr>
                <w:rFonts w:ascii="Times New Roman" w:hAnsi="Times New Roman" w:eastAsia="Times New Roman" w:cs="Times New Roman"/>
                <w:b w:val="0"/>
                <w:sz w:val="26"/>
              </w:rPr>
              <w:t xml:space="preserve">, lovastatin từ </w:t>
            </w:r>
            <w:r>
              <w:rPr>
                <w:rFonts w:ascii="Times New Roman" w:hAnsi="Times New Roman" w:eastAsia="Times New Roman" w:cs="Times New Roman"/>
                <w:b w:val="0"/>
                <w:i/>
                <w:sz w:val="26"/>
              </w:rPr>
              <w:t>Aspergillus terreus</w:t>
            </w:r>
          </w:p>
        </w:tc>
        <w:tc>
          <w:tcPr>
            <w:tcW w:type="dxa" w:w="2211"/>
            <w:vAlign w:val="center"/>
          </w:tcPr>
          <w:p>
            <w:pPr>
              <w:spacing w:before="40" w:after="40" w:line="240" w:lineRule="auto"/>
              <w:ind w:firstLine="0"/>
              <w:jc w:val="left"/>
            </w:pPr>
            <w:r>
              <w:rPr>
                <w:rFonts w:ascii="Times New Roman" w:hAnsi="Times New Roman" w:eastAsia="Times New Roman" w:cs="Times New Roman"/>
                <w:b w:val="0"/>
                <w:sz w:val="26"/>
              </w:rPr>
              <w:t>Hạ cholesterol máu, giảm biến cố mạch vành</w:t>
            </w:r>
          </w:p>
        </w:tc>
      </w:tr>
      <w:tr>
        <w:trPr>
          <w:cantSplit/>
        </w:trPr>
        <w:tc>
          <w:tcPr>
            <w:tcW w:type="dxa" w:w="1701"/>
            <w:vAlign w:val="center"/>
          </w:tcPr>
          <w:p>
            <w:pPr>
              <w:spacing w:before="40" w:after="40" w:line="240" w:lineRule="auto"/>
              <w:ind w:firstLine="0"/>
              <w:jc w:val="left"/>
            </w:pPr>
            <w:r>
              <w:rPr>
                <w:rFonts w:ascii="Times New Roman" w:hAnsi="Times New Roman" w:eastAsia="Times New Roman" w:cs="Times New Roman"/>
                <w:b/>
                <w:sz w:val="26"/>
              </w:rPr>
              <w:t>Galantamine</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Acetylcholinesterase</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Alcaloid của các loài họ Thủy tiên (</w:t>
            </w:r>
            <w:r>
              <w:rPr>
                <w:rFonts w:ascii="Times New Roman" w:hAnsi="Times New Roman" w:eastAsia="Times New Roman" w:cs="Times New Roman"/>
                <w:b w:val="0"/>
                <w:i/>
                <w:sz w:val="26"/>
              </w:rPr>
              <w:t>Galanthus</w:t>
            </w:r>
            <w:r>
              <w:rPr>
                <w:rFonts w:ascii="Times New Roman" w:hAnsi="Times New Roman" w:eastAsia="Times New Roman" w:cs="Times New Roman"/>
                <w:b w:val="0"/>
                <w:sz w:val="26"/>
              </w:rPr>
              <w:t xml:space="preserve">, </w:t>
            </w:r>
            <w:r>
              <w:rPr>
                <w:rFonts w:ascii="Times New Roman" w:hAnsi="Times New Roman" w:eastAsia="Times New Roman" w:cs="Times New Roman"/>
                <w:b w:val="0"/>
                <w:i/>
                <w:sz w:val="26"/>
              </w:rPr>
              <w:t>Narcissus</w:t>
            </w:r>
            <w:r>
              <w:rPr>
                <w:rFonts w:ascii="Times New Roman" w:hAnsi="Times New Roman" w:eastAsia="Times New Roman" w:cs="Times New Roman"/>
                <w:b w:val="0"/>
                <w:sz w:val="26"/>
              </w:rPr>
              <w:t xml:space="preserve">, </w:t>
            </w:r>
            <w:r>
              <w:rPr>
                <w:rFonts w:ascii="Times New Roman" w:hAnsi="Times New Roman" w:eastAsia="Times New Roman" w:cs="Times New Roman"/>
                <w:b w:val="0"/>
                <w:i/>
                <w:sz w:val="26"/>
              </w:rPr>
              <w:t>Leucojum</w:t>
            </w:r>
            <w:r>
              <w:rPr>
                <w:rFonts w:ascii="Times New Roman" w:hAnsi="Times New Roman" w:eastAsia="Times New Roman" w:cs="Times New Roman"/>
                <w:b w:val="0"/>
                <w:sz w:val="26"/>
              </w:rPr>
              <w:t>)</w:t>
            </w:r>
          </w:p>
        </w:tc>
        <w:tc>
          <w:tcPr>
            <w:tcW w:type="dxa" w:w="2211"/>
            <w:vAlign w:val="center"/>
          </w:tcPr>
          <w:p>
            <w:pPr>
              <w:spacing w:before="40" w:after="40" w:line="240" w:lineRule="auto"/>
              <w:ind w:firstLine="0"/>
              <w:jc w:val="left"/>
            </w:pPr>
            <w:r>
              <w:rPr>
                <w:rFonts w:ascii="Times New Roman" w:hAnsi="Times New Roman" w:eastAsia="Times New Roman" w:cs="Times New Roman"/>
                <w:b w:val="0"/>
                <w:sz w:val="26"/>
              </w:rPr>
              <w:t>Điều trị bệnh Alzheimer</w:t>
            </w:r>
          </w:p>
        </w:tc>
      </w:tr>
      <w:tr>
        <w:trPr>
          <w:cantSplit/>
        </w:trPr>
        <w:tc>
          <w:tcPr>
            <w:tcW w:type="dxa" w:w="1701"/>
            <w:vAlign w:val="center"/>
          </w:tcPr>
          <w:p>
            <w:pPr>
              <w:spacing w:before="40" w:after="40" w:line="240" w:lineRule="auto"/>
              <w:ind w:firstLine="0"/>
              <w:jc w:val="left"/>
            </w:pPr>
            <w:r>
              <w:rPr>
                <w:rFonts w:ascii="Times New Roman" w:hAnsi="Times New Roman" w:eastAsia="Times New Roman" w:cs="Times New Roman"/>
                <w:b/>
                <w:sz w:val="26"/>
              </w:rPr>
              <w:t>Orlistat</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Lipase tụy</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Dẫn xuất của lipstatin từ </w:t>
            </w:r>
            <w:r>
              <w:rPr>
                <w:rFonts w:ascii="Times New Roman" w:hAnsi="Times New Roman" w:eastAsia="Times New Roman" w:cs="Times New Roman"/>
                <w:b w:val="0"/>
                <w:i/>
                <w:sz w:val="26"/>
              </w:rPr>
              <w:t>Streptomyces toxytricini</w:t>
            </w:r>
          </w:p>
        </w:tc>
        <w:tc>
          <w:tcPr>
            <w:tcW w:type="dxa" w:w="2211"/>
            <w:vAlign w:val="center"/>
          </w:tcPr>
          <w:p>
            <w:pPr>
              <w:spacing w:before="40" w:after="40" w:line="240" w:lineRule="auto"/>
              <w:ind w:firstLine="0"/>
              <w:jc w:val="left"/>
            </w:pPr>
            <w:r>
              <w:rPr>
                <w:rFonts w:ascii="Times New Roman" w:hAnsi="Times New Roman" w:eastAsia="Times New Roman" w:cs="Times New Roman"/>
                <w:b w:val="0"/>
                <w:sz w:val="26"/>
              </w:rPr>
              <w:t>Lipstatin: IC</w:t>
            </w:r>
            <w:r>
              <w:rPr>
                <w:rFonts w:ascii="Times New Roman" w:hAnsi="Times New Roman" w:eastAsia="Times New Roman" w:cs="Times New Roman"/>
                <w:b w:val="0"/>
                <w:sz w:val="26"/>
                <w:vertAlign w:val="subscript"/>
              </w:rPr>
              <w:t>50</w:t>
            </w:r>
            <w:r>
              <w:rPr>
                <w:rFonts w:ascii="Times New Roman" w:hAnsi="Times New Roman" w:eastAsia="Times New Roman" w:cs="Times New Roman"/>
                <w:b w:val="0"/>
                <w:sz w:val="26"/>
              </w:rPr>
              <w:t xml:space="preserve"> = 0,14 μM, không ức chế phospholipase A</w:t>
            </w:r>
            <w:r>
              <w:rPr>
                <w:rFonts w:ascii="Times New Roman" w:hAnsi="Times New Roman" w:eastAsia="Times New Roman" w:cs="Times New Roman"/>
                <w:b w:val="0"/>
                <w:sz w:val="26"/>
                <w:vertAlign w:val="subscript"/>
              </w:rPr>
              <w:t>2</w:t>
            </w:r>
            <w:r>
              <w:rPr>
                <w:rFonts w:ascii="Times New Roman" w:hAnsi="Times New Roman" w:eastAsia="Times New Roman" w:cs="Times New Roman"/>
                <w:b w:val="0"/>
                <w:sz w:val="26"/>
              </w:rPr>
              <w:t xml:space="preserve"> và trypsin</w:t>
            </w:r>
          </w:p>
        </w:tc>
      </w:tr>
      <w:tr>
        <w:trPr>
          <w:cantSplit/>
        </w:trPr>
        <w:tc>
          <w:tcPr>
            <w:tcW w:type="dxa" w:w="1701"/>
            <w:vAlign w:val="center"/>
          </w:tcPr>
          <w:p>
            <w:pPr>
              <w:spacing w:before="40" w:after="40" w:line="240" w:lineRule="auto"/>
              <w:ind w:firstLine="0"/>
              <w:jc w:val="left"/>
            </w:pPr>
            <w:r>
              <w:rPr>
                <w:rFonts w:ascii="Times New Roman" w:hAnsi="Times New Roman" w:eastAsia="Times New Roman" w:cs="Times New Roman"/>
                <w:b/>
                <w:sz w:val="26"/>
              </w:rPr>
              <w:t>Captopril</w:t>
            </w:r>
          </w:p>
        </w:tc>
        <w:tc>
          <w:tcPr>
            <w:tcW w:type="dxa" w:w="2041"/>
            <w:vAlign w:val="center"/>
          </w:tcPr>
          <w:p>
            <w:pPr>
              <w:spacing w:before="40" w:after="40" w:line="240" w:lineRule="auto"/>
              <w:ind w:firstLine="0"/>
              <w:jc w:val="left"/>
            </w:pPr>
            <w:r>
              <w:rPr>
                <w:rFonts w:ascii="Times New Roman" w:hAnsi="Times New Roman" w:eastAsia="Times New Roman" w:cs="Times New Roman"/>
                <w:b w:val="0"/>
                <w:sz w:val="26"/>
              </w:rPr>
              <w:t>Enzyme chuyển angiotensin</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Thiết kế dựa trên các peptide từ nọc rắn </w:t>
            </w:r>
            <w:r>
              <w:rPr>
                <w:rFonts w:ascii="Times New Roman" w:hAnsi="Times New Roman" w:eastAsia="Times New Roman" w:cs="Times New Roman"/>
                <w:b w:val="0"/>
                <w:i/>
                <w:sz w:val="26"/>
              </w:rPr>
              <w:t>Bothrops jararaca</w:t>
            </w:r>
          </w:p>
        </w:tc>
        <w:tc>
          <w:tcPr>
            <w:tcW w:type="dxa" w:w="2211"/>
            <w:vAlign w:val="center"/>
          </w:tcPr>
          <w:p>
            <w:pPr>
              <w:spacing w:before="40" w:after="40" w:line="240" w:lineRule="auto"/>
              <w:ind w:firstLine="0"/>
              <w:jc w:val="left"/>
            </w:pPr>
            <w:r>
              <w:rPr>
                <w:rFonts w:ascii="Times New Roman" w:hAnsi="Times New Roman" w:eastAsia="Times New Roman" w:cs="Times New Roman"/>
                <w:b w:val="0"/>
                <w:sz w:val="26"/>
              </w:rPr>
              <w:t>Điều trị tăng huyết áp</w:t>
            </w:r>
          </w:p>
        </w:tc>
      </w:tr>
    </w:tbl>
    <w:p>
      <w:pPr>
        <w:spacing w:before="80" w:after="160"/>
        <w:ind w:firstLine="0"/>
        <w:jc w:val="left"/>
      </w:pPr>
      <w:r>
        <w:rPr>
          <w:rFonts w:ascii="Times New Roman" w:hAnsi="Times New Roman" w:eastAsia="Times New Roman" w:cs="Times New Roman"/>
          <w:i/>
        </w:rPr>
        <w:t>Nguồn: Học viên tổng hợp từ [18], [20], [23], [45], [46].</w:t>
      </w:r>
    </w:p>
    <w:p>
      <w:pPr>
        <w:ind w:firstLine="567"/>
        <w:jc w:val="both"/>
      </w:pPr>
      <w:r>
        <w:rPr>
          <w:rFonts w:ascii="Times New Roman" w:hAnsi="Times New Roman" w:eastAsia="Times New Roman" w:cs="Times New Roman"/>
        </w:rPr>
        <w:t>Ngay trong công bố đầu tiên về lipstatin, ngoài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đối với lipase tụy, các tác giả đã trình bày bằng chứng về tính chọn lọc (không ức chế phospholipase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và trypsin ở nồng độ 200 μM), về cơ chế (cấu trúc β-lacton có thể là nguyên nhân của sự ức chế không thuận nghịch) và về tác dụng </w:t>
      </w:r>
      <w:r>
        <w:rPr>
          <w:rFonts w:ascii="Times New Roman" w:hAnsi="Times New Roman" w:eastAsia="Times New Roman" w:cs="Times New Roman"/>
          <w:i/>
        </w:rPr>
        <w:t>in vivo</w:t>
      </w:r>
      <w:r>
        <w:rPr>
          <w:rFonts w:ascii="Times New Roman" w:hAnsi="Times New Roman" w:eastAsia="Times New Roman" w:cs="Times New Roman"/>
        </w:rPr>
        <w:t xml:space="preserve"> (ức chế hấp thu triolein ở chuột theo liều) [46]. Acarbose được đưa vào điều trị đái tháo đường type 2 từ năm 1990 sau một quá trình phát triển dài, bao gồm cả công nghệ lên men quy mô lớn [45]. Galantamine đi từ tri thức địa phương ở vùng Kavkaz đến sử dụng lâm sàng trong điều trị bệnh Alzheimer [23]. Sự phát triển các statin gắn liền với việc xác lập mối quan hệ nhân quả giữa cholesterol máu và bệnh mạch vành [20]. Captopril được thiết kế trên cơ sở hiểu biết về cơ chế xúc tác của enzyme đích [18]. Như vậy, trong thực tiễn phát triển thuốc, một hợp chất chỉ trở thành thuốc khi tri thức về nó đã đạt đến những cấp độ bản chất đủ sâu; khả năng chỉ chuyển thành hiện thực khi hội đủ các điều kiện cần thiết.</w:t>
      </w:r>
    </w:p>
    <w:p>
      <w:pPr>
        <w:pStyle w:val="Heading2"/>
      </w:pPr>
      <w:r>
        <w:rPr>
          <w:rFonts w:ascii="Times New Roman" w:hAnsi="Times New Roman" w:eastAsia="Times New Roman" w:cs="Times New Roman"/>
        </w:rPr>
        <w:t>3.2. Quy trình đánh giá hoạt tính ức chế enzyme và cấu trúc hiện tượng – bản chất của nó</w:t>
      </w:r>
    </w:p>
    <w:p>
      <w:pPr>
        <w:ind w:firstLine="567"/>
        <w:jc w:val="both"/>
      </w:pPr>
      <w:r>
        <w:rPr>
          <w:rFonts w:ascii="Times New Roman" w:hAnsi="Times New Roman" w:eastAsia="Times New Roman" w:cs="Times New Roman"/>
        </w:rPr>
        <w:t xml:space="preserve">Một nghiên cứu điển hình về hợp chất thiên nhiên gồm các bước: chiết xuất, phân lập bằng các kỹ thuật sắc ký, xác định cấu trúc bằng phổ cộng hưởng từ hạt nhân và khối phổ, sau đó đánh giá hoạt tính sinh học </w:t>
      </w:r>
      <w:r>
        <w:rPr>
          <w:rFonts w:ascii="Times New Roman" w:hAnsi="Times New Roman" w:eastAsia="Times New Roman" w:cs="Times New Roman"/>
          <w:i/>
        </w:rPr>
        <w:t>in vitro</w:t>
      </w:r>
      <w:r>
        <w:rPr>
          <w:rFonts w:ascii="Times New Roman" w:hAnsi="Times New Roman" w:eastAsia="Times New Roman" w:cs="Times New Roman"/>
        </w:rPr>
        <w:t xml:space="preserve">. Với phép thử ức chế enzyme, hoạt tính được xác định gián tiếp qua sự thay đổi độ hấp thụ quang hoặc cường độ huỳnh quang của sản phẩm phản ứng. Chẳng hạn, trong phép thử α-glucosidase phổ biến, enzyme từ nấm men </w:t>
      </w:r>
      <w:r>
        <w:rPr>
          <w:rFonts w:ascii="Times New Roman" w:hAnsi="Times New Roman" w:eastAsia="Times New Roman" w:cs="Times New Roman"/>
          <w:i/>
        </w:rPr>
        <w:t>Saccharomyces cerevisiae</w:t>
      </w:r>
      <w:r>
        <w:rPr>
          <w:rFonts w:ascii="Times New Roman" w:hAnsi="Times New Roman" w:eastAsia="Times New Roman" w:cs="Times New Roman"/>
        </w:rPr>
        <w:t xml:space="preserve"> thủy phân pNPG tạo thành </w:t>
      </w:r>
      <w:r>
        <w:rPr>
          <w:rFonts w:ascii="Times New Roman" w:hAnsi="Times New Roman" w:eastAsia="Times New Roman" w:cs="Times New Roman"/>
          <w:i/>
        </w:rPr>
        <w:t>p</w:t>
      </w:r>
      <w:r>
        <w:rPr>
          <w:rFonts w:ascii="Times New Roman" w:hAnsi="Times New Roman" w:eastAsia="Times New Roman" w:cs="Times New Roman"/>
        </w:rPr>
        <w:t>-nitrophenol, được định lượng qua độ hấp thụ ở vùng 405 nm; trong phép thử acetylcholinesterase theo phương pháp Ellman, thiocholin sinh ra phản ứng với DTNB tạo sản phẩm màu vàng được đo ở 412 nm [19].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là nồng độ làm giảm 50% tốc độ phản ứng so với mẫu đối chứng. Kết quả thường được bổ sung bằng mô phỏng docking phân tử để đề xuất cách thức gắn kết của hợp chất vào tâm hoạt động. Bảng 3.2 tóm tắt một số phép thử thường dùng và những nguy cơ giả tượng đặc thù của chúng.</w:t>
      </w:r>
    </w:p>
    <w:p>
      <w:pPr>
        <w:keepNext/>
        <w:spacing w:before="120" w:after="120"/>
        <w:ind w:firstLine="0"/>
        <w:jc w:val="center"/>
      </w:pPr>
      <w:r>
        <w:rPr>
          <w:rFonts w:ascii="Times New Roman" w:hAnsi="Times New Roman" w:eastAsia="Times New Roman" w:cs="Times New Roman"/>
          <w:b/>
        </w:rPr>
        <w:t>Bảng 3.2. Một số phép thử ức chế enzyme thường dùng và nguy cơ giả tượng</w:t>
      </w:r>
    </w:p>
    <w:tbl>
      <w:tblPr>
        <w:tblStyle w:val="TableGrid"/>
        <w:tblW w:type="auto" w:w="0"/>
        <w:jc w:val="center"/>
        <w:tblLayout w:type="fixed"/>
        <w:tblLook w:firstColumn="1" w:firstRow="1" w:lastColumn="0" w:lastRow="0" w:noHBand="0" w:noVBand="1" w:val="04A0"/>
      </w:tblPr>
      <w:tblGrid>
        <w:gridCol w:w="1644"/>
        <w:gridCol w:w="1928"/>
        <w:gridCol w:w="2835"/>
        <w:gridCol w:w="2381"/>
      </w:tblGrid>
      <w:tr>
        <w:trPr>
          <w:cantSplit/>
          <w:tblHeader/>
        </w:trPr>
        <w:tc>
          <w:tcPr>
            <w:tcW w:type="dxa" w:w="1644"/>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Enzyme</w:t>
            </w:r>
          </w:p>
        </w:tc>
        <w:tc>
          <w:tcPr>
            <w:tcW w:type="dxa" w:w="1928"/>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Nguồn enzyme thường dùng</w:t>
            </w:r>
          </w:p>
        </w:tc>
        <w:tc>
          <w:tcPr>
            <w:tcW w:type="dxa" w:w="283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Nguyên lý phát hiện</w:t>
            </w:r>
          </w:p>
        </w:tc>
        <w:tc>
          <w:tcPr>
            <w:tcW w:type="dxa" w:w="238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Nguy cơ giả tượng đặc thù</w:t>
            </w:r>
          </w:p>
        </w:tc>
      </w:tr>
      <w:tr>
        <w:trPr>
          <w:cantSplit/>
        </w:trPr>
        <w:tc>
          <w:tcPr>
            <w:tcW w:type="dxa" w:w="1644"/>
            <w:vAlign w:val="center"/>
          </w:tcPr>
          <w:p>
            <w:pPr>
              <w:spacing w:before="40" w:after="40" w:line="240" w:lineRule="auto"/>
              <w:ind w:firstLine="0"/>
              <w:jc w:val="left"/>
            </w:pPr>
            <w:r>
              <w:rPr>
                <w:rFonts w:ascii="Times New Roman" w:hAnsi="Times New Roman" w:eastAsia="Times New Roman" w:cs="Times New Roman"/>
                <w:b/>
                <w:sz w:val="26"/>
              </w:rPr>
              <w:t>α-Glucosidase</w:t>
            </w:r>
          </w:p>
        </w:tc>
        <w:tc>
          <w:tcPr>
            <w:tcW w:type="dxa" w:w="1928"/>
            <w:vAlign w:val="center"/>
          </w:tcPr>
          <w:p>
            <w:pPr>
              <w:spacing w:before="40" w:after="40" w:line="240" w:lineRule="auto"/>
              <w:ind w:firstLine="0"/>
              <w:jc w:val="left"/>
            </w:pPr>
            <w:r>
              <w:rPr>
                <w:rFonts w:ascii="Times New Roman" w:hAnsi="Times New Roman" w:eastAsia="Times New Roman" w:cs="Times New Roman"/>
                <w:b w:val="0"/>
                <w:sz w:val="26"/>
              </w:rPr>
              <w:t xml:space="preserve">Nấm men </w:t>
            </w:r>
            <w:r>
              <w:rPr>
                <w:rFonts w:ascii="Times New Roman" w:hAnsi="Times New Roman" w:eastAsia="Times New Roman" w:cs="Times New Roman"/>
                <w:b w:val="0"/>
                <w:i/>
                <w:sz w:val="26"/>
              </w:rPr>
              <w:t>Saccharomyces cerevisiae</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pNPG → </w:t>
            </w:r>
            <w:r>
              <w:rPr>
                <w:rFonts w:ascii="Times New Roman" w:hAnsi="Times New Roman" w:eastAsia="Times New Roman" w:cs="Times New Roman"/>
                <w:b w:val="0"/>
                <w:i/>
                <w:sz w:val="26"/>
              </w:rPr>
              <w:t>p</w:t>
            </w:r>
            <w:r>
              <w:rPr>
                <w:rFonts w:ascii="Times New Roman" w:hAnsi="Times New Roman" w:eastAsia="Times New Roman" w:cs="Times New Roman"/>
                <w:b w:val="0"/>
                <w:sz w:val="26"/>
              </w:rPr>
              <w:t>-nitrophenol; đo quang ở vùng 400–405 nm</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Enzyme nấm men khác enzyme ruột động vật có vú</w:t>
            </w:r>
          </w:p>
        </w:tc>
      </w:tr>
      <w:tr>
        <w:trPr>
          <w:cantSplit/>
        </w:trPr>
        <w:tc>
          <w:tcPr>
            <w:tcW w:type="dxa" w:w="1644"/>
            <w:vAlign w:val="center"/>
          </w:tcPr>
          <w:p>
            <w:pPr>
              <w:spacing w:before="40" w:after="40" w:line="240" w:lineRule="auto"/>
              <w:ind w:firstLine="0"/>
              <w:jc w:val="left"/>
            </w:pPr>
            <w:r>
              <w:rPr>
                <w:rFonts w:ascii="Times New Roman" w:hAnsi="Times New Roman" w:eastAsia="Times New Roman" w:cs="Times New Roman"/>
                <w:b/>
                <w:sz w:val="26"/>
              </w:rPr>
              <w:t>Acetylcholin-esterase</w:t>
            </w:r>
          </w:p>
        </w:tc>
        <w:tc>
          <w:tcPr>
            <w:tcW w:type="dxa" w:w="1928"/>
            <w:vAlign w:val="center"/>
          </w:tcPr>
          <w:p>
            <w:pPr>
              <w:spacing w:before="40" w:after="40" w:line="240" w:lineRule="auto"/>
              <w:ind w:firstLine="0"/>
              <w:jc w:val="left"/>
            </w:pPr>
            <w:r>
              <w:rPr>
                <w:rFonts w:ascii="Times New Roman" w:hAnsi="Times New Roman" w:eastAsia="Times New Roman" w:cs="Times New Roman"/>
                <w:b w:val="0"/>
                <w:sz w:val="26"/>
              </w:rPr>
              <w:t xml:space="preserve">Cá chình điện </w:t>
            </w:r>
            <w:r>
              <w:rPr>
                <w:rFonts w:ascii="Times New Roman" w:hAnsi="Times New Roman" w:eastAsia="Times New Roman" w:cs="Times New Roman"/>
                <w:b w:val="0"/>
                <w:i/>
                <w:sz w:val="26"/>
              </w:rPr>
              <w:t>Electrophorus electricus</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Phương pháp Ellman: thiocholin phản ứng với DTNB; đo quang ở 412 nm</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Hợp chất phản ứng với nhóm thiol hoặc hấp thụ ở 412 nm</w:t>
            </w:r>
          </w:p>
        </w:tc>
      </w:tr>
      <w:tr>
        <w:trPr>
          <w:cantSplit/>
        </w:trPr>
        <w:tc>
          <w:tcPr>
            <w:tcW w:type="dxa" w:w="1644"/>
            <w:vAlign w:val="center"/>
          </w:tcPr>
          <w:p>
            <w:pPr>
              <w:spacing w:before="40" w:after="40" w:line="240" w:lineRule="auto"/>
              <w:ind w:firstLine="0"/>
              <w:jc w:val="left"/>
            </w:pPr>
            <w:r>
              <w:rPr>
                <w:rFonts w:ascii="Times New Roman" w:hAnsi="Times New Roman" w:eastAsia="Times New Roman" w:cs="Times New Roman"/>
                <w:b/>
                <w:sz w:val="26"/>
              </w:rPr>
              <w:t>Tyrosinase</w:t>
            </w:r>
          </w:p>
        </w:tc>
        <w:tc>
          <w:tcPr>
            <w:tcW w:type="dxa" w:w="1928"/>
            <w:vAlign w:val="center"/>
          </w:tcPr>
          <w:p>
            <w:pPr>
              <w:spacing w:before="40" w:after="40" w:line="240" w:lineRule="auto"/>
              <w:ind w:firstLine="0"/>
              <w:jc w:val="left"/>
            </w:pPr>
            <w:r>
              <w:rPr>
                <w:rFonts w:ascii="Times New Roman" w:hAnsi="Times New Roman" w:eastAsia="Times New Roman" w:cs="Times New Roman"/>
                <w:b w:val="0"/>
                <w:sz w:val="26"/>
              </w:rPr>
              <w:t xml:space="preserve">Nấm </w:t>
            </w:r>
            <w:r>
              <w:rPr>
                <w:rFonts w:ascii="Times New Roman" w:hAnsi="Times New Roman" w:eastAsia="Times New Roman" w:cs="Times New Roman"/>
                <w:b w:val="0"/>
                <w:i/>
                <w:sz w:val="26"/>
              </w:rPr>
              <w:t>Agaricus bisporus</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L-DOPA → dopachrome; đo quang ở 475 nm</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Enzyme nấm khác tyrosinase người</w:t>
            </w:r>
          </w:p>
        </w:tc>
      </w:tr>
      <w:tr>
        <w:trPr>
          <w:cantSplit/>
        </w:trPr>
        <w:tc>
          <w:tcPr>
            <w:tcW w:type="dxa" w:w="1644"/>
            <w:vAlign w:val="center"/>
          </w:tcPr>
          <w:p>
            <w:pPr>
              <w:spacing w:before="40" w:after="40" w:line="240" w:lineRule="auto"/>
              <w:ind w:firstLine="0"/>
              <w:jc w:val="left"/>
            </w:pPr>
            <w:r>
              <w:rPr>
                <w:rFonts w:ascii="Times New Roman" w:hAnsi="Times New Roman" w:eastAsia="Times New Roman" w:cs="Times New Roman"/>
                <w:b/>
                <w:sz w:val="26"/>
              </w:rPr>
              <w:t>Xanthine oxidase</w:t>
            </w:r>
          </w:p>
        </w:tc>
        <w:tc>
          <w:tcPr>
            <w:tcW w:type="dxa" w:w="1928"/>
            <w:vAlign w:val="center"/>
          </w:tcPr>
          <w:p>
            <w:pPr>
              <w:spacing w:before="40" w:after="40" w:line="240" w:lineRule="auto"/>
              <w:ind w:firstLine="0"/>
              <w:jc w:val="left"/>
            </w:pPr>
            <w:r>
              <w:rPr>
                <w:rFonts w:ascii="Times New Roman" w:hAnsi="Times New Roman" w:eastAsia="Times New Roman" w:cs="Times New Roman"/>
                <w:b w:val="0"/>
                <w:sz w:val="26"/>
              </w:rPr>
              <w:t>Sữa bò</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Xanthine → acid uric; đo quang ở vùng 290–295 nm</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Hợp chất hấp thụ mạnh vùng tử ngoại</w:t>
            </w:r>
          </w:p>
        </w:tc>
      </w:tr>
      <w:tr>
        <w:trPr>
          <w:cantSplit/>
        </w:trPr>
        <w:tc>
          <w:tcPr>
            <w:tcW w:type="dxa" w:w="1644"/>
            <w:vAlign w:val="center"/>
          </w:tcPr>
          <w:p>
            <w:pPr>
              <w:spacing w:before="40" w:after="40" w:line="240" w:lineRule="auto"/>
              <w:ind w:firstLine="0"/>
              <w:jc w:val="left"/>
            </w:pPr>
            <w:r>
              <w:rPr>
                <w:rFonts w:ascii="Times New Roman" w:hAnsi="Times New Roman" w:eastAsia="Times New Roman" w:cs="Times New Roman"/>
                <w:b/>
                <w:sz w:val="26"/>
              </w:rPr>
              <w:t>Lipase tụy</w:t>
            </w:r>
          </w:p>
        </w:tc>
        <w:tc>
          <w:tcPr>
            <w:tcW w:type="dxa" w:w="1928"/>
            <w:vAlign w:val="center"/>
          </w:tcPr>
          <w:p>
            <w:pPr>
              <w:spacing w:before="40" w:after="40" w:line="240" w:lineRule="auto"/>
              <w:ind w:firstLine="0"/>
              <w:jc w:val="left"/>
            </w:pPr>
            <w:r>
              <w:rPr>
                <w:rFonts w:ascii="Times New Roman" w:hAnsi="Times New Roman" w:eastAsia="Times New Roman" w:cs="Times New Roman"/>
                <w:b w:val="0"/>
                <w:sz w:val="26"/>
              </w:rPr>
              <w:t>Tụy lợn</w:t>
            </w:r>
          </w:p>
        </w:tc>
        <w:tc>
          <w:tcPr>
            <w:tcW w:type="dxa" w:w="2835"/>
            <w:vAlign w:val="center"/>
          </w:tcPr>
          <w:p>
            <w:pPr>
              <w:spacing w:before="40" w:after="40" w:line="240" w:lineRule="auto"/>
              <w:ind w:firstLine="0"/>
              <w:jc w:val="left"/>
            </w:pPr>
            <w:r>
              <w:rPr>
                <w:rFonts w:ascii="Times New Roman" w:hAnsi="Times New Roman" w:eastAsia="Times New Roman" w:cs="Times New Roman"/>
                <w:b w:val="0"/>
                <w:sz w:val="26"/>
              </w:rPr>
              <w:t xml:space="preserve">Ester của </w:t>
            </w:r>
            <w:r>
              <w:rPr>
                <w:rFonts w:ascii="Times New Roman" w:hAnsi="Times New Roman" w:eastAsia="Times New Roman" w:cs="Times New Roman"/>
                <w:b w:val="0"/>
                <w:i/>
                <w:sz w:val="26"/>
              </w:rPr>
              <w:t>p</w:t>
            </w:r>
            <w:r>
              <w:rPr>
                <w:rFonts w:ascii="Times New Roman" w:hAnsi="Times New Roman" w:eastAsia="Times New Roman" w:cs="Times New Roman"/>
                <w:b w:val="0"/>
                <w:sz w:val="26"/>
              </w:rPr>
              <w:t xml:space="preserve">-nitrophenol → </w:t>
            </w:r>
            <w:r>
              <w:rPr>
                <w:rFonts w:ascii="Times New Roman" w:hAnsi="Times New Roman" w:eastAsia="Times New Roman" w:cs="Times New Roman"/>
                <w:b w:val="0"/>
                <w:i/>
                <w:sz w:val="26"/>
              </w:rPr>
              <w:t>p</w:t>
            </w:r>
            <w:r>
              <w:rPr>
                <w:rFonts w:ascii="Times New Roman" w:hAnsi="Times New Roman" w:eastAsia="Times New Roman" w:cs="Times New Roman"/>
                <w:b w:val="0"/>
                <w:sz w:val="26"/>
              </w:rPr>
              <w:t>-nitrophenol; đo quang ở vùng 405 nm</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Kết tập; tương tác với bề mặt cơ chất kỵ nước</w:t>
            </w:r>
          </w:p>
        </w:tc>
      </w:tr>
    </w:tbl>
    <w:p>
      <w:pPr>
        <w:spacing w:before="80" w:after="160"/>
        <w:ind w:firstLine="0"/>
        <w:jc w:val="left"/>
      </w:pPr>
      <w:r>
        <w:rPr>
          <w:rFonts w:ascii="Times New Roman" w:hAnsi="Times New Roman" w:eastAsia="Times New Roman" w:cs="Times New Roman"/>
          <w:i/>
        </w:rPr>
        <w:t>Nguồn: Học viên tổng hợp; nguyên lý phép thử acetylcholinesterase theo [19]; sự khác biệt giữa enzyme mô hình và enzyme đích theo [32], [37]; nguy cơ kết tập và gây nhiễu theo [9], [33].</w:t>
      </w:r>
    </w:p>
    <w:p>
      <w:pPr>
        <w:ind w:firstLine="567"/>
        <w:jc w:val="both"/>
      </w:pPr>
      <w:r>
        <w:rPr>
          <w:rFonts w:ascii="Times New Roman" w:hAnsi="Times New Roman" w:eastAsia="Times New Roman" w:cs="Times New Roman"/>
        </w:rPr>
        <w:t>Xét theo cặp phạm trù bản chất và hiện tượng, quy trình này có cấu trúc nhiều tầng. Hiện tượng trực tiếp là tín hiệu quang học ghi nhận trên thiết bị; nó đã là sản phẩm của sự trung gian bởi thiết bị và bởi những giả định về phản ứng chỉ thị.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là một hiện tượng đã được xử lý toán học, phụ thuộc vào nồng độ enzyme, nồng độ cơ chất, thời gian ủ, dung môi hòa tan mẫu và thành phần dung dịch đệm [17]. Bản chất mà người nghiên cứu cần nhận thức là: hợp chất có gắn kết đặc hiệu vào enzyme đích hay không, gắn kết theo cơ chế nào, với ái lực bao nhiêu, và tương tác đó có thể diễn ra trong cơ thể người ở nồng độ đạt được hay không. Giữa hai tầng này không có sự trùng khớp tự động: theo cặp phạm trù nguyên nhân – kết quả, cùng một kết quả (mức giảm tín hiệu) có thể xuất phát từ nhiều nguyên nhân khác nhau, trong đó ức chế đặc hiệu chỉ là một khả năng.</w:t>
      </w:r>
    </w:p>
    <w:p>
      <w:pPr>
        <w:pStyle w:val="Heading2"/>
      </w:pPr>
      <w:r>
        <w:rPr>
          <w:rFonts w:ascii="Times New Roman" w:hAnsi="Times New Roman" w:eastAsia="Times New Roman" w:cs="Times New Roman"/>
        </w:rPr>
        <w:t>3.3. Các dạng giả tượng hoạt tính</w:t>
      </w:r>
    </w:p>
    <w:p>
      <w:pPr>
        <w:pStyle w:val="Heading3"/>
      </w:pPr>
      <w:r>
        <w:rPr>
          <w:rFonts w:ascii="Times New Roman" w:hAnsi="Times New Roman" w:eastAsia="Times New Roman" w:cs="Times New Roman"/>
        </w:rPr>
        <w:t>3.3.1. Ức chế không đặc hiệu do kết tập keo</w:t>
      </w:r>
    </w:p>
    <w:p>
      <w:pPr>
        <w:ind w:firstLine="567"/>
        <w:jc w:val="both"/>
      </w:pPr>
      <w:r>
        <w:rPr>
          <w:rFonts w:ascii="Times New Roman" w:hAnsi="Times New Roman" w:eastAsia="Times New Roman" w:cs="Times New Roman"/>
        </w:rPr>
        <w:t>McGovern và cộng sự nghiên cứu 45 hợp chất được xác định là có hoạt tính trong các chiến dịch sàng lọc thông lượng cao và sàng lọc ảo, và cho thấy 35 hợp chất đồng thời ức chế nhiều enzyme mô hình không liên quan với nhau. Hoạt tính ức chế này giảm mạnh khi thêm albumin hoặc khi tăng nồng độ enzyme lên 10 lần; các hợp chất tạo thành những hạt có đường kính 30–400 nm, quan sát được bằng tán xạ ánh sáng và kính hiển vi điện tử. Trong số đó có quercetin, một flavonoid phổ biến trong thực vật [33]. Ở nồng độ micromol, các phân tử này tự kết tụ thành hạt keo, hấp phụ protein và gây ức chế không đặc hiệu [41]. Trong một chiến dịch sàng lọc 70.563 hợp chất, Feng và cộng sự ghi nhận 1.274 chất ức chế, trong đó 1.204 chất có hoạt tính nhạy với chất hoạt động bề mặt, tức khoảng 95% số chất có hoạt tính thuộc loại ức chế do kết tập [22]. Irwin và cộng sự ước tính 5,1% số phối tử được báo cáo có hoạt tính trong khoảng 0,1–10 μM trong tài liệu hóa dược có độ tương đồng cao với các chất kết tập đã biết [25].</w:t>
      </w:r>
    </w:p>
    <w:p>
      <w:pPr>
        <w:ind w:firstLine="567"/>
        <w:jc w:val="both"/>
      </w:pPr>
      <w:r>
        <w:rPr>
          <w:rFonts w:ascii="Times New Roman" w:hAnsi="Times New Roman" w:eastAsia="Times New Roman" w:cs="Times New Roman"/>
        </w:rPr>
        <w:t>Đây là giả tượng theo đúng nghĩa triết học của khái niệm: sự giảm tín hiệu là có thật và lặp lại được, nhưng nó biểu hiện xuyên tạc bản chất của quá trình. Bản chất ở đây là một hiện tượng hóa lý của hệ keo, không phải tương tác phân tử đặc hiệu mà người nghiên cứu mô tả. Giả tượng này cũng phát sinh từ điều kiện khách quan (nồng độ, lực ion, sự vắng mặt của chất hoạt động bề mặt), và do đó chỉ có thể bị vạch trần bằng cách thay đổi những điều kiện ấy, giống như việc chuyển từ hệ hở sang hệ kín trong thí nghiệm của Lavoisier.</w:t>
      </w:r>
    </w:p>
    <w:p>
      <w:pPr>
        <w:pStyle w:val="Heading3"/>
      </w:pPr>
      <w:r>
        <w:rPr>
          <w:rFonts w:ascii="Times New Roman" w:hAnsi="Times New Roman" w:eastAsia="Times New Roman" w:cs="Times New Roman"/>
        </w:rPr>
        <w:t>3.3.2. Hợp chất gây nhiễu đa phép thử và các “thuốc vạn năng” không hợp lệ</w:t>
      </w:r>
    </w:p>
    <w:p>
      <w:pPr>
        <w:ind w:firstLine="567"/>
        <w:jc w:val="both"/>
      </w:pPr>
      <w:r>
        <w:rPr>
          <w:rFonts w:ascii="Times New Roman" w:hAnsi="Times New Roman" w:eastAsia="Times New Roman" w:cs="Times New Roman"/>
        </w:rPr>
        <w:t>Baell và Holloway mô tả các nhóm cấu trúc thường xuyên cho kết quả dương tính trong nhiều phép thử sinh hóa khác nhau và gọi các hợp chất mang chúng là hợp chất gây nhiễu đa phép thử (PAINS) [8]. Những hợp chất này tạo tín hiệu dương tính thông qua phản ứng cộng hóa trị với protein, chu trình oxy hóa – khử, tạo phức với ion kim loại, hấp thụ ánh sáng hoặc phát huỳnh quang, thay vì thông qua gắn kết đặc hiệu với đích [9]. Một số nhóm cấu trúc trong danh mục này, như catechol, quinon và một số hệ enon liên hợp [8], lại phổ biến trong hợp chất thiên nhiên.</w:t>
      </w:r>
    </w:p>
    <w:p>
      <w:pPr>
        <w:ind w:firstLine="567"/>
        <w:jc w:val="both"/>
      </w:pPr>
      <w:r>
        <w:rPr>
          <w:rFonts w:ascii="Times New Roman" w:hAnsi="Times New Roman" w:eastAsia="Times New Roman" w:cs="Times New Roman"/>
        </w:rPr>
        <w:t>Đối với hợp chất thiên nhiên, Bisson và cộng sự khai thác dữ liệu hơn 80 năm của cơ sở dữ liệu NAPRALERT và chỉ ra rằng chỉ 39 hợp chất chiếm vị trí nổi bật nhất về tần suất xuất hiện và số lượng hoạt tính được báo cáo. Tất cả các hợp chất này đều được gán cho rất nhiều hoạt tính khác nhau, và hơn một nửa không thể giải thích bằng các cơ chế gây nhiễu đã biết đối với thư viện hợp chất tổng hợp; nhóm tác giả gọi chúng là các “thuốc vạn năng chuyển hóa không hợp lệ” (IMPs) [11]. Curcumin là trường hợp tiêu biểu: hợp chất này đã được nghiên cứu trong hơn 120 thử nghiệm lâm sàng, nhưng chưa có thử nghiệm mù đôi, có đối chứng giả dược nào thành công; phân tích hóa dược cho thấy curcumin kém bền, có khả năng phản ứng và hầu như không có sinh khả dụng [35].</w:t>
      </w:r>
    </w:p>
    <w:p>
      <w:pPr>
        <w:ind w:firstLine="567"/>
        <w:jc w:val="both"/>
      </w:pPr>
      <w:r>
        <w:rPr>
          <w:rFonts w:ascii="Times New Roman" w:hAnsi="Times New Roman" w:eastAsia="Times New Roman" w:cs="Times New Roman"/>
        </w:rPr>
        <w:t>Xét dưới góc độ triết học, trường hợp IMPs cho thấy sự đảo lộn quan hệ giữa hiện tượng và bản chất. Phép biện chứng duy vật khẳng định hiện tượng phong phú hơn bản chất; nhưng ở đây, chính sự phong phú của hiện tượng (hoạt tính được ghi nhận trên hàng trăm mô hình) lại bị coi là bằng chứng cho chiều sâu của bản chất (tác dụng dược lý đặc hiệu). Trên thực tế, việc một chất “có tác dụng” với gần như mọi đích là dấu hiệu cho thấy cái được đo là một thuộc tính chung, không đặc hiệu của chất đó, chứ không phải những mối liên hệ tất nhiên với từng đích cụ thể.</w:t>
      </w:r>
    </w:p>
    <w:p>
      <w:pPr>
        <w:pStyle w:val="Heading3"/>
      </w:pPr>
      <w:r>
        <w:rPr>
          <w:rFonts w:ascii="Times New Roman" w:hAnsi="Times New Roman" w:eastAsia="Times New Roman" w:cs="Times New Roman"/>
        </w:rPr>
        <w:t>3.3.3. Sự không tương đồng giữa enzyme mô hình và đích sinh học</w:t>
      </w:r>
    </w:p>
    <w:p>
      <w:pPr>
        <w:ind w:firstLine="567"/>
        <w:jc w:val="both"/>
      </w:pPr>
      <w:r>
        <w:rPr>
          <w:rFonts w:ascii="Times New Roman" w:hAnsi="Times New Roman" w:eastAsia="Times New Roman" w:cs="Times New Roman"/>
        </w:rPr>
        <w:t>Oki và cộng sự so sánh tác dụng của các chất ức chế α-glucosidase trên enzyme có nguồn gốc khác nhau (nấm men bánh mì; ruột non chuột cống, thỏ và lợn). Acarbose, voglibose và glucono-1,5-lacton ức chế mạnh α-glucosidase của động vật có vú nhưng ức chế yếu hoặc không ức chế enzyme nấm men; ngược lại, (+)-catechin ức chế tốt enzyme nấm men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0,13 mM) nhưng không làm chậm hoạt tính của enzyme động vật có vú. Phần lớn các mẫu thực phẩm được khảo sát ức chế enzyme nấm men nhưng không ức chế enzyme của chuột [37]. Tình trạng tương tự được ghi nhận với tyrosinase: khi sàng lọc 50.000 hợp chất trên tyrosinase người tái tổ hợp, Mann và cộng sự nhận thấy hydroquinon và arbutin chỉ ức chế yếu enzyme người, với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ở mức milimol, acid kojic có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trên 500 μM; ngược lại, Thiamidol ức chế tyrosinase người với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1,1 μM nhưng chỉ ức chế yếu tyrosinase nấm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108 μM). Nhóm tác giả nhận định phần lớn các chất ức chế tyrosinase đã biết thiếu hiệu quả lâm sàng vì chúng được phát hiện trên tyrosinase nấm [32].</w:t>
      </w:r>
    </w:p>
    <w:p>
      <w:pPr>
        <w:ind w:firstLine="567"/>
        <w:jc w:val="both"/>
      </w:pPr>
      <w:r>
        <w:rPr>
          <w:rFonts w:ascii="Times New Roman" w:hAnsi="Times New Roman" w:eastAsia="Times New Roman" w:cs="Times New Roman"/>
        </w:rPr>
        <w:t>Những dữ kiện này cho thấy “hoạt tính ức chế α-glucosidase” hay “hoạt tính ức chế tyrosinase” được xác định trên enzyme của nấm men hoặc nấm là một hiện tượng gắn với một mô hình cụ thể. Sai lầm nhận thức luận ở đây là đồng nhất mô hình với đối tượng: mô hình vốn chỉ phản ánh một số mặt của đối tượng trong những giới hạn xác định, nhưng lại được coi như chính đối tượng. Tương tự, một mẫu thử có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thấp hơn acarbose trên enzyme nấm men, hệ mà thuốc này chỉ ức chế yếu, chưa thể được kết luận là mạnh hơn thuốc điều trị. Đây là vi phạm nguyên tắc lịch sử – cụ thể: tri thức đúng trong điều kiện này bị chuyển sang điều kiện khác mà không kiểm chứng.</w:t>
      </w:r>
    </w:p>
    <w:p>
      <w:pPr>
        <w:pStyle w:val="Heading3"/>
      </w:pPr>
      <w:r>
        <w:rPr>
          <w:rFonts w:ascii="Times New Roman" w:hAnsi="Times New Roman" w:eastAsia="Times New Roman" w:cs="Times New Roman"/>
        </w:rPr>
        <w:t>3.3.4. Tạp chất và vấn đề đồng nhất của đối tượng nghiên cứu</w:t>
      </w:r>
    </w:p>
    <w:p>
      <w:pPr>
        <w:ind w:firstLine="567"/>
        <w:jc w:val="both"/>
      </w:pPr>
      <w:r>
        <w:rPr>
          <w:rFonts w:ascii="Times New Roman" w:hAnsi="Times New Roman" w:eastAsia="Times New Roman" w:cs="Times New Roman"/>
        </w:rPr>
        <w:t>Một tiền đề ngầm của mọi kết luận về hoạt tính là đối tượng được thử chính là hợp chất đã được xác định cấu trúc. Tiền đề này không phải lúc nào cũng đúng. Hermann và cộng sự phát hiện rằng tạp chất vô cơ, cụ thể là ion kẽm, trong thư viện hợp chất có thể gây tín hiệu dương tính với nhiều đích và nhiều hệ đo khác nhau, và đề xuất dùng chất tạo phức TPEN làm phép thử đối chứng [24]. Pauli và cộng sự nhấn mạnh rằng mô tả đúng về một chất đòi hỏi cả cấu trúc lẫn độ tinh khiết, và cộng hưởng từ hạt nhân định lượng cung cấp một phương pháp đánh giá độ tinh khiết trực giao với sắc ký, có khả năng phát hiện những thành phần thường bị sắc ký bỏ sót [39]. Xét dưới góc độ triết học, khi tạp chất có hoạt tính, hiện tượng quan sát được thực chất là hiện tượng của một sự vật khác; mọi suy luận về bản chất của hợp chất chính khi đó đều mất cơ sở khách quan.</w:t>
      </w:r>
    </w:p>
    <w:p>
      <w:pPr>
        <w:pStyle w:val="Heading3"/>
      </w:pPr>
      <w:r>
        <w:rPr>
          <w:rFonts w:ascii="Times New Roman" w:hAnsi="Times New Roman" w:eastAsia="Times New Roman" w:cs="Times New Roman"/>
        </w:rPr>
        <w:t>3.3.5. Tuyệt đối hóa kết quả mô phỏng docking phân tử</w:t>
      </w:r>
    </w:p>
    <w:p>
      <w:pPr>
        <w:ind w:firstLine="567"/>
        <w:jc w:val="both"/>
      </w:pPr>
      <w:r>
        <w:rPr>
          <w:rFonts w:ascii="Times New Roman" w:hAnsi="Times New Roman" w:eastAsia="Times New Roman" w:cs="Times New Roman"/>
        </w:rPr>
        <w:t>Điểm số docking không phải là đại lượng đo ái lực gắn kết. Warren và cộng sự đánh giá 10 chương trình docking và 37 hàm tính điểm trên 8 protein, cho thấy các chương trình có thể tạo tư thế gắn kết gần với cấu trúc tinh thể (ít nhất với một đích), nhưng không chương trình hay hàm tính điểm nào dự đoán hữu ích ái lực gắn kết của phối tử [44]. Khi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(có thể là giả tượng) được “xác nhận” bằng một điểm số docking thuận lợi, hai hiện tượng thuộc hai hệ khác nhau được đặt cạnh nhau như thể cùng chứng minh một bản chất, trong khi mô hình docking đã mặc định trước rằng hợp chất gắn kết đặc hiệu vào tâm hoạt động, tức là giả định chính điều cần được chứng minh. Về mặt lôgíc, đây là lỗi lập luận vòng quanh; về mặt nhận thức luận, đây là việc coi một mô hình lý thuyết là sự kiểm nghiệm thực tiễn.</w:t>
      </w:r>
    </w:p>
    <w:p>
      <w:pPr>
        <w:pStyle w:val="Heading3"/>
      </w:pPr>
      <w:r>
        <w:rPr>
          <w:rFonts w:ascii="Times New Roman" w:hAnsi="Times New Roman" w:eastAsia="Times New Roman" w:cs="Times New Roman"/>
        </w:rPr>
        <w:t>3.3.6. Hoạt tính của dịch chiết: hiện tượng của một tổng thể</w:t>
      </w:r>
    </w:p>
    <w:p>
      <w:pPr>
        <w:ind w:firstLine="567"/>
        <w:jc w:val="both"/>
      </w:pPr>
      <w:r>
        <w:rPr>
          <w:rFonts w:ascii="Times New Roman" w:hAnsi="Times New Roman" w:eastAsia="Times New Roman" w:cs="Times New Roman"/>
        </w:rPr>
        <w:t>Trong nhiều nghiên cứu, phép thử hoạt tính được tiến hành trước hết trên dịch chiết thô hoặc các phân đoạn, và kết quả được dùng để định hướng phân lập. Hoạt tính của một dịch chiết là hiện tượng của một tổng thể gồm hàng trăm thành phần, trong đó các thành phần có thể tác động độc lập, cộng hợp, hiệp đồng hoặc đối kháng, và có thể chứa những nhóm chất gây nhiễu phép thử như đã nêu ở mục 3.3.2 [11]. Xét theo nguyên lý về mối liên hệ phổ biến, tổng thể không đơn giản là tổng các bộ phận: tính chất của tổng thể được quy định bởi cả các bộ phận lẫn mối liên hệ giữa chúng. Vì vậy, không thể suy trực tiếp từ hoạt tính của dịch chiết ra hoạt tính của một thành phần được phân lập, cũng không thể coi hợp chất được phân lập với hàm lượng lớn nhất là “hoạt chất” của dịch chiết chỉ vì nó chiếm ưu thế về lượng.</w:t>
      </w:r>
    </w:p>
    <w:p>
      <w:pPr>
        <w:ind w:firstLine="567"/>
        <w:jc w:val="both"/>
      </w:pPr>
      <w:r>
        <w:rPr>
          <w:rFonts w:ascii="Times New Roman" w:hAnsi="Times New Roman" w:eastAsia="Times New Roman" w:cs="Times New Roman"/>
        </w:rPr>
        <w:t>Hiện tượng hoạt tính bị mất đi hoặc suy giảm khi phân đoạn, vốn thường gặp trong thực tiễn, cũng cần được xem xét theo quan điểm này. Nó có thể phản ánh bản chất hiệp đồng của tác dụng, sự phân hủy của thành phần hoạt tính trong quá trình phân lập, hoặc cho thấy hoạt tính ban đầu là giả tượng do những chất gây nhiễu tạo ra. Mỗi khả năng đòi hỏi một cách kiểm chứng khác nhau; việc mặc nhiên chọn một cách giải thích mà không kiểm chứng là vi phạm yêu cầu xem xét sự vật trong tổng thể các mối liên hệ của nó.</w:t>
      </w:r>
    </w:p>
    <w:p>
      <w:pPr>
        <w:pStyle w:val="Heading2"/>
      </w:pPr>
      <w:r>
        <w:rPr>
          <w:rFonts w:ascii="Times New Roman" w:hAnsi="Times New Roman" w:eastAsia="Times New Roman" w:cs="Times New Roman"/>
        </w:rPr>
        <w:t>3.4. Khả năng tái lập của dữ liệu tiền lâm sàng</w:t>
      </w:r>
    </w:p>
    <w:p>
      <w:pPr>
        <w:ind w:firstLine="567"/>
        <w:jc w:val="both"/>
      </w:pPr>
      <w:r>
        <w:rPr>
          <w:rFonts w:ascii="Times New Roman" w:hAnsi="Times New Roman" w:eastAsia="Times New Roman" w:cs="Times New Roman"/>
        </w:rPr>
        <w:t>Những giả tượng nêu trên không phải là trường hợp cá biệt. Begley và Ellis cho biết các nhà khoa học tại công ty Amgen chỉ xác nhận lại được kết quả của 6 trong số 53 công trình tiền lâm sàng “mang tính bước ngoặt” về ung thư (khoảng 11%) [10]. Prinz và cộng sự tổng kết 67 dự án nội bộ của công ty Bayer và cho biết chỉ khoảng 20–25% dự án có dữ liệu công bố hoàn toàn phù hợp với kết quả kiểm chứng nội bộ [40]. Ở cấp độ phát triển thuốc, khoảng 90% ứng viên bước vào thử nghiệm lâm sàng không thành công, chủ yếu do thiếu hiệu quả lâm sàng (40–50%), độc tính không kiểm soát được (khoảng 30%) và tính chất giống thuốc kém (10–15%) [42].</w:t>
      </w:r>
    </w:p>
    <w:p>
      <w:pPr>
        <w:ind w:firstLine="567"/>
        <w:jc w:val="both"/>
      </w:pPr>
      <w:r>
        <w:rPr>
          <w:rFonts w:ascii="Times New Roman" w:hAnsi="Times New Roman" w:eastAsia="Times New Roman" w:cs="Times New Roman"/>
        </w:rPr>
        <w:t>Theo lý luận nhận thức, tính lặp lại là một dấu hiệu của cái tất nhiên, và do đó của bản chất. Một kết quả không lặp lại được khi điều kiện thay đổi nhỏ là dấu hiệu cho thấy nó gắn với những yếu tố ngẫu nhiên, cá biệt của một hệ thí nghiệm cụ thể, tức là thuộc về hiện tượng chứ chưa phải bản chất. Tỷ lệ tái lập thấp vì vậy không chỉ là vấn đề kỹ thuật, mà là biểu hiện ở quy mô lớn của việc đồng nhất hiện tượng với bản chất.</w:t>
      </w:r>
    </w:p>
    <w:p>
      <w:pPr>
        <w:pStyle w:val="Heading2"/>
      </w:pPr>
      <w:r>
        <w:rPr>
          <w:rFonts w:ascii="Times New Roman" w:hAnsi="Times New Roman" w:eastAsia="Times New Roman" w:cs="Times New Roman"/>
        </w:rPr>
        <w:t>3.5. Nguyên nhân của sự sai lệch giữa hiện tượng và bản chất</w:t>
      </w:r>
    </w:p>
    <w:p>
      <w:pPr>
        <w:pStyle w:val="Heading3"/>
      </w:pPr>
      <w:r>
        <w:rPr>
          <w:rFonts w:ascii="Times New Roman" w:hAnsi="Times New Roman" w:eastAsia="Times New Roman" w:cs="Times New Roman"/>
        </w:rPr>
        <w:t>3.5.1. Nguyên nhân khách quan</w:t>
      </w:r>
    </w:p>
    <w:p>
      <w:pPr>
        <w:ind w:firstLine="567"/>
        <w:jc w:val="both"/>
      </w:pPr>
      <w:r>
        <w:rPr>
          <w:rFonts w:ascii="Times New Roman" w:hAnsi="Times New Roman" w:eastAsia="Times New Roman" w:cs="Times New Roman"/>
        </w:rPr>
        <w:t>Nguyên nhân khách quan nằm ở chính mối quan hệ giữa bản chất và hiện tượng trong lĩnh vực này. Tương tác giữa phân tử nhỏ và enzyme không thể quan sát trực tiếp mà chỉ được nhận biết qua các tín hiệu gián tiếp, chịu tác động của nhiều yếu tố trong hệ thử. Nhiều hợp chất thiên nhiên có đặc điểm cấu trúc dễ tạo giả tượng, như nhiều nhóm hydroxyl phenol, hệ liên hợp và độ ưa mỡ cao [11], [25]. Mẫu phân lập từ tự nhiên có thể chứa những lượng nhỏ các chất có hoạt tính mạnh hơn chính hợp chất chính [39]. Ngoài ra, các enzyme sẵn có trên thị trường với giá thành thấp thường có nguồn gốc từ vi sinh vật hoặc động vật, không phải enzyme người.</w:t>
      </w:r>
    </w:p>
    <w:p>
      <w:pPr>
        <w:pStyle w:val="Heading3"/>
      </w:pPr>
      <w:r>
        <w:rPr>
          <w:rFonts w:ascii="Times New Roman" w:hAnsi="Times New Roman" w:eastAsia="Times New Roman" w:cs="Times New Roman"/>
        </w:rPr>
        <w:t>3.5.2. Nguyên nhân chủ quan từ góc độ nhận thức luận</w:t>
      </w:r>
    </w:p>
    <w:p>
      <w:pPr>
        <w:ind w:firstLine="567"/>
        <w:jc w:val="both"/>
      </w:pPr>
      <w:r>
        <w:rPr>
          <w:rFonts w:ascii="Times New Roman" w:hAnsi="Times New Roman" w:eastAsia="Times New Roman" w:cs="Times New Roman"/>
        </w:rPr>
        <w:t xml:space="preserve">Nguyên nhân chủ quan có thể quy về bốn dạng sai lầm nhận thức luận. </w:t>
      </w:r>
      <w:r>
        <w:rPr>
          <w:rFonts w:ascii="Times New Roman" w:hAnsi="Times New Roman" w:eastAsia="Times New Roman" w:cs="Times New Roman"/>
          <w:i/>
        </w:rPr>
        <w:t>Thứ nhất</w:t>
      </w:r>
      <w:r>
        <w:rPr>
          <w:rFonts w:ascii="Times New Roman" w:hAnsi="Times New Roman" w:eastAsia="Times New Roman" w:cs="Times New Roman"/>
        </w:rPr>
        <w:t>, đồng nhất một hiện tượng riêng lẻ, như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với bản chất tác dụng của hợp chất; đây là biểu hiện của chủ nghĩa kinh nghiệm hẹp hòi. </w:t>
      </w:r>
      <w:r>
        <w:rPr>
          <w:rFonts w:ascii="Times New Roman" w:hAnsi="Times New Roman" w:eastAsia="Times New Roman" w:cs="Times New Roman"/>
          <w:i/>
        </w:rPr>
        <w:t>Thứ hai</w:t>
      </w:r>
      <w:r>
        <w:rPr>
          <w:rFonts w:ascii="Times New Roman" w:hAnsi="Times New Roman" w:eastAsia="Times New Roman" w:cs="Times New Roman"/>
        </w:rPr>
        <w:t xml:space="preserve">, không phân biệt hiện tượng với giả tượng do thiếu các thí nghiệm đối chứng cần thiết. </w:t>
      </w:r>
      <w:r>
        <w:rPr>
          <w:rFonts w:ascii="Times New Roman" w:hAnsi="Times New Roman" w:eastAsia="Times New Roman" w:cs="Times New Roman"/>
          <w:i/>
        </w:rPr>
        <w:t>Thứ ba</w:t>
      </w:r>
      <w:r>
        <w:rPr>
          <w:rFonts w:ascii="Times New Roman" w:hAnsi="Times New Roman" w:eastAsia="Times New Roman" w:cs="Times New Roman"/>
        </w:rPr>
        <w:t xml:space="preserve">, đồng nhất mô hình với đối tượng: coi enzyme nấm men là enzyme đích ở người, hoặc coi điểm số docking là ái lực gắn kết. </w:t>
      </w:r>
      <w:r>
        <w:rPr>
          <w:rFonts w:ascii="Times New Roman" w:hAnsi="Times New Roman" w:eastAsia="Times New Roman" w:cs="Times New Roman"/>
          <w:i/>
        </w:rPr>
        <w:t>Thứ tư</w:t>
      </w:r>
      <w:r>
        <w:rPr>
          <w:rFonts w:ascii="Times New Roman" w:hAnsi="Times New Roman" w:eastAsia="Times New Roman" w:cs="Times New Roman"/>
        </w:rPr>
        <w:t>, theo chiều ngược lại, áp dụng máy móc các quy tắc hình thức, chẳng hạn loại bỏ một hợp chất chỉ vì nó mang một nhóm cấu trúc bị cảnh báo; đây là biểu hiện của chủ nghĩa giáo điều. Cả bốn dạng sai lầm đều vi phạm các yêu cầu phương pháp luận đã nêu ở mục 1.7 và đều bắt nguồn từ phương pháp tư duy siêu hình, tách rời bản chất khỏi hiện tượng.</w:t>
      </w:r>
    </w:p>
    <w:p>
      <w:pPr>
        <w:ind w:firstLine="567"/>
        <w:jc w:val="both"/>
      </w:pPr>
      <w:r>
        <w:rPr>
          <w:rFonts w:ascii="Times New Roman" w:hAnsi="Times New Roman" w:eastAsia="Times New Roman" w:cs="Times New Roman"/>
        </w:rPr>
        <w:t xml:space="preserve">Phương pháp tư duy siêu hình biểu hiện ở đây qua ba đặc trưng. </w:t>
      </w:r>
      <w:r>
        <w:rPr>
          <w:rFonts w:ascii="Times New Roman" w:hAnsi="Times New Roman" w:eastAsia="Times New Roman" w:cs="Times New Roman"/>
          <w:i/>
        </w:rPr>
        <w:t>Thứ nhất</w:t>
      </w:r>
      <w:r>
        <w:rPr>
          <w:rFonts w:ascii="Times New Roman" w:hAnsi="Times New Roman" w:eastAsia="Times New Roman" w:cs="Times New Roman"/>
        </w:rPr>
        <w:t>, xem xét sự vật trong trạng thái cô lập: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được tách khỏi những điều kiện đã sinh ra nó và được coi như một thuộc tính cố hữu của hợp chất. </w:t>
      </w:r>
      <w:r>
        <w:rPr>
          <w:rFonts w:ascii="Times New Roman" w:hAnsi="Times New Roman" w:eastAsia="Times New Roman" w:cs="Times New Roman"/>
          <w:i/>
        </w:rPr>
        <w:t>Thứ hai</w:t>
      </w:r>
      <w:r>
        <w:rPr>
          <w:rFonts w:ascii="Times New Roman" w:hAnsi="Times New Roman" w:eastAsia="Times New Roman" w:cs="Times New Roman"/>
        </w:rPr>
        <w:t xml:space="preserve">, xem xét sự vật trong trạng thái tĩnh tại: một kết quả ở cấp độ hiện tượng được coi là kết luận cuối cùng, thay vì là điểm xuất phát của quá trình nhận thức. </w:t>
      </w:r>
      <w:r>
        <w:rPr>
          <w:rFonts w:ascii="Times New Roman" w:hAnsi="Times New Roman" w:eastAsia="Times New Roman" w:cs="Times New Roman"/>
          <w:i/>
        </w:rPr>
        <w:t>Thứ ba</w:t>
      </w:r>
      <w:r>
        <w:rPr>
          <w:rFonts w:ascii="Times New Roman" w:hAnsi="Times New Roman" w:eastAsia="Times New Roman" w:cs="Times New Roman"/>
        </w:rPr>
        <w:t>, tư duy theo lối “hoặc là – hoặc là”: một hợp chất hoặc được coi là “có hoạt tính”, hoặc bị loại bỏ hoàn toàn, mà không thấy các cấp độ trung gian của bằng chứng. Khắc phục những đặc trưng này là nội dung của việc vận dụng phép biện chứng duy vật vào hoạt động nghiên cứu.</w:t>
      </w:r>
    </w:p>
    <w:p>
      <w:pPr>
        <w:pStyle w:val="Heading3"/>
      </w:pPr>
      <w:r>
        <w:rPr>
          <w:rFonts w:ascii="Times New Roman" w:hAnsi="Times New Roman" w:eastAsia="Times New Roman" w:cs="Times New Roman"/>
        </w:rPr>
        <w:t>3.5.3. Điều kiện xã hội của hoạt động nghiên cứu</w:t>
      </w:r>
    </w:p>
    <w:p>
      <w:pPr>
        <w:ind w:firstLine="567"/>
        <w:jc w:val="both"/>
      </w:pPr>
      <w:r>
        <w:rPr>
          <w:rFonts w:ascii="Times New Roman" w:hAnsi="Times New Roman" w:eastAsia="Times New Roman" w:cs="Times New Roman"/>
        </w:rPr>
        <w:t>Nhận thức khoa học là một hoạt động xã hội, chịu sự chi phối của những điều kiện xã hội cụ thể. Áp lực công bố và xu hướng ưu tiên kết quả dương tính khiến những kết quả chưa được kiểm chứng đầy đủ dễ được đưa vào tài liệu khoa học. Begley và Ellis đã kiến nghị nâng cao chuẩn mực đối với nghiên cứu tiền lâm sàng [10]. Biên tập viên nhiều tạp chí của Hiệp hội Hóa học Hoa Kỳ đã ra xã luận chung, yêu cầu tác giả phân tích khả năng gây nhiễu và, với hợp chất có nguy cơ này, chứng minh hoạt tính bằng ít nhất hai phép thử khác nhau [6]. Những biện pháp này cho thấy việc khắc phục sai lầm nhận thức không chỉ phụ thuộc vào năng lực của từng nhà nghiên cứu, mà còn phụ thuộc vào các chuẩn mực tập thể của cộng đồng khoa học.</w:t>
      </w:r>
    </w:p>
    <w:p>
      <w:pPr>
        <w:pStyle w:val="Heading2"/>
      </w:pPr>
      <w:r>
        <w:rPr>
          <w:rFonts w:ascii="Times New Roman" w:hAnsi="Times New Roman" w:eastAsia="Times New Roman" w:cs="Times New Roman"/>
        </w:rPr>
        <w:t>3.6. Hệ quả</w:t>
      </w:r>
    </w:p>
    <w:p>
      <w:pPr>
        <w:ind w:firstLine="567"/>
        <w:jc w:val="both"/>
      </w:pPr>
      <w:r>
        <w:rPr>
          <w:rFonts w:ascii="Times New Roman" w:hAnsi="Times New Roman" w:eastAsia="Times New Roman" w:cs="Times New Roman"/>
        </w:rPr>
        <w:t>Hệ quả của sự đồng nhất hiện tượng với bản chất thể hiện ở ba cấp độ. Ở cấp độ từng công trình, nguồn lực bị dùng cho những ứng viên không có tác dụng thực. Ở cấp độ tài liệu khoa học, dữ liệu không hợp lệ tích lũy dần: tỷ lệ hợp chất có đặc điểm giống chất kết tập trong tài liệu hóa dược đã tăng khoảng 9 lần kể từ năm 1995 [25]; những dữ liệu này lại trở thành tiền đề cho các nghiên cứu tiếp theo, làm cho sai lầm được tái sản xuất. Ở cấp độ phát triển thuốc, khoảng cách giữa kết quả tiền lâm sàng và tác dụng thực trên người làm tăng tỷ lệ thất bại lâm sàng [42]. Xét theo quan hệ giữa lý luận và thực tiễn, đây là trường hợp lý luận (tri thức về hoạt tính) không được thực tiễn kiểm nghiệm đầy đủ trước khi được dùng để định hướng thực tiễn.</w:t>
      </w:r>
    </w:p>
    <w:p>
      <w:pPr>
        <w:keepNext/>
        <w:spacing w:before="120" w:after="60"/>
        <w:ind w:firstLine="0"/>
        <w:jc w:val="left"/>
      </w:pPr>
      <w:r>
        <w:rPr>
          <w:rFonts w:ascii="Times New Roman" w:hAnsi="Times New Roman" w:eastAsia="Times New Roman" w:cs="Times New Roman"/>
          <w:b/>
        </w:rPr>
        <w:t>Tiểu kết Chương 3</w:t>
      </w:r>
    </w:p>
    <w:p>
      <w:pPr>
        <w:ind w:firstLine="567"/>
        <w:jc w:val="both"/>
      </w:pPr>
      <w:r>
        <w:rPr>
          <w:rFonts w:ascii="Times New Roman" w:hAnsi="Times New Roman" w:eastAsia="Times New Roman" w:cs="Times New Roman"/>
        </w:rPr>
        <w:t>Chương 3 đã chỉ ra rằng trong đánh giá hoạt tính ức chế enzyme của hợp chất thiên nhiên,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và điểm số docking thuộc về hiện tượng, còn bản chất cần nhận thức là tương tác đặc hiệu giữa phân tử và đích sinh học cùng khả năng tương tác đó diễn ra trong cơ thể. Các dạng giả tượng phổ biến gồm ức chế do kết tập keo, hợp chất gây nhiễu đa phép thử, sự không tương đồng giữa enzyme mô hình và đích sinh học, tạp chất, và việc tuyệt đối hóa kết quả mô phỏng. Nguyên nhân chủ quan của các sai lệch này là phương pháp tư duy siêu hình, biểu hiện dưới hai dạng đối lập là chủ nghĩa kinh nghiệm hẹp hòi và chủ nghĩa giáo điều.</w:t>
      </w:r>
    </w:p>
    <w:p>
      <w:pPr>
        <w:pStyle w:val="Heading1"/>
        <w:pageBreakBefore/>
      </w:pPr>
      <w:r>
        <w:rPr>
          <w:rFonts w:ascii="Times New Roman" w:hAnsi="Times New Roman" w:eastAsia="Times New Roman" w:cs="Times New Roman"/>
        </w:rPr>
        <w:t>CHƯƠNG 4</w:t>
      </w:r>
      <w:r>
        <w:br/>
      </w:r>
      <w:r>
        <w:rPr>
          <w:rFonts w:ascii="Times New Roman" w:hAnsi="Times New Roman" w:eastAsia="Times New Roman" w:cs="Times New Roman"/>
        </w:rPr>
        <w:t>VẬN DỤNG CẶP PHẠM TRÙ BẢN CHẤT VÀ HIỆN TƯỢNG NHẰM NÂNG CAO ĐỘ TIN CẬY CỦA ĐÁNH GIÁ HOẠT TÍNH ỨC CHẾ ENZYME</w:t>
      </w:r>
    </w:p>
    <w:p>
      <w:pPr>
        <w:ind w:firstLine="567"/>
        <w:jc w:val="both"/>
      </w:pPr>
      <w:r>
        <w:rPr>
          <w:rFonts w:ascii="Times New Roman" w:hAnsi="Times New Roman" w:eastAsia="Times New Roman" w:cs="Times New Roman"/>
        </w:rPr>
        <w:t>Vận dụng triết học vào một lĩnh vực khoa học cụ thể không có nghĩa là thay thế các phương pháp chuyên ngành bằng các luận điểm triết học, mà là chỉ ra cơ sở phương pháp luận chung của các phương pháp ấy, từ đó định hướng việc lựa chọn, kết hợp và diễn giải chúng. Theo tinh thần đó, bốn yêu cầu phương pháp luận nêu ở mục 1.7 được chuyển thành bốn nguyên tắc cho hoạt động đánh giá hoạt tính sinh học. Mỗi nguyên tắc được cụ thể hóa bằng những thao tác thực nghiệm có thể kiểm tra được, nhằm tránh việc vận dụng triết học một cách hình thức, và được đặt trong liên hệ với các nguyên tắc phương pháp luận chung của phép biện chứng duy vật.</w:t>
      </w:r>
    </w:p>
    <w:p>
      <w:pPr>
        <w:pStyle w:val="Heading2"/>
      </w:pPr>
      <w:r>
        <w:rPr>
          <w:rFonts w:ascii="Times New Roman" w:hAnsi="Times New Roman" w:eastAsia="Times New Roman" w:cs="Times New Roman"/>
        </w:rPr>
        <w:t>4.1. Nguyên tắc thứ nhất: xuất phát từ hiện tượng được ghi nhận đầy đủ và có kiểm soát</w:t>
      </w:r>
    </w:p>
    <w:p>
      <w:pPr>
        <w:ind w:firstLine="567"/>
        <w:jc w:val="both"/>
      </w:pPr>
      <w:r>
        <w:rPr>
          <w:rFonts w:ascii="Times New Roman" w:hAnsi="Times New Roman" w:eastAsia="Times New Roman" w:cs="Times New Roman"/>
        </w:rPr>
        <w:t>Nguyên tắc này là sự cụ thể hóa của nguyên tắc khách quan: xuất phát từ bản thân sự vật, không lấy ý muốn chủ quan thay cho hiện thực. Vì bản chất chỉ bộc lộ qua hiện tượng, bước đầu tiên là bảo đảm cho hiện tượng được ghi nhận đầy đủ, lặp lại được và gắn với điều kiện xác định.</w:t>
      </w:r>
    </w:p>
    <w:p>
      <w:pPr>
        <w:ind w:firstLine="567"/>
        <w:jc w:val="both"/>
      </w:pPr>
      <w:r>
        <w:rPr>
          <w:rFonts w:ascii="Times New Roman" w:hAnsi="Times New Roman" w:eastAsia="Times New Roman" w:cs="Times New Roman"/>
          <w:i/>
        </w:rPr>
        <w:t>Về đối tượng</w:t>
      </w:r>
      <w:r>
        <w:rPr>
          <w:rFonts w:ascii="Times New Roman" w:hAnsi="Times New Roman" w:eastAsia="Times New Roman" w:cs="Times New Roman"/>
        </w:rPr>
        <w:t xml:space="preserve">, mẫu thử phải có độ tinh khiết được kiểm chứng bằng phương pháp định lượng như HPLC hoặc qNMR [39]; nếu một tạp chất có hoạt tính mạnh hiện diện với tỷ lệ nhỏ, hiện tượng ghi nhận được thực chất là hiện tượng của một chất khác. </w:t>
      </w:r>
      <w:r>
        <w:rPr>
          <w:rFonts w:ascii="Times New Roman" w:hAnsi="Times New Roman" w:eastAsia="Times New Roman" w:cs="Times New Roman"/>
          <w:i/>
        </w:rPr>
        <w:t>Về hiện tượng</w:t>
      </w:r>
      <w:r>
        <w:rPr>
          <w:rFonts w:ascii="Times New Roman" w:hAnsi="Times New Roman" w:eastAsia="Times New Roman" w:cs="Times New Roman"/>
        </w:rPr>
        <w:t>, hoạt tính cần được xác định bằng đường cong liều – đáp ứng đầy đủ với các lần lặp độc lập, thay cho phần trăm ức chế tại một nồng độ. Hình dạng đường cong cũng mang thông tin: ức chế do kết tập tương quan với đường cong có độ dốc lớn bất thường, dù mối tương quan này không tuyệt đối [22], [41].</w:t>
      </w:r>
    </w:p>
    <w:p>
      <w:pPr>
        <w:ind w:firstLine="567"/>
        <w:jc w:val="both"/>
      </w:pPr>
      <w:r>
        <w:rPr>
          <w:rFonts w:ascii="Times New Roman" w:hAnsi="Times New Roman" w:eastAsia="Times New Roman" w:cs="Times New Roman"/>
          <w:i/>
        </w:rPr>
        <w:t>Về điều kiện</w:t>
      </w:r>
      <w:r>
        <w:rPr>
          <w:rFonts w:ascii="Times New Roman" w:hAnsi="Times New Roman" w:eastAsia="Times New Roman" w:cs="Times New Roman"/>
        </w:rPr>
        <w:t>, các điều kiện thử nghiệm cần được báo cáo cụ thể, vì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không phải là một hằng số của hợp chất. Đối với chất ức chế cạnh tranh, phương trình Cheng – Prusoff cho thấy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 K</w:t>
      </w:r>
      <w:r>
        <w:rPr>
          <w:rFonts w:ascii="Times New Roman" w:hAnsi="Times New Roman" w:eastAsia="Times New Roman" w:cs="Times New Roman"/>
          <w:vertAlign w:val="subscript"/>
        </w:rPr>
        <w:t>i</w:t>
      </w:r>
      <w:r>
        <w:rPr>
          <w:rFonts w:ascii="Times New Roman" w:hAnsi="Times New Roman" w:eastAsia="Times New Roman" w:cs="Times New Roman"/>
        </w:rPr>
        <w:t>(1 + [S]/K</w:t>
      </w:r>
      <w:r>
        <w:rPr>
          <w:rFonts w:ascii="Times New Roman" w:hAnsi="Times New Roman" w:eastAsia="Times New Roman" w:cs="Times New Roman"/>
          <w:vertAlign w:val="subscript"/>
        </w:rPr>
        <w:t>m</w:t>
      </w:r>
      <w:r>
        <w:rPr>
          <w:rFonts w:ascii="Times New Roman" w:hAnsi="Times New Roman" w:eastAsia="Times New Roman" w:cs="Times New Roman"/>
        </w:rPr>
        <w:t>), nghĩa là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thay đổi theo nồng độ cơ chất [S] được chọn, trong khi hằng số ức chế K</w:t>
      </w:r>
      <w:r>
        <w:rPr>
          <w:rFonts w:ascii="Times New Roman" w:hAnsi="Times New Roman" w:eastAsia="Times New Roman" w:cs="Times New Roman"/>
          <w:vertAlign w:val="subscript"/>
        </w:rPr>
        <w:t>i</w:t>
      </w:r>
      <w:r>
        <w:rPr>
          <w:rFonts w:ascii="Times New Roman" w:hAnsi="Times New Roman" w:eastAsia="Times New Roman" w:cs="Times New Roman"/>
        </w:rPr>
        <w:t>, đại lượng đặc trưng cho tương tác giữa enzyme và chất ức chế, không phụ thuộc vào lựa chọn đó [16], [17]. Quan hệ này minh họa trực tiếp luận điểm của phép biện chứng duy vật: hiện tượng (IC</w:t>
      </w:r>
      <w:r>
        <w:rPr>
          <w:rFonts w:ascii="Times New Roman" w:hAnsi="Times New Roman" w:eastAsia="Times New Roman" w:cs="Times New Roman"/>
          <w:vertAlign w:val="subscript"/>
        </w:rPr>
        <w:t>50</w:t>
      </w:r>
      <w:r>
        <w:rPr>
          <w:rFonts w:ascii="Times New Roman" w:hAnsi="Times New Roman" w:eastAsia="Times New Roman" w:cs="Times New Roman"/>
        </w:rPr>
        <w:t>) biến đổi theo điều kiện, còn bản chất (K</w:t>
      </w:r>
      <w:r>
        <w:rPr>
          <w:rFonts w:ascii="Times New Roman" w:hAnsi="Times New Roman" w:eastAsia="Times New Roman" w:cs="Times New Roman"/>
          <w:vertAlign w:val="subscript"/>
        </w:rPr>
        <w:t>i</w:t>
      </w:r>
      <w:r>
        <w:rPr>
          <w:rFonts w:ascii="Times New Roman" w:hAnsi="Times New Roman" w:eastAsia="Times New Roman" w:cs="Times New Roman"/>
        </w:rPr>
        <w:t>) tương đối ổn định. Do đó, so sánh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giữa các công trình có điều kiện thử nghiệm khác nhau không đủ giá trị để kết luận về bản chất. Hướng dẫn MIABE về thông tin tối thiểu cần báo cáo đối với một thực thể có hoạt tính sinh học là một công cụ để chuẩn hóa việc ghi nhận hiện tượng [38].</w:t>
      </w:r>
    </w:p>
    <w:p>
      <w:pPr>
        <w:pStyle w:val="Heading2"/>
      </w:pPr>
      <w:r>
        <w:rPr>
          <w:rFonts w:ascii="Times New Roman" w:hAnsi="Times New Roman" w:eastAsia="Times New Roman" w:cs="Times New Roman"/>
        </w:rPr>
        <w:t>4.2. Nguyên tắc thứ hai: phân biệt hiện tượng với giả tượng</w:t>
      </w:r>
    </w:p>
    <w:p>
      <w:pPr>
        <w:ind w:firstLine="567"/>
        <w:jc w:val="both"/>
      </w:pPr>
      <w:r>
        <w:rPr>
          <w:rFonts w:ascii="Times New Roman" w:hAnsi="Times New Roman" w:eastAsia="Times New Roman" w:cs="Times New Roman"/>
        </w:rPr>
        <w:t>Nguyên tắc này là sự cụ thể hóa của nguyên tắc toàn diện: xem xét sự vật trong tổng thể các mối liên hệ của nó, bao gồm cả mối liên hệ với phương tiện đo và điều kiện đo. Giả tượng là hiện tượng có thật nhưng biểu hiện bản chất dưới dạng xuyên tạc; vì vậy, không thể loại bỏ nó bằng cách bác bỏ dữ liệu, mà phải xác định điều kiện khách quan đã sinh ra nó.</w:t>
      </w:r>
    </w:p>
    <w:p>
      <w:pPr>
        <w:ind w:firstLine="567"/>
        <w:jc w:val="both"/>
      </w:pPr>
      <w:r>
        <w:rPr>
          <w:rFonts w:ascii="Times New Roman" w:hAnsi="Times New Roman" w:eastAsia="Times New Roman" w:cs="Times New Roman"/>
        </w:rPr>
        <w:t>Đối với ức chế do kết tập keo, phép kiểm chứng chuẩn là lặp lại phép thử khi có mặt một lượng nhỏ chất hoạt động bề mặt không ion như Triton X-100; hoạt tính giảm mạnh là dấu hiệu của ức chế do kết tập [21]. Có thể bổ sung phép thử tăng nồng độ enzyme (hoạt tính của chất kết tập giảm rõ rệt, còn chất ức chế cạnh tranh điển hình thì không) và phép đo tán xạ ánh sáng động để phát hiện trực tiếp các hạt keo [33]; công cụ “Aggregation Advisor” có thể được dùng để cảnh báo sớm [25]. Đối với tạp chất kim loại, có thể dùng chất tạo phức TPEN làm phép thử đối chứng [24]. Đối với nhiễu quang học, cần đo mẫu trắng chứa hợp chất nhưng không chứa enzyme để hiệu chỉnh độ hấp thụ nội tại, đặc biệt với các hợp chất có màu như nhiều flavonoid. Đối với phản ứng không đặc hiệu, cần thử trên một enzyme không liên quan và, khi có thể, dùng một phương pháp phát hiện trực giao dựa trên nguyên lý đo khác. Hoạt tính chỉ xuất hiện trong một hệ đo duy nhất là dấu hiệu hiện tượng phụ thuộc vào phương pháp đo nhiều hơn là vào tương tác với đích.</w:t>
      </w:r>
    </w:p>
    <w:p>
      <w:pPr>
        <w:ind w:firstLine="567"/>
        <w:jc w:val="both"/>
      </w:pPr>
      <w:r>
        <w:rPr>
          <w:rFonts w:ascii="Times New Roman" w:hAnsi="Times New Roman" w:eastAsia="Times New Roman" w:cs="Times New Roman"/>
        </w:rPr>
        <w:t>Tuy nhiên, việc nhận diện giả tượng cũng không được thực hiện một cách máy móc. Các cảnh báo cấu trúc PAINS ban đầu được xây dựng từ sáu phép thử dùng cùng một công nghệ phát hiện; phân tích dữ liệu công khai của Capuzzi và cộng sự cho thấy 97% hợp chất mang cảnh báo PAINS thực tế hiếm khi cho kết quả dương tính trong loại phép thử đó, và 87 thuốc phân tử nhỏ đã được FDA phê duyệt có chứa các cảnh báo này [15]. Một cảnh báo cấu trúc tự nó cũng chỉ là một dấu hiệu thuộc về hình thức; dùng nó để kết luận thay cho thực nghiệm là lặp lại sai lầm đồng nhất hiện tượng với bản chất, chỉ theo chiều ngược lại, và là biểu hiện của chủ nghĩa giáo điều. Kết luận về tính hợp lệ của hoạt tính phải dựa trên các thí nghiệm trực giao [15].</w:t>
      </w:r>
    </w:p>
    <w:p>
      <w:pPr>
        <w:ind w:firstLine="567"/>
        <w:jc w:val="both"/>
      </w:pPr>
      <w:r>
        <w:rPr>
          <w:rFonts w:ascii="Times New Roman" w:hAnsi="Times New Roman" w:eastAsia="Times New Roman" w:cs="Times New Roman"/>
        </w:rPr>
        <w:t>Cũng cần lưu ý rằng quan điểm toàn diện không đồng nghĩa với việc đặt mọi dữ kiện ngang hàng nhau. Chủ nghĩa chiết trung ghép nối một cách máy móc kết quả của nhiều phép thử mà không phân biệt vai trò của chúng; thuật ngụy biện lựa chọn những dữ kiện có lợi cho giả thuyết và bỏ qua những dữ kiện bất lợi. Quan điểm toàn diện đòi hỏi xác định những mối liên hệ chủ yếu, có ý nghĩa quyết định đối với vấn đề đang xét. Trong đánh giá hoạt tính, kết quả của một phép thử trực giao hay của một phép đối chứng loại trừ giả tượng có giá trị kiểm chứng cao hơn nhiều so với một điểm số docking thuận lợi; và một kết quả âm tính trong phép đối chứng có thể có sức nặng lớn hơn nhiều kết quả dương tính lặp lại trong cùng một hệ đo.</w:t>
      </w:r>
    </w:p>
    <w:p>
      <w:pPr>
        <w:pStyle w:val="Heading2"/>
      </w:pPr>
      <w:r>
        <w:rPr>
          <w:rFonts w:ascii="Times New Roman" w:hAnsi="Times New Roman" w:eastAsia="Times New Roman" w:cs="Times New Roman"/>
        </w:rPr>
        <w:t>4.3. Nguyên tắc thứ ba: đi từ bản chất cấp một đến bản chất sâu hơn</w:t>
      </w:r>
    </w:p>
    <w:p>
      <w:pPr>
        <w:ind w:firstLine="567"/>
        <w:jc w:val="both"/>
      </w:pPr>
      <w:r>
        <w:rPr>
          <w:rFonts w:ascii="Times New Roman" w:hAnsi="Times New Roman" w:eastAsia="Times New Roman" w:cs="Times New Roman"/>
        </w:rPr>
        <w:t>Nguyên tắc này là sự cụ thể hóa của nguyên tắc phát triển: nhận thức không dừng lại ở một trình độ đã đạt được mà không ngừng đi sâu. Trong đánh giá hoạt tính ức chế enzyme, có thể phân biệt các cấp độ bản chất tương ứng với những câu hỏi ngày càng sâu. Bản chất cấp một là sự tồn tại của một tác dụng ức chế đặc hiệu, lặp lại được, sau khi đã loại trừ các giả tượng. Bản chất cấp hai là cơ chế động học của sự ức chế: kiểu ức chế (cạnh tranh, không cạnh tranh, kháng cạnh tranh hay hỗn hợp), giá trị K</w:t>
      </w:r>
      <w:r>
        <w:rPr>
          <w:rFonts w:ascii="Times New Roman" w:hAnsi="Times New Roman" w:eastAsia="Times New Roman" w:cs="Times New Roman"/>
          <w:vertAlign w:val="subscript"/>
        </w:rPr>
        <w:t>i</w:t>
      </w:r>
      <w:r>
        <w:rPr>
          <w:rFonts w:ascii="Times New Roman" w:hAnsi="Times New Roman" w:eastAsia="Times New Roman" w:cs="Times New Roman"/>
        </w:rPr>
        <w:t>, tính thuận nghịch và sự phụ thuộc vào thời gian, được xác định bằng các thí nghiệm động học enzyme và thí nghiệm pha loãng nhanh [17]. Bản chất cấp ba là cấu trúc của phức hợp enzyme – chất ức chế, được tiếp cận bằng các phương pháp đo liên kết trực tiếp như ITC, SPR, STD-NMR, và ở mức cao nhất là cấu trúc tinh thể của phức hợp. Trình tự này lặp lại, ở quy mô một công trình, con đường mà lịch sử động học enzyme đã đi qua (mục 2.5).</w:t>
      </w:r>
    </w:p>
    <w:p>
      <w:pPr>
        <w:ind w:firstLine="567"/>
        <w:jc w:val="both"/>
      </w:pPr>
      <w:r>
        <w:rPr>
          <w:rFonts w:ascii="Times New Roman" w:hAnsi="Times New Roman" w:eastAsia="Times New Roman" w:cs="Times New Roman"/>
        </w:rPr>
        <w:t>Trong hệ các cấp độ này, docking và mô phỏng động lực học phân tử là mô hình lý thuyết giúp đề xuất và giải thích cách thức gắn kết, không phải bằng chứng độc lập cho sự tồn tại của hoạt tính. Mô hình chỉ có giá trị khi nhất quán với dữ liệu thực nghiệm ở các cấp độ thấp hơn: nếu động học cho thấy kiểu ức chế không cạnh tranh, việc mô tả hợp chất gắn vào tâm hoạt động là mâu thuẫn với dữ liệu; nếu hợp chất là chất kết tập, mọi tư thế gắn kết được đề xuất đều không có đối tượng thực. Do các hàm tính điểm không dự đoán hữu ích ái lực gắn kết [44], điểm số docking không nên được dùng để xếp hạng hoạt tính hoặc để “xác nhận” giá trị IC</w:t>
      </w:r>
      <w:r>
        <w:rPr>
          <w:rFonts w:ascii="Times New Roman" w:hAnsi="Times New Roman" w:eastAsia="Times New Roman" w:cs="Times New Roman"/>
          <w:vertAlign w:val="subscript"/>
        </w:rPr>
        <w:t>50</w:t>
      </w:r>
      <w:r>
        <w:rPr>
          <w:rFonts w:ascii="Times New Roman" w:hAnsi="Times New Roman" w:eastAsia="Times New Roman" w:cs="Times New Roman"/>
        </w:rPr>
        <w:t>. Đây là vận dụng trực tiếp quan điểm về vị trí của mô hình trong nhận thức đã nêu ở mục 1.6.2.</w:t>
      </w:r>
    </w:p>
    <w:p>
      <w:pPr>
        <w:ind w:firstLine="567"/>
        <w:jc w:val="both"/>
      </w:pPr>
      <w:r>
        <w:rPr>
          <w:rFonts w:ascii="Times New Roman" w:hAnsi="Times New Roman" w:eastAsia="Times New Roman" w:cs="Times New Roman"/>
        </w:rPr>
        <w:t>Một phương tiện quan trọng để tiếp cận bản chất là quan hệ cấu trúc – hoạt tính (SAR). Khi một dãy hợp chất tương tự, thu được từ phân lập hoặc bán tổng hợp, có hoạt tính biến đổi một cách có thể giải thích theo những thay đổi cấu trúc xác định, đó là bằng chứng cho một tương tác đặc hiệu với vị trí gắn kết. Ngược lại, các hợp chất gây nhiễu thường có SAR “phẳng” hoặc không nhất quán [33], [41]; SAR chặt chẽ được xem là tiêu chí quan trọng nhất để phân biệt hợp chất gây nhiễu với phối tử thực [6]. Ở đây, theo quan hệ giữa cái chung và cái riêng, cái chung của một dãy hiện tượng (xu hướng SAR) cho phép nhận ra bản chất mà từng hiện tượng riêng lẻ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không thể chỉ ra. Cuối cùng, chứng minh sự gắn kết với đích trong môi trường tế bào, chẳng hạn bằng CETSA [27], là bước chuyển từ hệ tinh khiết sang hệ sinh học phức tạp hơn.</w:t>
      </w:r>
    </w:p>
    <w:p>
      <w:pPr>
        <w:pStyle w:val="Heading2"/>
      </w:pPr>
      <w:r>
        <w:rPr>
          <w:rFonts w:ascii="Times New Roman" w:hAnsi="Times New Roman" w:eastAsia="Times New Roman" w:cs="Times New Roman"/>
        </w:rPr>
        <w:t>4.4. Nguyên tắc thứ tư: xem xét hiện tượng trong điều kiện lịch sử – cụ thể và kiểm nghiệm bằng thực tiễn</w:t>
      </w:r>
    </w:p>
    <w:p>
      <w:pPr>
        <w:ind w:firstLine="567"/>
        <w:jc w:val="both"/>
      </w:pPr>
      <w:r>
        <w:rPr>
          <w:rFonts w:ascii="Times New Roman" w:hAnsi="Times New Roman" w:eastAsia="Times New Roman" w:cs="Times New Roman"/>
        </w:rPr>
        <w:t>Nguyên tắc này là sự cụ thể hóa của nguyên tắc lịch sử – cụ thể và nguyên tắc thống nhất giữa lý luận và thực tiễn. Hiện tượng luôn tồn tại trong những điều kiện cụ thể, và cách thức bản chất bộc lộ ra phụ thuộc vào các điều kiện đó. Trước hết, phải lựa chọn mô hình thử nghiệm tương ứng với đích sinh học mà kết luận hướng tới. Nếu mục tiêu là đánh giá khả năng kiểm soát đường huyết sau ăn, kết quả trên α-glucosidase nấm men chỉ có giá trị sàng lọc sơ bộ; kết luận cần được kiểm chứng trên α-glucosidase ruột non của động vật có vú hoặc enzyme người tái tổ hợp, với chất đối chứng dương được đo trong cùng hệ thử [37]. Tương tự, kết luận về khả năng làm giảm tăng sắc tố da cần được kiểm chứng trên tyrosinase người [32].</w:t>
      </w:r>
    </w:p>
    <w:p>
      <w:pPr>
        <w:ind w:firstLine="567"/>
        <w:jc w:val="both"/>
      </w:pPr>
      <w:r>
        <w:rPr>
          <w:rFonts w:ascii="Times New Roman" w:hAnsi="Times New Roman" w:eastAsia="Times New Roman" w:cs="Times New Roman"/>
        </w:rPr>
        <w:t>Nguyên tắc này cũng đòi hỏi đặt giá trị hoạt tính trong quan hệ với khả năng hợp chất đạt tới đích trong cơ thể. Một hợp chất có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ở mức hàng chục micromol, kém bền trong môi trường sinh lý và có sinh khả dụng thấp khó tạo ra tác dụng tương ứng </w:t>
      </w:r>
      <w:r>
        <w:rPr>
          <w:rFonts w:ascii="Times New Roman" w:hAnsi="Times New Roman" w:eastAsia="Times New Roman" w:cs="Times New Roman"/>
          <w:i/>
        </w:rPr>
        <w:t>in vivo</w:t>
      </w:r>
      <w:r>
        <w:rPr>
          <w:rFonts w:ascii="Times New Roman" w:hAnsi="Times New Roman" w:eastAsia="Times New Roman" w:cs="Times New Roman"/>
        </w:rPr>
        <w:t xml:space="preserve">, như trường hợp curcumin cho thấy [35]. Sun và cộng sự lập luận rằng tối ưu hóa thuốc hiện nay chú trọng quá mức vào hiệu lực và tính đặc hiệu thông qua SAR, trong khi xem nhẹ mức phơi nhiễm và tính chọn lọc ở mô bệnh, và đề xuất mô hình STAR để phân loại ứng viên [42]. Theo cặp phạm trù đang xét, hiệu lực </w:t>
      </w:r>
      <w:r>
        <w:rPr>
          <w:rFonts w:ascii="Times New Roman" w:hAnsi="Times New Roman" w:eastAsia="Times New Roman" w:cs="Times New Roman"/>
          <w:i/>
        </w:rPr>
        <w:t>in vitro</w:t>
      </w:r>
      <w:r>
        <w:rPr>
          <w:rFonts w:ascii="Times New Roman" w:hAnsi="Times New Roman" w:eastAsia="Times New Roman" w:cs="Times New Roman"/>
        </w:rPr>
        <w:t xml:space="preserve"> là một biểu hiện của bản chất tác dụng nhưng chưa phải toàn bộ bản chất đó; bản chất của tác dụng dược lý còn bao gồm mối liên hệ giữa phân tử, mô đích và liều dùng. Theo cặp phạm trù khả năng – hiện thực, hoạt tính </w:t>
      </w:r>
      <w:r>
        <w:rPr>
          <w:rFonts w:ascii="Times New Roman" w:hAnsi="Times New Roman" w:eastAsia="Times New Roman" w:cs="Times New Roman"/>
          <w:i/>
        </w:rPr>
        <w:t>in vitro</w:t>
      </w:r>
      <w:r>
        <w:rPr>
          <w:rFonts w:ascii="Times New Roman" w:hAnsi="Times New Roman" w:eastAsia="Times New Roman" w:cs="Times New Roman"/>
        </w:rPr>
        <w:t xml:space="preserve"> là khả năng; chỉ khi các điều kiện về phơi nhiễm, tính chọn lọc và độ an toàn được đáp ứng, khả năng ấy mới có thể chuyển thành hiện thực.</w:t>
      </w:r>
    </w:p>
    <w:p>
      <w:pPr>
        <w:ind w:firstLine="567"/>
        <w:jc w:val="both"/>
      </w:pPr>
      <w:r>
        <w:rPr>
          <w:rFonts w:ascii="Times New Roman" w:hAnsi="Times New Roman" w:eastAsia="Times New Roman" w:cs="Times New Roman"/>
        </w:rPr>
        <w:t xml:space="preserve">Bản thân tri thức về giả tượng hoạt tính cũng có tính lịch sử: ức chế do kết tập được mô tả có hệ thống năm 2002 [33], cảnh báo PAINS được đề xuất năm 2010 [8], khái niệm IMPs cho hợp chất thiên nhiên được đưa ra năm 2016 [11], và ngay sau đó giới hạn của cảnh báo PAINS lại được chỉ ra [15]. Tiến trình này tái hiện, trong phạm vi hẹp, quy luật phủ định của phủ định trong nhận thức: mỗi tiêu chí mới phủ định tiêu chí cũ nhưng kế thừa yếu tố hợp lý của nó. Nhận thức về bản chất của “hoạt tính” vì vậy là một quá trình đi sâu liên tục. Thực tiễn, bao gồm thực nghiệm </w:t>
      </w:r>
      <w:r>
        <w:rPr>
          <w:rFonts w:ascii="Times New Roman" w:hAnsi="Times New Roman" w:eastAsia="Times New Roman" w:cs="Times New Roman"/>
          <w:i/>
        </w:rPr>
        <w:t>in vivo</w:t>
      </w:r>
      <w:r>
        <w:rPr>
          <w:rFonts w:ascii="Times New Roman" w:hAnsi="Times New Roman" w:eastAsia="Times New Roman" w:cs="Times New Roman"/>
        </w:rPr>
        <w:t xml:space="preserve"> và thử nghiệm lâm sàng, là tiêu chuẩn cuối cùng để kiểm nghiệm các kết luận về bản chất tác dụng của một hợp chất.</w:t>
      </w:r>
    </w:p>
    <w:p>
      <w:pPr>
        <w:pStyle w:val="Heading2"/>
      </w:pPr>
      <w:r>
        <w:rPr>
          <w:rFonts w:ascii="Times New Roman" w:hAnsi="Times New Roman" w:eastAsia="Times New Roman" w:cs="Times New Roman"/>
        </w:rPr>
        <w:t>4.5. Quy trình đánh giá theo các cấp độ tiếp cận bản chất</w:t>
      </w:r>
    </w:p>
    <w:p>
      <w:pPr>
        <w:ind w:firstLine="567"/>
        <w:jc w:val="both"/>
      </w:pPr>
      <w:r>
        <w:rPr>
          <w:rFonts w:ascii="Times New Roman" w:hAnsi="Times New Roman" w:eastAsia="Times New Roman" w:cs="Times New Roman"/>
        </w:rPr>
        <w:t>Tổng hợp bốn nguyên tắc trên, có thể đề xuất một quy trình đánh giá hoạt tính ức chế enzyme gồm sáu cấp độ (Bảng 4.1, Hình 4.1). Mỗi cấp độ ứng với một câu hỏi về bản chất sâu hơn cấp độ trước và với những giả tượng cần loại trừ. Kết luận về hoạt tính của một hợp chất cần được phát biểu tương ứng với cấp độ bằng chứng đã đạt được: chẳng hạn, một hợp chất mới đạt cấp độ 2 nên được mô tả là “làm giảm hoạt tính enzyme trong điều kiện thử nghiệm”, chưa đủ cơ sở để được gọi là “chất ức chế đặc hiệu” hay “ứng viên thuốc”.</w:t>
      </w:r>
    </w:p>
    <w:p>
      <w:pPr>
        <w:keepNext/>
        <w:spacing w:before="120" w:after="120"/>
        <w:ind w:firstLine="0"/>
        <w:jc w:val="center"/>
      </w:pPr>
      <w:r>
        <w:rPr>
          <w:rFonts w:ascii="Times New Roman" w:hAnsi="Times New Roman" w:eastAsia="Times New Roman" w:cs="Times New Roman"/>
          <w:b/>
        </w:rPr>
        <w:t>Bảng 4.1. Quy trình đánh giá hoạt tính ức chế enzyme theo các cấp độ tiếp cận bản chất</w:t>
      </w:r>
    </w:p>
    <w:tbl>
      <w:tblPr>
        <w:tblStyle w:val="TableGrid"/>
        <w:tblW w:type="auto" w:w="0"/>
        <w:jc w:val="center"/>
        <w:tblLayout w:type="fixed"/>
        <w:tblLook w:firstColumn="1" w:firstRow="1" w:lastColumn="0" w:lastRow="0" w:noHBand="0" w:noVBand="1" w:val="04A0"/>
      </w:tblPr>
      <w:tblGrid>
        <w:gridCol w:w="3005"/>
        <w:gridCol w:w="3345"/>
        <w:gridCol w:w="2438"/>
      </w:tblGrid>
      <w:tr>
        <w:trPr>
          <w:cantSplit/>
          <w:tblHeader/>
        </w:trPr>
        <w:tc>
          <w:tcPr>
            <w:tcW w:type="dxa" w:w="300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Cấp độ và câu hỏi về bản chất</w:t>
            </w:r>
          </w:p>
        </w:tc>
        <w:tc>
          <w:tcPr>
            <w:tcW w:type="dxa" w:w="3345"/>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Phép thử, kiểm chứng</w:t>
            </w:r>
          </w:p>
        </w:tc>
        <w:tc>
          <w:tcPr>
            <w:tcW w:type="dxa" w:w="2438"/>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Giả tượng cần loại trừ</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1. Tín hiệu sơ cấp</w:t>
            </w:r>
            <w:r>
              <w:br/>
            </w:r>
            <w:r>
              <w:rPr>
                <w:rFonts w:ascii="Times New Roman" w:hAnsi="Times New Roman" w:eastAsia="Times New Roman" w:cs="Times New Roman"/>
                <w:b w:val="0"/>
                <w:sz w:val="26"/>
              </w:rPr>
              <w:t>Tín hiệu có lặp lại, có thuộc về chính hợp chất?</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Lặp lại độc lập; mẫu trắng không enzyme; độ tinh khiết (HPLC, qNMR)</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Hấp thụ, huỳnh quang nội tại; tạp chất hữu cơ và vô cơ</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2. Liều – đáp ứng</w:t>
            </w:r>
            <w:r>
              <w:br/>
            </w:r>
            <w:r>
              <w:rPr>
                <w:rFonts w:ascii="Times New Roman" w:hAnsi="Times New Roman" w:eastAsia="Times New Roman" w:cs="Times New Roman"/>
                <w:b w:val="0"/>
                <w:sz w:val="26"/>
              </w:rPr>
              <w:t>Tác dụng phụ thuộc nồng độ ra sao?</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Đường cong đầy đủ; báo cáo [E], [S]/K</w:t>
            </w:r>
            <w:r>
              <w:rPr>
                <w:rFonts w:ascii="Times New Roman" w:hAnsi="Times New Roman" w:eastAsia="Times New Roman" w:cs="Times New Roman"/>
                <w:b w:val="0"/>
                <w:sz w:val="26"/>
                <w:vertAlign w:val="subscript"/>
              </w:rPr>
              <w:t>m</w:t>
            </w:r>
            <w:r>
              <w:rPr>
                <w:rFonts w:ascii="Times New Roman" w:hAnsi="Times New Roman" w:eastAsia="Times New Roman" w:cs="Times New Roman"/>
                <w:b w:val="0"/>
                <w:sz w:val="26"/>
              </w:rPr>
              <w:t>, % DMSO, thời gian ủ</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Đường cong dốc bất thường; phụ thuộc mạnh vào điều kiện</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3. Tính đặc hiệu</w:t>
            </w:r>
            <w:r>
              <w:br/>
            </w:r>
            <w:r>
              <w:rPr>
                <w:rFonts w:ascii="Times New Roman" w:hAnsi="Times New Roman" w:eastAsia="Times New Roman" w:cs="Times New Roman"/>
                <w:b w:val="0"/>
                <w:sz w:val="26"/>
              </w:rPr>
              <w:t>Ức chế có đặc hiệu với enzyme đích?</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Chất hoạt động bề mặt không ion; tăng [E]; DLS; TPEN; enzyme không liên quan</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Kết tập keo; ion kim loại; phản ứng cộng hóa trị, oxy hóa – khử</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4. Cơ chế</w:t>
            </w:r>
            <w:r>
              <w:br/>
            </w:r>
            <w:r>
              <w:rPr>
                <w:rFonts w:ascii="Times New Roman" w:hAnsi="Times New Roman" w:eastAsia="Times New Roman" w:cs="Times New Roman"/>
                <w:b w:val="0"/>
                <w:sz w:val="26"/>
              </w:rPr>
              <w:t>Kiểu ức chế, K</w:t>
            </w:r>
            <w:r>
              <w:rPr>
                <w:rFonts w:ascii="Times New Roman" w:hAnsi="Times New Roman" w:eastAsia="Times New Roman" w:cs="Times New Roman"/>
                <w:b w:val="0"/>
                <w:sz w:val="26"/>
                <w:vertAlign w:val="subscript"/>
              </w:rPr>
              <w:t>i</w:t>
            </w:r>
            <w:r>
              <w:rPr>
                <w:rFonts w:ascii="Times New Roman" w:hAnsi="Times New Roman" w:eastAsia="Times New Roman" w:cs="Times New Roman"/>
                <w:b w:val="0"/>
                <w:sz w:val="26"/>
              </w:rPr>
              <w:t>, tính thuận nghịch?</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Động học enzyme; pha loãng nhanh; ITC, SPR, STD-NMR; docking đối chiếu dữ liệu động học</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Suy diễn cơ chế từ điểm số docking</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5. Quan hệ cấu trúc – hoạt tính</w:t>
            </w:r>
            <w:r>
              <w:br/>
            </w:r>
            <w:r>
              <w:rPr>
                <w:rFonts w:ascii="Times New Roman" w:hAnsi="Times New Roman" w:eastAsia="Times New Roman" w:cs="Times New Roman"/>
                <w:b w:val="0"/>
                <w:sz w:val="26"/>
              </w:rPr>
              <w:t>Hoạt tính có biến đổi nhất quán theo cấu trúc?</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Dãy hợp chất đồng loại từ phân lập hoặc bán tổng hợp</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SAR “phẳng”, không giải thích được</w:t>
            </w:r>
          </w:p>
        </w:tc>
      </w:tr>
      <w:tr>
        <w:trPr>
          <w:cantSplit/>
        </w:trPr>
        <w:tc>
          <w:tcPr>
            <w:tcW w:type="dxa" w:w="3005"/>
            <w:vAlign w:val="center"/>
          </w:tcPr>
          <w:p>
            <w:pPr>
              <w:spacing w:before="40" w:after="40" w:line="240" w:lineRule="auto"/>
              <w:ind w:firstLine="0"/>
              <w:jc w:val="left"/>
            </w:pPr>
            <w:r>
              <w:rPr>
                <w:rFonts w:ascii="Times New Roman" w:hAnsi="Times New Roman" w:eastAsia="Times New Roman" w:cs="Times New Roman"/>
                <w:b/>
                <w:sz w:val="26"/>
              </w:rPr>
              <w:t>6. Tương ứng với đích sinh học</w:t>
            </w:r>
            <w:r>
              <w:br/>
            </w:r>
            <w:r>
              <w:rPr>
                <w:rFonts w:ascii="Times New Roman" w:hAnsi="Times New Roman" w:eastAsia="Times New Roman" w:cs="Times New Roman"/>
                <w:b w:val="0"/>
                <w:sz w:val="26"/>
              </w:rPr>
              <w:t>Tác dụng có trên đích ở người, trong tế bào, cơ thể?</w:t>
            </w:r>
          </w:p>
        </w:tc>
        <w:tc>
          <w:tcPr>
            <w:tcW w:type="dxa" w:w="3345"/>
            <w:vAlign w:val="center"/>
          </w:tcPr>
          <w:p>
            <w:pPr>
              <w:spacing w:before="40" w:after="40" w:line="240" w:lineRule="auto"/>
              <w:ind w:firstLine="0"/>
              <w:jc w:val="left"/>
            </w:pPr>
            <w:r>
              <w:rPr>
                <w:rFonts w:ascii="Times New Roman" w:hAnsi="Times New Roman" w:eastAsia="Times New Roman" w:cs="Times New Roman"/>
                <w:b w:val="0"/>
                <w:sz w:val="26"/>
              </w:rPr>
              <w:t xml:space="preserve">Enzyme động vật có vú hoặc enzyme người tái tổ hợp; CETSA; dược động học; </w:t>
            </w:r>
            <w:r>
              <w:rPr>
                <w:rFonts w:ascii="Times New Roman" w:hAnsi="Times New Roman" w:eastAsia="Times New Roman" w:cs="Times New Roman"/>
                <w:b w:val="0"/>
                <w:i/>
                <w:sz w:val="26"/>
              </w:rPr>
              <w:t>in vivo</w:t>
            </w:r>
          </w:p>
        </w:tc>
        <w:tc>
          <w:tcPr>
            <w:tcW w:type="dxa" w:w="2438"/>
            <w:vAlign w:val="center"/>
          </w:tcPr>
          <w:p>
            <w:pPr>
              <w:spacing w:before="40" w:after="40" w:line="240" w:lineRule="auto"/>
              <w:ind w:firstLine="0"/>
              <w:jc w:val="left"/>
            </w:pPr>
            <w:r>
              <w:rPr>
                <w:rFonts w:ascii="Times New Roman" w:hAnsi="Times New Roman" w:eastAsia="Times New Roman" w:cs="Times New Roman"/>
                <w:b w:val="0"/>
                <w:sz w:val="26"/>
              </w:rPr>
              <w:t>Hoạt tính chỉ có trên mô hình không tương đồng</w:t>
            </w:r>
          </w:p>
        </w:tc>
      </w:tr>
    </w:tbl>
    <w:p>
      <w:pPr>
        <w:spacing w:before="80" w:after="160"/>
        <w:ind w:firstLine="0"/>
        <w:jc w:val="left"/>
      </w:pPr>
      <w:r>
        <w:rPr>
          <w:rFonts w:ascii="Times New Roman" w:hAnsi="Times New Roman" w:eastAsia="Times New Roman" w:cs="Times New Roman"/>
          <w:i/>
        </w:rPr>
        <w:t>Nguồn: Học viên tổng hợp và đề xuất trên cơ sở [6], [15], [16], [17], [21], [24], [25], [27], [33], [37], [39], [41], [44].</w:t>
      </w:r>
    </w:p>
    <w:p>
      <w:pPr>
        <w:keepNext/>
        <w:spacing w:before="120" w:after="80" w:line="240" w:lineRule="auto"/>
        <w:ind w:firstLine="0"/>
        <w:jc w:val="center"/>
      </w:pPr>
      <w:r>
        <w:drawing>
          <wp:inline xmlns:a="http://schemas.openxmlformats.org/drawingml/2006/main" xmlns:pic="http://schemas.openxmlformats.org/drawingml/2006/picture">
            <wp:extent cx="5400000" cy="4945155"/>
            <wp:docPr id="1" name="Picture 1"/>
            <wp:cNvGraphicFramePr>
              <a:graphicFrameLocks noChangeAspect="1"/>
            </wp:cNvGraphicFramePr>
            <a:graphic>
              <a:graphicData uri="http://schemas.openxmlformats.org/drawingml/2006/picture">
                <pic:pic>
                  <pic:nvPicPr>
                    <pic:cNvPr id="0" name="hinh_4_1.png"/>
                    <pic:cNvPicPr/>
                  </pic:nvPicPr>
                  <pic:blipFill>
                    <a:blip r:embed="rId11"/>
                    <a:stretch>
                      <a:fillRect/>
                    </a:stretch>
                  </pic:blipFill>
                  <pic:spPr>
                    <a:xfrm>
                      <a:off x="0" y="0"/>
                      <a:ext cx="5400000" cy="4945155"/>
                    </a:xfrm>
                    <a:prstGeom prst="rect"/>
                  </pic:spPr>
                </pic:pic>
              </a:graphicData>
            </a:graphic>
          </wp:inline>
        </w:drawing>
      </w:r>
    </w:p>
    <w:p>
      <w:pPr>
        <w:spacing w:before="40" w:after="160"/>
        <w:ind w:firstLine="0"/>
        <w:jc w:val="center"/>
      </w:pPr>
      <w:r>
        <w:rPr>
          <w:rFonts w:ascii="Times New Roman" w:hAnsi="Times New Roman" w:eastAsia="Times New Roman" w:cs="Times New Roman"/>
          <w:b/>
        </w:rPr>
        <w:t>Hình 4.1. Sơ đồ tiến trình từ hiện tượng đến bản chất trong đánh giá hoạt tính ức chế enzyme</w:t>
      </w:r>
    </w:p>
    <w:p>
      <w:pPr>
        <w:ind w:firstLine="567"/>
        <w:jc w:val="both"/>
      </w:pPr>
      <w:r>
        <w:rPr>
          <w:rFonts w:ascii="Times New Roman" w:hAnsi="Times New Roman" w:eastAsia="Times New Roman" w:cs="Times New Roman"/>
        </w:rPr>
        <w:t>Quy trình không đòi hỏi mọi nghiên cứu phải đạt cấp độ cao nhất, vì điều đó phụ thuộc vào nguồn lực và mục tiêu cụ thể. Yêu cầu cốt lõi là sự tương xứng giữa mức độ khẳng định trong kết luận và cấp độ bằng chứng thu được. Đây là sự vận dụng yêu cầu “căn cứ vào bản chất chứ không căn cứ vào hiện tượng” vào nghiên cứu hóa học hợp chất thiên nhiên; đồng thời là sự thừa nhận tính tương đối của chân lý: kết luận ở mỗi cấp độ là đúng trong phạm vi của nó và mở ra khả năng đi tiếp đến cấp độ sau.</w:t>
      </w:r>
    </w:p>
    <w:p>
      <w:pPr>
        <w:pStyle w:val="Heading2"/>
      </w:pPr>
      <w:r>
        <w:rPr>
          <w:rFonts w:ascii="Times New Roman" w:hAnsi="Times New Roman" w:eastAsia="Times New Roman" w:cs="Times New Roman"/>
        </w:rPr>
        <w:t>4.6. Tình huống minh họa</w:t>
      </w:r>
    </w:p>
    <w:p>
      <w:pPr>
        <w:ind w:firstLine="567"/>
        <w:jc w:val="both"/>
      </w:pPr>
      <w:r>
        <w:rPr>
          <w:rFonts w:ascii="Times New Roman" w:hAnsi="Times New Roman" w:eastAsia="Times New Roman" w:cs="Times New Roman"/>
        </w:rPr>
        <w:t>Để làm rõ cách vận dụng quy trình, có thể xét một tình huống giả định, được xây dựng cho mục đích minh họa phương pháp luận, không phải dữ liệu thực nghiệm. Giả sử từ một loài cây thuốc, người nghiên cứu phân lập được hợp chất X thuộc nhóm flavonol, có nhiều nhóm hydroxyl phenol. Trong phép thử α-glucosidase nấm men, X cho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ở mức micromol thấp, thấp hơn nhiều so với acarbose đo trong cùng hệ, và mô phỏng docking cho điểm số thuận lợi tại tâm hoạt động của một mô hình enzyme. Nếu dừng ở đây, người nghiên cứu dễ đi đến kết luận rằng X là “chất ức chế α-glucosidase mạnh hơn acarbose, có tiềm năng điều trị đái tháo đường”.</w:t>
      </w:r>
    </w:p>
    <w:p>
      <w:pPr>
        <w:ind w:firstLine="567"/>
        <w:jc w:val="both"/>
      </w:pPr>
      <w:r>
        <w:rPr>
          <w:rFonts w:ascii="Times New Roman" w:hAnsi="Times New Roman" w:eastAsia="Times New Roman" w:cs="Times New Roman"/>
        </w:rPr>
        <w:t>Phân tích theo cặp phạm trù bản chất và hiện tượng cho thấy kết luận đó mới dựa trên hiện tượng ở cấp độ 2 và trên một mô hình lý thuyết. Hơn nữa, các đặc điểm cấu trúc của X (flavonol, nhiều nhóm phenol) thuộc về những đặc điểm liên quan đến nguy cơ kết tập và gây nhiễu [8], [33], và mô hình enzyme nấm men được biết là cho kết quả khác với enzyme động vật có vú, trong đó acarbose chỉ ức chế yếu enzyme nấm men [37]. Áp dụng quy trình ở mục 4.5, người nghiên cứu sẽ lần lượt kiểm tra độ tinh khiết, lặp lại phép thử khi có chất hoạt động bề mặt, đo tán xạ ánh sáng động, thử trên α-glucosidase ruột chuột, xác định kiểu ức chế và khảo sát một dãy dẫn xuất. Bảng 4.2 trình bày ba kịch bản kết quả có thể xảy ra và kết luận được phép rút ra trong mỗi kịch bản.</w:t>
      </w:r>
    </w:p>
    <w:p>
      <w:pPr>
        <w:keepNext/>
        <w:spacing w:before="120" w:after="120"/>
        <w:ind w:firstLine="0"/>
        <w:jc w:val="center"/>
      </w:pPr>
      <w:r>
        <w:rPr>
          <w:rFonts w:ascii="Times New Roman" w:hAnsi="Times New Roman" w:eastAsia="Times New Roman" w:cs="Times New Roman"/>
          <w:b/>
        </w:rPr>
        <w:t>Bảng 4.2. Các kịch bản kết quả trong tình huống minh họa và kết luận tương ứng</w:t>
      </w:r>
    </w:p>
    <w:tbl>
      <w:tblPr>
        <w:tblStyle w:val="TableGrid"/>
        <w:tblW w:type="auto" w:w="0"/>
        <w:jc w:val="center"/>
        <w:tblLayout w:type="fixed"/>
        <w:tblLook w:firstColumn="1" w:firstRow="1" w:lastColumn="0" w:lastRow="0" w:noHBand="0" w:noVBand="1" w:val="04A0"/>
      </w:tblPr>
      <w:tblGrid>
        <w:gridCol w:w="1474"/>
        <w:gridCol w:w="3061"/>
        <w:gridCol w:w="2381"/>
        <w:gridCol w:w="1871"/>
      </w:tblGrid>
      <w:tr>
        <w:trPr>
          <w:cantSplit/>
          <w:tblHeader/>
        </w:trPr>
        <w:tc>
          <w:tcPr>
            <w:tcW w:type="dxa" w:w="1474"/>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Kịch bản</w:t>
            </w:r>
          </w:p>
        </w:tc>
        <w:tc>
          <w:tcPr>
            <w:tcW w:type="dxa" w:w="306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Kết quả quan sát</w:t>
            </w:r>
          </w:p>
        </w:tc>
        <w:tc>
          <w:tcPr>
            <w:tcW w:type="dxa" w:w="238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Diễn giải</w:t>
            </w:r>
          </w:p>
        </w:tc>
        <w:tc>
          <w:tcPr>
            <w:tcW w:type="dxa" w:w="1871"/>
            <w:shd w:val="clear" w:color="auto" w:fill="D9D9D9"/>
            <w:vAlign w:val="center"/>
          </w:tcPr>
          <w:p>
            <w:pPr>
              <w:spacing w:before="40" w:after="40" w:line="240" w:lineRule="auto"/>
              <w:ind w:firstLine="0"/>
              <w:jc w:val="center"/>
            </w:pPr>
            <w:r>
              <w:rPr>
                <w:rFonts w:ascii="Times New Roman" w:hAnsi="Times New Roman" w:eastAsia="Times New Roman" w:cs="Times New Roman"/>
                <w:b/>
                <w:sz w:val="26"/>
              </w:rPr>
              <w:t>Kết luận được phép</w:t>
            </w:r>
          </w:p>
        </w:tc>
      </w:tr>
      <w:tr>
        <w:trPr>
          <w:cantSplit/>
        </w:trPr>
        <w:tc>
          <w:tcPr>
            <w:tcW w:type="dxa" w:w="1474"/>
            <w:vAlign w:val="center"/>
          </w:tcPr>
          <w:p>
            <w:pPr>
              <w:spacing w:before="40" w:after="40" w:line="240" w:lineRule="auto"/>
              <w:ind w:firstLine="0"/>
              <w:jc w:val="left"/>
            </w:pPr>
            <w:r>
              <w:rPr>
                <w:rFonts w:ascii="Times New Roman" w:hAnsi="Times New Roman" w:eastAsia="Times New Roman" w:cs="Times New Roman"/>
                <w:b/>
                <w:sz w:val="26"/>
              </w:rPr>
              <w:t>A</w:t>
            </w:r>
          </w:p>
        </w:tc>
        <w:tc>
          <w:tcPr>
            <w:tcW w:type="dxa" w:w="3061"/>
            <w:vAlign w:val="center"/>
          </w:tcPr>
          <w:p>
            <w:pPr>
              <w:spacing w:before="40" w:after="40" w:line="240" w:lineRule="auto"/>
              <w:ind w:firstLine="0"/>
              <w:jc w:val="left"/>
            </w:pPr>
            <w:r>
              <w:rPr>
                <w:rFonts w:ascii="Times New Roman" w:hAnsi="Times New Roman" w:eastAsia="Times New Roman" w:cs="Times New Roman"/>
                <w:b w:val="0"/>
                <w:sz w:val="26"/>
              </w:rPr>
              <w:t>Hoạt tính giảm mạnh khi thêm chất hoạt động bề mặt; DLS phát hiện hạt keo</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Giả tượng do kết tập</w:t>
            </w:r>
          </w:p>
        </w:tc>
        <w:tc>
          <w:tcPr>
            <w:tcW w:type="dxa" w:w="1871"/>
            <w:vAlign w:val="center"/>
          </w:tcPr>
          <w:p>
            <w:pPr>
              <w:spacing w:before="40" w:after="40" w:line="240" w:lineRule="auto"/>
              <w:ind w:firstLine="0"/>
              <w:jc w:val="left"/>
            </w:pPr>
            <w:r>
              <w:rPr>
                <w:rFonts w:ascii="Times New Roman" w:hAnsi="Times New Roman" w:eastAsia="Times New Roman" w:cs="Times New Roman"/>
                <w:b w:val="0"/>
                <w:sz w:val="26"/>
              </w:rPr>
              <w:t>Không phải chất ức chế đặc hiệu</w:t>
            </w:r>
          </w:p>
        </w:tc>
      </w:tr>
      <w:tr>
        <w:trPr>
          <w:cantSplit/>
        </w:trPr>
        <w:tc>
          <w:tcPr>
            <w:tcW w:type="dxa" w:w="1474"/>
            <w:vAlign w:val="center"/>
          </w:tcPr>
          <w:p>
            <w:pPr>
              <w:spacing w:before="40" w:after="40" w:line="240" w:lineRule="auto"/>
              <w:ind w:firstLine="0"/>
              <w:jc w:val="left"/>
            </w:pPr>
            <w:r>
              <w:rPr>
                <w:rFonts w:ascii="Times New Roman" w:hAnsi="Times New Roman" w:eastAsia="Times New Roman" w:cs="Times New Roman"/>
                <w:b/>
                <w:sz w:val="26"/>
              </w:rPr>
              <w:t>B</w:t>
            </w:r>
          </w:p>
        </w:tc>
        <w:tc>
          <w:tcPr>
            <w:tcW w:type="dxa" w:w="3061"/>
            <w:vAlign w:val="center"/>
          </w:tcPr>
          <w:p>
            <w:pPr>
              <w:spacing w:before="40" w:after="40" w:line="240" w:lineRule="auto"/>
              <w:ind w:firstLine="0"/>
              <w:jc w:val="left"/>
            </w:pPr>
            <w:r>
              <w:rPr>
                <w:rFonts w:ascii="Times New Roman" w:hAnsi="Times New Roman" w:eastAsia="Times New Roman" w:cs="Times New Roman"/>
                <w:b w:val="0"/>
                <w:sz w:val="26"/>
              </w:rPr>
              <w:t>Hoạt tính bền với chất hoạt động bề mặt nhưng không có trên α-glucosidase ruột chuột</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Hiện tượng gắn với mô hình nấm men</w:t>
            </w:r>
          </w:p>
        </w:tc>
        <w:tc>
          <w:tcPr>
            <w:tcW w:type="dxa" w:w="1871"/>
            <w:vAlign w:val="center"/>
          </w:tcPr>
          <w:p>
            <w:pPr>
              <w:spacing w:before="40" w:after="40" w:line="240" w:lineRule="auto"/>
              <w:ind w:firstLine="0"/>
              <w:jc w:val="left"/>
            </w:pPr>
            <w:r>
              <w:rPr>
                <w:rFonts w:ascii="Times New Roman" w:hAnsi="Times New Roman" w:eastAsia="Times New Roman" w:cs="Times New Roman"/>
                <w:b w:val="0"/>
                <w:sz w:val="26"/>
              </w:rPr>
              <w:t>Chỉ ức chế enzyme nấm men</w:t>
            </w:r>
          </w:p>
        </w:tc>
      </w:tr>
      <w:tr>
        <w:trPr>
          <w:cantSplit/>
        </w:trPr>
        <w:tc>
          <w:tcPr>
            <w:tcW w:type="dxa" w:w="1474"/>
            <w:vAlign w:val="center"/>
          </w:tcPr>
          <w:p>
            <w:pPr>
              <w:spacing w:before="40" w:after="40" w:line="240" w:lineRule="auto"/>
              <w:ind w:firstLine="0"/>
              <w:jc w:val="left"/>
            </w:pPr>
            <w:r>
              <w:rPr>
                <w:rFonts w:ascii="Times New Roman" w:hAnsi="Times New Roman" w:eastAsia="Times New Roman" w:cs="Times New Roman"/>
                <w:b/>
                <w:sz w:val="26"/>
              </w:rPr>
              <w:t>C</w:t>
            </w:r>
          </w:p>
        </w:tc>
        <w:tc>
          <w:tcPr>
            <w:tcW w:type="dxa" w:w="3061"/>
            <w:vAlign w:val="center"/>
          </w:tcPr>
          <w:p>
            <w:pPr>
              <w:spacing w:before="40" w:after="40" w:line="240" w:lineRule="auto"/>
              <w:ind w:firstLine="0"/>
              <w:jc w:val="left"/>
            </w:pPr>
            <w:r>
              <w:rPr>
                <w:rFonts w:ascii="Times New Roman" w:hAnsi="Times New Roman" w:eastAsia="Times New Roman" w:cs="Times New Roman"/>
                <w:b w:val="0"/>
                <w:sz w:val="26"/>
              </w:rPr>
              <w:t>Hoạt tính bền, có trên enzyme động vật có vú, ức chế cạnh tranh, SAR nhất quán</w:t>
            </w:r>
          </w:p>
        </w:tc>
        <w:tc>
          <w:tcPr>
            <w:tcW w:type="dxa" w:w="2381"/>
            <w:vAlign w:val="center"/>
          </w:tcPr>
          <w:p>
            <w:pPr>
              <w:spacing w:before="40" w:after="40" w:line="240" w:lineRule="auto"/>
              <w:ind w:firstLine="0"/>
              <w:jc w:val="left"/>
            </w:pPr>
            <w:r>
              <w:rPr>
                <w:rFonts w:ascii="Times New Roman" w:hAnsi="Times New Roman" w:eastAsia="Times New Roman" w:cs="Times New Roman"/>
                <w:b w:val="0"/>
                <w:sz w:val="26"/>
              </w:rPr>
              <w:t>Tiếp cận được bản chất cấp hai – cấp ba</w:t>
            </w:r>
          </w:p>
        </w:tc>
        <w:tc>
          <w:tcPr>
            <w:tcW w:type="dxa" w:w="1871"/>
            <w:vAlign w:val="center"/>
          </w:tcPr>
          <w:p>
            <w:pPr>
              <w:spacing w:before="40" w:after="40" w:line="240" w:lineRule="auto"/>
              <w:ind w:firstLine="0"/>
              <w:jc w:val="left"/>
            </w:pPr>
            <w:r>
              <w:rPr>
                <w:rFonts w:ascii="Times New Roman" w:hAnsi="Times New Roman" w:eastAsia="Times New Roman" w:cs="Times New Roman"/>
                <w:b w:val="0"/>
                <w:sz w:val="26"/>
              </w:rPr>
              <w:t xml:space="preserve">Chất ức chế đặc hiệu, cần đánh giá tiếp </w:t>
            </w:r>
            <w:r>
              <w:rPr>
                <w:rFonts w:ascii="Times New Roman" w:hAnsi="Times New Roman" w:eastAsia="Times New Roman" w:cs="Times New Roman"/>
                <w:b w:val="0"/>
                <w:i/>
                <w:sz w:val="26"/>
              </w:rPr>
              <w:t>in vivo</w:t>
            </w:r>
          </w:p>
        </w:tc>
      </w:tr>
    </w:tbl>
    <w:p>
      <w:pPr>
        <w:spacing w:before="80" w:after="160"/>
        <w:ind w:firstLine="0"/>
        <w:jc w:val="left"/>
      </w:pPr>
      <w:r>
        <w:rPr>
          <w:rFonts w:ascii="Times New Roman" w:hAnsi="Times New Roman" w:eastAsia="Times New Roman" w:cs="Times New Roman"/>
          <w:i/>
        </w:rPr>
        <w:t>Ghi chú: Tình huống giả định, dùng để minh họa phương pháp luận; không phải dữ liệu thực nghiệm.</w:t>
      </w:r>
    </w:p>
    <w:p>
      <w:pPr>
        <w:ind w:firstLine="567"/>
        <w:jc w:val="both"/>
      </w:pPr>
      <w:r>
        <w:rPr>
          <w:rFonts w:ascii="Times New Roman" w:hAnsi="Times New Roman" w:eastAsia="Times New Roman" w:cs="Times New Roman"/>
        </w:rPr>
        <w:t xml:space="preserve">Điểm quan trọng của tình huống này không nằm ở kịch bản nào sẽ xảy ra, mà ở chỗ trong cả ba kịch bản, kết luận cuối cùng đều khác với kết luận ban đầu. Ở kịch bản A, cái tưởng là bản chất hóa ra là giả tượng. Ở kịch bản B, hiện tượng là có thật nhưng chỉ đúng trong một điều kiện cụ thể, và việc mở rộng nó sang điều kiện khác là vi phạm tính cụ thể của chân lý. Ở kịch bản C, nhận thức đã tiến đến bản chất cấp hai – cấp ba, nhưng kết luận vẫn phải giới hạn ở phạm vi đã được kiểm chứng và để ngỏ bước kiểm nghiệm </w:t>
      </w:r>
      <w:r>
        <w:rPr>
          <w:rFonts w:ascii="Times New Roman" w:hAnsi="Times New Roman" w:eastAsia="Times New Roman" w:cs="Times New Roman"/>
          <w:i/>
        </w:rPr>
        <w:t>in vivo</w:t>
      </w:r>
      <w:r>
        <w:rPr>
          <w:rFonts w:ascii="Times New Roman" w:hAnsi="Times New Roman" w:eastAsia="Times New Roman" w:cs="Times New Roman"/>
        </w:rPr>
        <w:t>. Như vậy, quy trình không làm giảm giá trị của nghiên cứu hợp chất thiên nhiên, mà làm cho giá trị ấy được xác lập trên cơ sở khách quan.</w:t>
      </w:r>
    </w:p>
    <w:p>
      <w:pPr>
        <w:pStyle w:val="Heading2"/>
      </w:pPr>
      <w:r>
        <w:rPr>
          <w:rFonts w:ascii="Times New Roman" w:hAnsi="Times New Roman" w:eastAsia="Times New Roman" w:cs="Times New Roman"/>
        </w:rPr>
        <w:t>4.7. Một số kiến nghị</w:t>
      </w:r>
    </w:p>
    <w:p>
      <w:pPr>
        <w:ind w:firstLine="567"/>
        <w:jc w:val="both"/>
      </w:pPr>
      <w:r>
        <w:rPr>
          <w:rFonts w:ascii="Times New Roman" w:hAnsi="Times New Roman" w:eastAsia="Times New Roman" w:cs="Times New Roman"/>
        </w:rPr>
        <w:t>Từ những phân tích trên, học viên đề xuất một số kiến nghị đối với hoạt động nghiên cứu và đào tạo trong lĩnh vực hóa học hợp chất thiên nhiên.</w:t>
      </w:r>
    </w:p>
    <w:p>
      <w:pPr>
        <w:ind w:firstLine="567"/>
        <w:jc w:val="both"/>
      </w:pPr>
      <w:r>
        <w:rPr>
          <w:rFonts w:ascii="Times New Roman" w:hAnsi="Times New Roman" w:eastAsia="Times New Roman" w:cs="Times New Roman"/>
          <w:i/>
        </w:rPr>
        <w:t>Đối với người nghiên cứu</w:t>
      </w:r>
      <w:r>
        <w:rPr>
          <w:rFonts w:ascii="Times New Roman" w:hAnsi="Times New Roman" w:eastAsia="Times New Roman" w:cs="Times New Roman"/>
        </w:rPr>
        <w:t>, cần xây dựng quy trình thao tác chuẩn cho các phép thử ức chế enzyme, trong đó các phép đối chứng loại trừ giả tượng (mẫu trắng không enzyme, chất hoạt động bề mặt, enzyme đối chứng) là bắt buộc chứ không phải tùy chọn; báo cáo đầy đủ điều kiện thử nghiệm và độ tinh khiết của mẫu theo tinh thần của hướng dẫn MIABE [38]; phân biệt rõ trong văn bản công bố giữa các thuật ngữ mô tả hiện tượng (“làm giảm tín hiệu”, “ức chế trong điều kiện thử nghiệm”) và các thuật ngữ khẳng định bản chất (“chất ức chế đặc hiệu”, “cơ chế cạnh tranh”).</w:t>
      </w:r>
    </w:p>
    <w:p>
      <w:pPr>
        <w:ind w:firstLine="567"/>
        <w:jc w:val="both"/>
      </w:pPr>
      <w:r>
        <w:rPr>
          <w:rFonts w:ascii="Times New Roman" w:hAnsi="Times New Roman" w:eastAsia="Times New Roman" w:cs="Times New Roman"/>
          <w:i/>
        </w:rPr>
        <w:t>Đối với nhóm nghiên cứu và cơ sở đào tạo</w:t>
      </w:r>
      <w:r>
        <w:rPr>
          <w:rFonts w:ascii="Times New Roman" w:hAnsi="Times New Roman" w:eastAsia="Times New Roman" w:cs="Times New Roman"/>
        </w:rPr>
        <w:t>, cần kết hợp phân lập với bán tổng hợp dẫn xuất để có thể khảo sát quan hệ cấu trúc – hoạt tính, qua đó tiến từ hiện tượng riêng lẻ đến cái chung; ưu tiên sử dụng enzyme có nguồn gốc tương đồng với đích ở người khi kết luận hướng tới ứng dụng điều trị; đưa nội dung về giả tượng hoạt tính và về vai trò của mô hình trong nhận thức vào chương trình đào tạo, gắn với môn Triết học, để học viên nhận thức được cơ sở phương pháp luận của các yêu cầu kỹ thuật.</w:t>
      </w:r>
    </w:p>
    <w:p>
      <w:pPr>
        <w:ind w:firstLine="567"/>
        <w:jc w:val="both"/>
      </w:pPr>
      <w:r>
        <w:rPr>
          <w:rFonts w:ascii="Times New Roman" w:hAnsi="Times New Roman" w:eastAsia="Times New Roman" w:cs="Times New Roman"/>
          <w:i/>
        </w:rPr>
        <w:t>Đối với hoạt động phản biện và biên tập</w:t>
      </w:r>
      <w:r>
        <w:rPr>
          <w:rFonts w:ascii="Times New Roman" w:hAnsi="Times New Roman" w:eastAsia="Times New Roman" w:cs="Times New Roman"/>
        </w:rPr>
        <w:t>, cần yêu cầu bằng chứng từ ít nhất hai phép thử độc lập đối với những hợp chất có nguy cơ gây nhiễu, như các tạp chí của Hiệp hội Hóa học Hoa Kỳ đã áp dụng [6], đồng thời tránh loại bỏ máy móc các hợp chất chỉ dựa trên cảnh báo cấu trúc [15]. Những kiến nghị này thể hiện quan điểm cho rằng việc khắc phục sai lầm nhận thức đòi hỏi sự thống nhất giữa nỗ lực cá nhân và chuẩn mực tập thể của cộng đồng khoa học.</w:t>
      </w:r>
    </w:p>
    <w:p>
      <w:pPr>
        <w:pStyle w:val="Heading2"/>
      </w:pPr>
      <w:r>
        <w:rPr>
          <w:rFonts w:ascii="Times New Roman" w:hAnsi="Times New Roman" w:eastAsia="Times New Roman" w:cs="Times New Roman"/>
        </w:rPr>
        <w:t>4.8. Ý nghĩa đối với việc rèn luyện tư duy biện chứng của người nghiên cứu</w:t>
      </w:r>
    </w:p>
    <w:p>
      <w:pPr>
        <w:ind w:firstLine="567"/>
        <w:jc w:val="both"/>
      </w:pPr>
      <w:r>
        <w:rPr>
          <w:rFonts w:ascii="Times New Roman" w:hAnsi="Times New Roman" w:eastAsia="Times New Roman" w:cs="Times New Roman"/>
        </w:rPr>
        <w:t>Các nguyên tắc và quy trình nêu trên chỉ phát huy tác dụng khi được thực hiện bởi những người nghiên cứu có tư duy biện chứng. Một quy trình, dù chặt chẽ đến đâu, nếu được thực hiện một cách hình thức, cũng có thể trở thành một khuôn mẫu giáo điều mới. Chẳng hạn, người nghiên cứu có thể thực hiện đủ các phép đối chứng nhưng vẫn diễn giải kết quả theo ý muốn, hoặc có thể coi việc hoàn thành các cấp độ của quy trình là mục đích tự thân, thay vì là phương tiện để nhận thức bản chất.</w:t>
      </w:r>
    </w:p>
    <w:p>
      <w:pPr>
        <w:ind w:firstLine="567"/>
        <w:jc w:val="both"/>
      </w:pPr>
      <w:r>
        <w:rPr>
          <w:rFonts w:ascii="Times New Roman" w:hAnsi="Times New Roman" w:eastAsia="Times New Roman" w:cs="Times New Roman"/>
        </w:rPr>
        <w:t xml:space="preserve">Tư duy biện chứng, trong trường hợp này, thể hiện ở ba năng lực. </w:t>
      </w:r>
      <w:r>
        <w:rPr>
          <w:rFonts w:ascii="Times New Roman" w:hAnsi="Times New Roman" w:eastAsia="Times New Roman" w:cs="Times New Roman"/>
          <w:i/>
        </w:rPr>
        <w:t>Một là</w:t>
      </w:r>
      <w:r>
        <w:rPr>
          <w:rFonts w:ascii="Times New Roman" w:hAnsi="Times New Roman" w:eastAsia="Times New Roman" w:cs="Times New Roman"/>
        </w:rPr>
        <w:t xml:space="preserve">, năng lực đặt câu hỏi về điều kiện của hiện tượng: trước mỗi kết quả, người nghiên cứu cần hỏi kết quả đó được sinh ra trong những điều kiện nào và nếu điều kiện thay đổi thì nó còn tồn tại hay không. </w:t>
      </w:r>
      <w:r>
        <w:rPr>
          <w:rFonts w:ascii="Times New Roman" w:hAnsi="Times New Roman" w:eastAsia="Times New Roman" w:cs="Times New Roman"/>
          <w:i/>
        </w:rPr>
        <w:t>Hai là</w:t>
      </w:r>
      <w:r>
        <w:rPr>
          <w:rFonts w:ascii="Times New Roman" w:hAnsi="Times New Roman" w:eastAsia="Times New Roman" w:cs="Times New Roman"/>
        </w:rPr>
        <w:t xml:space="preserve">, năng lực tự phê phán: coi giả thuyết của chính mình là đối tượng cần được kiểm chứng, chủ động tìm kiếm những dữ kiện có thể bác bỏ nó, và thừa nhận giới hạn của kết luận. </w:t>
      </w:r>
      <w:r>
        <w:rPr>
          <w:rFonts w:ascii="Times New Roman" w:hAnsi="Times New Roman" w:eastAsia="Times New Roman" w:cs="Times New Roman"/>
          <w:i/>
        </w:rPr>
        <w:t>Ba là</w:t>
      </w:r>
      <w:r>
        <w:rPr>
          <w:rFonts w:ascii="Times New Roman" w:hAnsi="Times New Roman" w:eastAsia="Times New Roman" w:cs="Times New Roman"/>
        </w:rPr>
        <w:t>, năng lực nhìn nhận tri thức trong sự vận động: hiểu rằng mỗi kết luận là một chân lý tương đối, vừa có giá trị trong phạm vi của nó, vừa là tiền đề cho bước nhận thức tiếp theo.</w:t>
      </w:r>
    </w:p>
    <w:p>
      <w:pPr>
        <w:ind w:firstLine="567"/>
        <w:jc w:val="both"/>
      </w:pPr>
      <w:r>
        <w:rPr>
          <w:rFonts w:ascii="Times New Roman" w:hAnsi="Times New Roman" w:eastAsia="Times New Roman" w:cs="Times New Roman"/>
        </w:rPr>
        <w:t>Việc học tập triết học trong chương trình đào tạo sau đại học vì vậy không chỉ nhằm trang bị kiến thức lý luận chung, mà còn nhằm hình thành những năng lực tư duy đó. Khi được gắn với những vấn đề cụ thể của chuyên ngành, như vấn đề giả tượng hoạt tính trong nghiên cứu hợp chất thiên nhiên, các phạm trù của phép biện chứng duy vật trở thành công cụ trực tiếp của hoạt động nghiên cứu, đúng với vai trò phương pháp luận của triết học đối với các khoa học cụ thể.</w:t>
      </w:r>
    </w:p>
    <w:p>
      <w:pPr>
        <w:keepNext/>
        <w:spacing w:before="120" w:after="60"/>
        <w:ind w:firstLine="0"/>
        <w:jc w:val="left"/>
      </w:pPr>
      <w:r>
        <w:rPr>
          <w:rFonts w:ascii="Times New Roman" w:hAnsi="Times New Roman" w:eastAsia="Times New Roman" w:cs="Times New Roman"/>
          <w:b/>
        </w:rPr>
        <w:t>Tiểu kết Chương 4</w:t>
      </w:r>
    </w:p>
    <w:p>
      <w:pPr>
        <w:ind w:firstLine="567"/>
        <w:jc w:val="both"/>
      </w:pPr>
      <w:r>
        <w:rPr>
          <w:rFonts w:ascii="Times New Roman" w:hAnsi="Times New Roman" w:eastAsia="Times New Roman" w:cs="Times New Roman"/>
        </w:rPr>
        <w:t>Chương 4 đã chuyển bốn yêu cầu phương pháp luận của cặp phạm trù bản chất và hiện tượng thành bốn nguyên tắc cho hoạt động đánh giá hoạt tính ức chế enzyme, gắn với các nguyên tắc khách quan, toàn diện, phát triển, lịch sử – cụ thể và thống nhất giữa lý luận và thực tiễn. Các nguyên tắc này được cụ thể hóa thành quy trình sáu cấp độ, với yêu cầu cốt lõi là mức độ khẳng định trong kết luận phải tương xứng với cấp độ bằng chứng đạt được. Tình huống minh họa cho thấy quy trình giúp tránh cả chủ nghĩa kinh nghiệm hẹp hòi lẫn chủ nghĩa giáo điều trong diễn giải kết quả.</w:t>
      </w:r>
    </w:p>
    <w:p>
      <w:pPr>
        <w:pStyle w:val="Heading1"/>
        <w:pageBreakBefore/>
      </w:pPr>
      <w:r>
        <w:rPr>
          <w:rFonts w:ascii="Times New Roman" w:hAnsi="Times New Roman" w:eastAsia="Times New Roman" w:cs="Times New Roman"/>
        </w:rPr>
        <w:t>KẾT LUẬN</w:t>
      </w:r>
    </w:p>
    <w:p>
      <w:pPr>
        <w:ind w:firstLine="567"/>
        <w:jc w:val="both"/>
      </w:pPr>
      <w:r>
        <w:rPr>
          <w:rFonts w:ascii="Times New Roman" w:hAnsi="Times New Roman" w:eastAsia="Times New Roman" w:cs="Times New Roman"/>
        </w:rPr>
        <w:t>Cặp phạm trù bản chất và hiện tượng phản ánh mối quan hệ giữa mặt bên trong, tất nhiên, tương đối ổn định và mặt bên ngoài, biến đổi, có thể quan sát trực tiếp của sự vật. Lịch sử triết học cho thấy quan hệ này đã được giải quyết theo những lập trường khác nhau, từ sự phân biệt trực quan của triết học cổ đại, qua sự tách rời “hiện tượng” và “vật tự nó” của Cantơ, đến biện chứng duy tâm của Hêghen. Chủ nghĩa duy vật biện chứng khẳng định bản chất và hiện tượng đều tồn tại khách quan, thống nhất và đối lập với nhau; hiện tượng có thể biểu hiện bản chất dưới dạng xuyên tạc, tức là giả tượng; bản chất có nhiều cấp độ; và ranh giới giữa bản chất và hiện tượng là ranh giới lịch sử giữa cái đã biết và cái chưa biết, được dịch chuyển bằng thực tiễn. Từ đó, phép biện chứng duy vật đặt ra yêu cầu nhận thức phải xuất phát từ hiện tượng, phân biệt hiện tượng với giả tượng, không dừng lại ở hiện tượng mà không ngừng đi vào những cấp độ bản chất sâu hơn, và lấy thực tiễn làm tiêu chuẩn kiểm nghiệm. Cặp phạm trù này liên hệ hữu cơ với các cặp phạm trù khác và với ba quy luật cơ bản của phép biện chứng, nên chỉ có thể được vận dụng đúng khi được đặt trong toàn bộ hệ thống của phép biện chứng duy vật.</w:t>
      </w:r>
    </w:p>
    <w:p>
      <w:pPr>
        <w:ind w:firstLine="567"/>
        <w:jc w:val="both"/>
      </w:pPr>
      <w:r>
        <w:rPr>
          <w:rFonts w:ascii="Times New Roman" w:hAnsi="Times New Roman" w:eastAsia="Times New Roman" w:cs="Times New Roman"/>
        </w:rPr>
        <w:t>Phân tích năm trường hợp của lịch sử hóa học (sự cháy, tính tuần hoàn của các nguyên tố, các thuyết acid – base, đồng phân và tính bất đối, động học enzyme) cho thấy nhận thức hóa học đã vận động đúng theo con đường mà phép biện chứng duy vật khái quát: từ hiện tượng đến bản chất, từ bản chất cấp thấp đến bản chất cấp cao; giả tượng được vượt qua bằng việc kiểm soát điều kiện biểu hiện; mâu thuẫn giữa lý thuyết và dữ kiện là động lực phát triển; và các lý thuyết sau phủ định các lý thuyết trước theo kiểu kế thừa. Trường hợp thalidomide cho thấy việc dừng lại ở một cấp độ bản chất chưa đầy đủ có thể dẫn đến những hậu quả thực tiễn nghiêm trọng.</w:t>
      </w:r>
    </w:p>
    <w:p>
      <w:pPr>
        <w:ind w:firstLine="567"/>
        <w:jc w:val="both"/>
      </w:pPr>
      <w:r>
        <w:rPr>
          <w:rFonts w:ascii="Times New Roman" w:hAnsi="Times New Roman" w:eastAsia="Times New Roman" w:cs="Times New Roman"/>
        </w:rPr>
        <w:t>Vận dụng vào đánh giá hoạt tính ức chế enzyme của hợp chất thiên nhiên, tiểu luận đã chỉ ra rằng giá trị IC</w:t>
      </w:r>
      <w:r>
        <w:rPr>
          <w:rFonts w:ascii="Times New Roman" w:hAnsi="Times New Roman" w:eastAsia="Times New Roman" w:cs="Times New Roman"/>
          <w:vertAlign w:val="subscript"/>
        </w:rPr>
        <w:t>50</w:t>
      </w:r>
      <w:r>
        <w:rPr>
          <w:rFonts w:ascii="Times New Roman" w:hAnsi="Times New Roman" w:eastAsia="Times New Roman" w:cs="Times New Roman"/>
        </w:rPr>
        <w:t xml:space="preserve"> và điểm số docking thuộc về hiện tượng, trong khi bản chất cần nhận thức là tương tác đặc hiệu giữa phân tử và đích sinh học cùng khả năng tương tác đó diễn ra trong cơ thể. Các dạng giả tượng phổ biến gồm ức chế do kết tập keo, hợp chất gây nhiễu đa phép thử, sự không tương đồng giữa enzyme mô hình và đích sinh học, tạp chất, và việc tuyệt đối hóa kết quả mô phỏng. Tỷ lệ tái lập thấp của dữ liệu tiền lâm sàng là biểu hiện ở quy mô lớn của việc đồng nhất hiện tượng với bản chất. Nguyên nhân chủ quan của các sai lệch này là phương pháp tư duy siêu hình, biểu hiện dưới hai dạng đối lập là chủ nghĩa kinh nghiệm hẹp hòi và chủ nghĩa giáo điều; bên cạnh đó là những điều kiện xã hội của hoạt động nghiên cứu.</w:t>
      </w:r>
    </w:p>
    <w:p>
      <w:pPr>
        <w:ind w:firstLine="567"/>
        <w:jc w:val="both"/>
      </w:pPr>
      <w:r>
        <w:rPr>
          <w:rFonts w:ascii="Times New Roman" w:hAnsi="Times New Roman" w:eastAsia="Times New Roman" w:cs="Times New Roman"/>
        </w:rPr>
        <w:t>Trên cơ sở đó, tiểu luận đề xuất bốn nguyên tắc: xuất phát từ hiện tượng được ghi nhận đầy đủ và có kiểm soát; phân biệt hiện tượng với giả tượng bằng các thí nghiệm trực giao; đi từ bản chất cấp một đến bản chất sâu hơn thông qua động học enzyme, đo liên kết trực tiếp và quan hệ cấu trúc – hoạt tính; xem xét hiện tượng trong điều kiện lịch sử – cụ thể và lấy thực tiễn làm tiêu chuẩn. Các nguyên tắc này là sự cụ thể hóa của các nguyên tắc phương pháp luận chung của phép biện chứng duy vật và được thể hiện thành quy trình sáu cấp độ, với yêu cầu cốt lõi là mức độ khẳng định trong kết luận phải tương xứng với cấp độ bằng chứng đạt được. Việc vận dụng cũng đòi hỏi tránh hai khuynh hướng cực đoan: chấp nhận mọi kết quả dương tính như biểu hiện trực tiếp của bản chất, và loại bỏ máy móc các hợp chất chỉ dựa trên dấu hiệu cấu trúc bên ngoài.</w:t>
      </w:r>
    </w:p>
    <w:p>
      <w:pPr>
        <w:ind w:firstLine="567"/>
        <w:jc w:val="both"/>
      </w:pPr>
      <w:r>
        <w:rPr>
          <w:rFonts w:ascii="Times New Roman" w:hAnsi="Times New Roman" w:eastAsia="Times New Roman" w:cs="Times New Roman"/>
        </w:rPr>
        <w:t xml:space="preserve">Những kết quả chính của tiểu luận có thể được tóm tắt ở ba phương diện. </w:t>
      </w:r>
      <w:r>
        <w:rPr>
          <w:rFonts w:ascii="Times New Roman" w:hAnsi="Times New Roman" w:eastAsia="Times New Roman" w:cs="Times New Roman"/>
          <w:i/>
        </w:rPr>
        <w:t>Về lý luận</w:t>
      </w:r>
      <w:r>
        <w:rPr>
          <w:rFonts w:ascii="Times New Roman" w:hAnsi="Times New Roman" w:eastAsia="Times New Roman" w:cs="Times New Roman"/>
        </w:rPr>
        <w:t xml:space="preserve">, tiểu luận đã làm rõ ba luận điểm có ý nghĩa đối với nhận thức trong khoa học thực nghiệm: ranh giới giữa bản chất và hiện tượng là ranh giới lịch sử, được dịch chuyển bằng thực tiễn và bằng sự phát triển của phương tiện nhận thức; kết quả đo là hiện tượng của một quan hệ giữa đối tượng, phương tiện đo và điều kiện đo, chứ không đơn thuần là thuộc tính của đối tượng; giả tượng chỉ có thể được vượt qua bằng việc làm rõ và thay đổi những điều kiện đã sinh ra nó. </w:t>
      </w:r>
      <w:r>
        <w:rPr>
          <w:rFonts w:ascii="Times New Roman" w:hAnsi="Times New Roman" w:eastAsia="Times New Roman" w:cs="Times New Roman"/>
          <w:i/>
        </w:rPr>
        <w:t>Về phương pháp</w:t>
      </w:r>
      <w:r>
        <w:rPr>
          <w:rFonts w:ascii="Times New Roman" w:hAnsi="Times New Roman" w:eastAsia="Times New Roman" w:cs="Times New Roman"/>
        </w:rPr>
        <w:t xml:space="preserve">, tiểu luận đã vận dụng nguyên tắc thống nhất giữa lôgíc và lịch sử để đối chiếu con đường nhận thức của lịch sử hóa học với con đường nhận thức trong một công trình nghiên cứu cụ thể, và đã chuyển các yêu cầu phương pháp luận chung thành những nguyên tắc có thể kiểm tra được bằng thực nghiệm. </w:t>
      </w:r>
      <w:r>
        <w:rPr>
          <w:rFonts w:ascii="Times New Roman" w:hAnsi="Times New Roman" w:eastAsia="Times New Roman" w:cs="Times New Roman"/>
          <w:i/>
        </w:rPr>
        <w:t>Về thực tiễn</w:t>
      </w:r>
      <w:r>
        <w:rPr>
          <w:rFonts w:ascii="Times New Roman" w:hAnsi="Times New Roman" w:eastAsia="Times New Roman" w:cs="Times New Roman"/>
        </w:rPr>
        <w:t>, quy trình sáu cấp độ, tình huống minh họa và các kiến nghị có thể được sử dụng trực tiếp trong thiết kế thí nghiệm, trình bày kết quả và phản biện công bố trong lĩnh vực hóa học hợp chất thiên nhiên.</w:t>
      </w:r>
    </w:p>
    <w:p>
      <w:pPr>
        <w:ind w:firstLine="567"/>
        <w:jc w:val="both"/>
      </w:pPr>
      <w:r>
        <w:rPr>
          <w:rFonts w:ascii="Times New Roman" w:hAnsi="Times New Roman" w:eastAsia="Times New Roman" w:cs="Times New Roman"/>
        </w:rPr>
        <w:t>Kết quả của tiểu luận khẳng định vai trò phương pháp luận của triết học Mác – Lênin đối với khoa học tự nhiên: triết học không cung cấp các phép thử cụ thể, nhưng cung cấp cơ sở để hiểu vì sao các phép thử ấy là cần thiết, để kết hợp chúng thành một hệ thống, và để phát biểu kết luận ở đúng mức độ mà bằng chứng cho phép. Mối quan hệ giữa triết học và khoa học tự nhiên được thể hiện ở đây theo cả hai chiều: các dữ kiện của lịch sử hóa học và của nghiên cứu hóa dược hiện đại làm phong phú thêm nội dung của cặp phạm trù bản chất và hiện tượng, còn cặp phạm trù này cung cấp một khung phương pháp luận thống nhất để lý giải và sắp xếp các biện pháp kỹ thuật vốn được đề xuất riêng lẻ. Đối với bản thân học viên, tiểu luận có ý nghĩa định hướng trực tiếp cho việc thiết kế thí nghiệm trong nghiên cứu hóa học hợp chất thiên nhiên: không dừng lại ở việc báo cáo một giá trị IC</w:t>
      </w:r>
      <w:r>
        <w:rPr>
          <w:rFonts w:ascii="Times New Roman" w:hAnsi="Times New Roman" w:eastAsia="Times New Roman" w:cs="Times New Roman"/>
          <w:vertAlign w:val="subscript"/>
        </w:rPr>
        <w:t>50</w:t>
      </w:r>
      <w:r>
        <w:rPr>
          <w:rFonts w:ascii="Times New Roman" w:hAnsi="Times New Roman" w:eastAsia="Times New Roman" w:cs="Times New Roman"/>
        </w:rPr>
        <w:t>, mà xây dựng hệ thống bằng chứng nhiều cấp độ, kết hợp phân lập với bán tổng hợp dẫn xuất để khảo sát quan hệ cấu trúc – hoạt tính, và kiểm chứng trên mô hình phù hợp với đích sinh học.</w:t>
      </w:r>
    </w:p>
    <w:p>
      <w:pPr>
        <w:ind w:firstLine="567"/>
        <w:jc w:val="both"/>
      </w:pPr>
      <w:r>
        <w:rPr>
          <w:rFonts w:ascii="Times New Roman" w:hAnsi="Times New Roman" w:eastAsia="Times New Roman" w:cs="Times New Roman"/>
        </w:rPr>
        <w:t xml:space="preserve">Tiểu luận còn một số giới hạn. Phạm vi phân tích mới dừng ở các phép thử ức chế enzyme </w:t>
      </w:r>
      <w:r>
        <w:rPr>
          <w:rFonts w:ascii="Times New Roman" w:hAnsi="Times New Roman" w:eastAsia="Times New Roman" w:cs="Times New Roman"/>
          <w:i/>
        </w:rPr>
        <w:t>in vitro</w:t>
      </w:r>
      <w:r>
        <w:rPr>
          <w:rFonts w:ascii="Times New Roman" w:hAnsi="Times New Roman" w:eastAsia="Times New Roman" w:cs="Times New Roman"/>
        </w:rPr>
        <w:t>; các trường hợp lịch sử hóa học được chọn nhằm minh họa, chưa bao quát toàn bộ lịch sử của ngành; thực trạng công bố trong nước chưa được khảo sát định lượng. Việc mở rộng phân tích sang các phép thử trên tế bào, sang các cặp phạm trù khác như khả năng và hiện thực, và khảo sát có hệ thống các công bố về hoạt tính sinh học của hợp chất thiên nhiên ở Việt Nam là những hướng có thể tiếp tục. Ngoài ra, các nguyên tắc và quy trình được đề xuất cần được kiểm nghiệm thêm qua thực tiễn áp dụng trong các nhóm nghiên cứu, đúng với luận điểm thực tiễn là tiêu chuẩn của chân lý; bản thân quy trình này cũng là một tri thức tương đối, cần được bổ sung và điều chỉnh cùng với sự phát triển của nhận thức khoa học.</w:t>
      </w:r>
    </w:p>
    <w:p>
      <w:pPr>
        <w:pStyle w:val="Heading1"/>
        <w:pageBreakBefore/>
      </w:pPr>
      <w:r>
        <w:rPr>
          <w:rFonts w:ascii="Times New Roman" w:hAnsi="Times New Roman" w:eastAsia="Times New Roman" w:cs="Times New Roman"/>
        </w:rPr>
        <w:t>DANH MỤC TÀI LIỆU THAM KHẢO</w:t>
      </w:r>
    </w:p>
    <w:p>
      <w:pPr>
        <w:keepNext/>
        <w:spacing w:before="120" w:after="60"/>
        <w:ind w:firstLine="0"/>
        <w:jc w:val="left"/>
      </w:pPr>
      <w:r>
        <w:rPr>
          <w:rFonts w:ascii="Times New Roman" w:hAnsi="Times New Roman" w:eastAsia="Times New Roman" w:cs="Times New Roman"/>
          <w:b/>
        </w:rPr>
        <w:t>Tài liệu tiếng Việt</w:t>
      </w:r>
    </w:p>
    <w:p>
      <w:pPr>
        <w:tabs>
          <w:tab w:pos="567" w:val="left"/>
        </w:tabs>
        <w:spacing w:after="80"/>
        <w:ind w:hanging="567" w:left="567"/>
        <w:jc w:val="both"/>
      </w:pPr>
      <w:r>
        <w:rPr>
          <w:rFonts w:ascii="Times New Roman" w:hAnsi="Times New Roman" w:eastAsia="Times New Roman" w:cs="Times New Roman"/>
        </w:rPr>
        <w:t>[1]</w:t>
        <w:tab/>
        <w:t xml:space="preserve">Bộ Giáo dục và Đào tạo (2015), </w:t>
      </w:r>
      <w:r>
        <w:rPr>
          <w:rFonts w:ascii="Times New Roman" w:hAnsi="Times New Roman" w:eastAsia="Times New Roman" w:cs="Times New Roman"/>
          <w:i/>
        </w:rPr>
        <w:t>Giáo trình Triết học (Dùng cho khối không chuyên ngành Triết học trình độ đào tạo thạc sĩ, tiến sĩ các ngành khoa học tự nhiên, công nghệ)</w:t>
      </w:r>
      <w:r>
        <w:rPr>
          <w:rFonts w:ascii="Times New Roman" w:hAnsi="Times New Roman" w:eastAsia="Times New Roman" w:cs="Times New Roman"/>
        </w:rPr>
        <w:t>, NXB Chính trị quốc gia – Sự thật, Hà Nội.</w:t>
      </w:r>
    </w:p>
    <w:p>
      <w:pPr>
        <w:tabs>
          <w:tab w:pos="567" w:val="left"/>
        </w:tabs>
        <w:spacing w:after="80"/>
        <w:ind w:hanging="567" w:left="567"/>
        <w:jc w:val="both"/>
      </w:pPr>
      <w:r>
        <w:rPr>
          <w:rFonts w:ascii="Times New Roman" w:hAnsi="Times New Roman" w:eastAsia="Times New Roman" w:cs="Times New Roman"/>
        </w:rPr>
        <w:t>[2]</w:t>
        <w:tab/>
        <w:t xml:space="preserve">Bộ Giáo dục và Đào tạo (2021), </w:t>
      </w:r>
      <w:r>
        <w:rPr>
          <w:rFonts w:ascii="Times New Roman" w:hAnsi="Times New Roman" w:eastAsia="Times New Roman" w:cs="Times New Roman"/>
          <w:i/>
        </w:rPr>
        <w:t>Giáo trình Triết học Mác – Lênin (Dành cho bậc đại học hệ không chuyên lý luận chính trị)</w:t>
      </w:r>
      <w:r>
        <w:rPr>
          <w:rFonts w:ascii="Times New Roman" w:hAnsi="Times New Roman" w:eastAsia="Times New Roman" w:cs="Times New Roman"/>
        </w:rPr>
        <w:t>, NXB Chính trị quốc gia Sự thật, Hà Nội.</w:t>
      </w:r>
    </w:p>
    <w:p>
      <w:pPr>
        <w:tabs>
          <w:tab w:pos="567" w:val="left"/>
        </w:tabs>
        <w:spacing w:after="80"/>
        <w:ind w:hanging="567" w:left="567"/>
        <w:jc w:val="both"/>
      </w:pPr>
      <w:r>
        <w:rPr>
          <w:rFonts w:ascii="Times New Roman" w:hAnsi="Times New Roman" w:eastAsia="Times New Roman" w:cs="Times New Roman"/>
        </w:rPr>
        <w:t>[3]</w:t>
        <w:tab/>
        <w:t xml:space="preserve">V.I. Lênin (2005), </w:t>
      </w:r>
      <w:r>
        <w:rPr>
          <w:rFonts w:ascii="Times New Roman" w:hAnsi="Times New Roman" w:eastAsia="Times New Roman" w:cs="Times New Roman"/>
          <w:i/>
        </w:rPr>
        <w:t>Toàn tập</w:t>
      </w:r>
      <w:r>
        <w:rPr>
          <w:rFonts w:ascii="Times New Roman" w:hAnsi="Times New Roman" w:eastAsia="Times New Roman" w:cs="Times New Roman"/>
        </w:rPr>
        <w:t>, tập 18 (Chủ nghĩa duy vật và chủ nghĩa kinh nghiệm phê phán), NXB Chính trị quốc gia, Hà Nội.</w:t>
      </w:r>
    </w:p>
    <w:p>
      <w:pPr>
        <w:tabs>
          <w:tab w:pos="567" w:val="left"/>
        </w:tabs>
        <w:spacing w:after="80"/>
        <w:ind w:hanging="567" w:left="567"/>
        <w:jc w:val="both"/>
      </w:pPr>
      <w:r>
        <w:rPr>
          <w:rFonts w:ascii="Times New Roman" w:hAnsi="Times New Roman" w:eastAsia="Times New Roman" w:cs="Times New Roman"/>
        </w:rPr>
        <w:t>[4]</w:t>
        <w:tab/>
        <w:t xml:space="preserve">V.I. Lênin (2006), </w:t>
      </w:r>
      <w:r>
        <w:rPr>
          <w:rFonts w:ascii="Times New Roman" w:hAnsi="Times New Roman" w:eastAsia="Times New Roman" w:cs="Times New Roman"/>
          <w:i/>
        </w:rPr>
        <w:t>Toàn tập</w:t>
      </w:r>
      <w:r>
        <w:rPr>
          <w:rFonts w:ascii="Times New Roman" w:hAnsi="Times New Roman" w:eastAsia="Times New Roman" w:cs="Times New Roman"/>
        </w:rPr>
        <w:t>, tập 29 (Bút ký triết học), NXB Chính trị quốc gia, Hà Nội.</w:t>
      </w:r>
    </w:p>
    <w:p>
      <w:pPr>
        <w:tabs>
          <w:tab w:pos="567" w:val="left"/>
        </w:tabs>
        <w:spacing w:after="80"/>
        <w:ind w:hanging="567" w:left="567"/>
        <w:jc w:val="both"/>
      </w:pPr>
      <w:r>
        <w:rPr>
          <w:rFonts w:ascii="Times New Roman" w:hAnsi="Times New Roman" w:eastAsia="Times New Roman" w:cs="Times New Roman"/>
        </w:rPr>
        <w:t>[5]</w:t>
        <w:tab/>
        <w:t xml:space="preserve">C. Mác và Ph. Ăngghen (1994), </w:t>
      </w:r>
      <w:r>
        <w:rPr>
          <w:rFonts w:ascii="Times New Roman" w:hAnsi="Times New Roman" w:eastAsia="Times New Roman" w:cs="Times New Roman"/>
          <w:i/>
        </w:rPr>
        <w:t>Toàn tập</w:t>
      </w:r>
      <w:r>
        <w:rPr>
          <w:rFonts w:ascii="Times New Roman" w:hAnsi="Times New Roman" w:eastAsia="Times New Roman" w:cs="Times New Roman"/>
        </w:rPr>
        <w:t>, tập 25, phần II, NXB Chính trị quốc gia, Hà Nội.</w:t>
      </w:r>
    </w:p>
    <w:p>
      <w:pPr>
        <w:keepNext/>
        <w:spacing w:before="120" w:after="60"/>
        <w:ind w:firstLine="0"/>
        <w:jc w:val="left"/>
      </w:pPr>
      <w:r>
        <w:rPr>
          <w:rFonts w:ascii="Times New Roman" w:hAnsi="Times New Roman" w:eastAsia="Times New Roman" w:cs="Times New Roman"/>
          <w:b/>
        </w:rPr>
        <w:t>Tài liệu tiếng Anh</w:t>
      </w:r>
    </w:p>
    <w:p>
      <w:pPr>
        <w:tabs>
          <w:tab w:pos="567" w:val="left"/>
        </w:tabs>
        <w:spacing w:after="80"/>
        <w:ind w:hanging="567" w:left="567"/>
        <w:jc w:val="both"/>
      </w:pPr>
      <w:r>
        <w:rPr>
          <w:rFonts w:ascii="Times New Roman" w:hAnsi="Times New Roman" w:eastAsia="Times New Roman" w:cs="Times New Roman"/>
        </w:rPr>
        <w:t>[6]</w:t>
        <w:tab/>
        <w:t xml:space="preserve">Aldrich C., Bertozzi C., Georg G.I., et al. (2017), “The ecstasy and agony of assay interference compounds”, </w:t>
      </w:r>
      <w:r>
        <w:rPr>
          <w:rFonts w:ascii="Times New Roman" w:hAnsi="Times New Roman" w:eastAsia="Times New Roman" w:cs="Times New Roman"/>
          <w:i/>
        </w:rPr>
        <w:t>Journal of Medicinal Chemistry</w:t>
      </w:r>
      <w:r>
        <w:rPr>
          <w:rFonts w:ascii="Times New Roman" w:hAnsi="Times New Roman" w:eastAsia="Times New Roman" w:cs="Times New Roman"/>
        </w:rPr>
        <w:t>, 60(6), pp. 2165–2168. DOI: 10.1021/acs.jmedchem.7b00229.</w:t>
      </w:r>
    </w:p>
    <w:p>
      <w:pPr>
        <w:tabs>
          <w:tab w:pos="567" w:val="left"/>
        </w:tabs>
        <w:spacing w:after="80"/>
        <w:ind w:hanging="567" w:left="567"/>
        <w:jc w:val="both"/>
      </w:pPr>
      <w:r>
        <w:rPr>
          <w:rFonts w:ascii="Times New Roman" w:hAnsi="Times New Roman" w:eastAsia="Times New Roman" w:cs="Times New Roman"/>
        </w:rPr>
        <w:t>[7]</w:t>
        <w:tab/>
        <w:t xml:space="preserve">Atanasov A.G., Zotchev S.B., Dirsch V.M., International Natural Product Sciences Taskforce, Supuran C.T. (2021), “Natural products in drug discovery: advances and opportunities”, </w:t>
      </w:r>
      <w:r>
        <w:rPr>
          <w:rFonts w:ascii="Times New Roman" w:hAnsi="Times New Roman" w:eastAsia="Times New Roman" w:cs="Times New Roman"/>
          <w:i/>
        </w:rPr>
        <w:t>Nature Reviews Drug Discovery</w:t>
      </w:r>
      <w:r>
        <w:rPr>
          <w:rFonts w:ascii="Times New Roman" w:hAnsi="Times New Roman" w:eastAsia="Times New Roman" w:cs="Times New Roman"/>
        </w:rPr>
        <w:t>, 20(3), pp. 200–216. DOI: 10.1038/s41573-020-00114-z.</w:t>
      </w:r>
    </w:p>
    <w:p>
      <w:pPr>
        <w:tabs>
          <w:tab w:pos="567" w:val="left"/>
        </w:tabs>
        <w:spacing w:after="80"/>
        <w:ind w:hanging="567" w:left="567"/>
        <w:jc w:val="both"/>
      </w:pPr>
      <w:r>
        <w:rPr>
          <w:rFonts w:ascii="Times New Roman" w:hAnsi="Times New Roman" w:eastAsia="Times New Roman" w:cs="Times New Roman"/>
        </w:rPr>
        <w:t>[8]</w:t>
        <w:tab/>
        <w:t xml:space="preserve">Baell J.B., Holloway G.A. (2010), “New substructure filters for removal of pan assay interference compounds (PAINS) from screening libraries and for their exclusion in bioassays”, </w:t>
      </w:r>
      <w:r>
        <w:rPr>
          <w:rFonts w:ascii="Times New Roman" w:hAnsi="Times New Roman" w:eastAsia="Times New Roman" w:cs="Times New Roman"/>
          <w:i/>
        </w:rPr>
        <w:t>Journal of Medicinal Chemistry</w:t>
      </w:r>
      <w:r>
        <w:rPr>
          <w:rFonts w:ascii="Times New Roman" w:hAnsi="Times New Roman" w:eastAsia="Times New Roman" w:cs="Times New Roman"/>
        </w:rPr>
        <w:t>, 53(7), pp. 2719–2740. DOI: 10.1021/jm901137j.</w:t>
      </w:r>
    </w:p>
    <w:p>
      <w:pPr>
        <w:tabs>
          <w:tab w:pos="567" w:val="left"/>
        </w:tabs>
        <w:spacing w:after="80"/>
        <w:ind w:hanging="567" w:left="567"/>
        <w:jc w:val="both"/>
      </w:pPr>
      <w:r>
        <w:rPr>
          <w:rFonts w:ascii="Times New Roman" w:hAnsi="Times New Roman" w:eastAsia="Times New Roman" w:cs="Times New Roman"/>
        </w:rPr>
        <w:t>[9]</w:t>
        <w:tab/>
        <w:t xml:space="preserve">Baell J., Walters M.A. (2014), “Chemistry: Chemical con artists foil drug discovery”, </w:t>
      </w:r>
      <w:r>
        <w:rPr>
          <w:rFonts w:ascii="Times New Roman" w:hAnsi="Times New Roman" w:eastAsia="Times New Roman" w:cs="Times New Roman"/>
          <w:i/>
        </w:rPr>
        <w:t>Nature</w:t>
      </w:r>
      <w:r>
        <w:rPr>
          <w:rFonts w:ascii="Times New Roman" w:hAnsi="Times New Roman" w:eastAsia="Times New Roman" w:cs="Times New Roman"/>
        </w:rPr>
        <w:t>, 513(7519), pp. 481–483. DOI: 10.1038/513481a.</w:t>
      </w:r>
    </w:p>
    <w:p>
      <w:pPr>
        <w:tabs>
          <w:tab w:pos="567" w:val="left"/>
        </w:tabs>
        <w:spacing w:after="80"/>
        <w:ind w:hanging="567" w:left="567"/>
        <w:jc w:val="both"/>
      </w:pPr>
      <w:r>
        <w:rPr>
          <w:rFonts w:ascii="Times New Roman" w:hAnsi="Times New Roman" w:eastAsia="Times New Roman" w:cs="Times New Roman"/>
        </w:rPr>
        <w:t>[10]</w:t>
        <w:tab/>
        <w:t xml:space="preserve">Begley C.G., Ellis L.M. (2012), “Drug development: Raise standards for preclinical cancer research”, </w:t>
      </w:r>
      <w:r>
        <w:rPr>
          <w:rFonts w:ascii="Times New Roman" w:hAnsi="Times New Roman" w:eastAsia="Times New Roman" w:cs="Times New Roman"/>
          <w:i/>
        </w:rPr>
        <w:t>Nature</w:t>
      </w:r>
      <w:r>
        <w:rPr>
          <w:rFonts w:ascii="Times New Roman" w:hAnsi="Times New Roman" w:eastAsia="Times New Roman" w:cs="Times New Roman"/>
        </w:rPr>
        <w:t>, 483(7391), pp. 531–533. DOI: 10.1038/483531a.</w:t>
      </w:r>
    </w:p>
    <w:p>
      <w:pPr>
        <w:tabs>
          <w:tab w:pos="567" w:val="left"/>
        </w:tabs>
        <w:spacing w:after="80"/>
        <w:ind w:hanging="567" w:left="567"/>
        <w:jc w:val="both"/>
      </w:pPr>
      <w:r>
        <w:rPr>
          <w:rFonts w:ascii="Times New Roman" w:hAnsi="Times New Roman" w:eastAsia="Times New Roman" w:cs="Times New Roman"/>
        </w:rPr>
        <w:t>[11]</w:t>
        <w:tab/>
        <w:t xml:space="preserve">Bisson J., McAlpine J.B., Friesen J.B., Chen S.-N., Graham J., Pauli G.F. (2016), “Can invalid bioactives undermine natural product-based drug discovery?”, </w:t>
      </w:r>
      <w:r>
        <w:rPr>
          <w:rFonts w:ascii="Times New Roman" w:hAnsi="Times New Roman" w:eastAsia="Times New Roman" w:cs="Times New Roman"/>
          <w:i/>
        </w:rPr>
        <w:t>Journal of Medicinal Chemistry</w:t>
      </w:r>
      <w:r>
        <w:rPr>
          <w:rFonts w:ascii="Times New Roman" w:hAnsi="Times New Roman" w:eastAsia="Times New Roman" w:cs="Times New Roman"/>
        </w:rPr>
        <w:t>, 59(5), pp. 1671–1690. DOI: 10.1021/acs.jmedchem.5b01009.</w:t>
      </w:r>
    </w:p>
    <w:p>
      <w:pPr>
        <w:tabs>
          <w:tab w:pos="567" w:val="left"/>
        </w:tabs>
        <w:spacing w:after="80"/>
        <w:ind w:hanging="567" w:left="567"/>
        <w:jc w:val="both"/>
      </w:pPr>
      <w:r>
        <w:rPr>
          <w:rFonts w:ascii="Times New Roman" w:hAnsi="Times New Roman" w:eastAsia="Times New Roman" w:cs="Times New Roman"/>
        </w:rPr>
        <w:t>[12]</w:t>
        <w:tab/>
        <w:t xml:space="preserve">Blake C.C., Koenig D.F., Mair G.A., North A.C., Phillips D.C., Sarma V.R. (1965), “Structure of hen egg-white lysozyme: a three-dimensional Fourier synthesis at 2 Å resolution”, </w:t>
      </w:r>
      <w:r>
        <w:rPr>
          <w:rFonts w:ascii="Times New Roman" w:hAnsi="Times New Roman" w:eastAsia="Times New Roman" w:cs="Times New Roman"/>
          <w:i/>
        </w:rPr>
        <w:t>Nature</w:t>
      </w:r>
      <w:r>
        <w:rPr>
          <w:rFonts w:ascii="Times New Roman" w:hAnsi="Times New Roman" w:eastAsia="Times New Roman" w:cs="Times New Roman"/>
        </w:rPr>
        <w:t>, 206(4986), pp. 757–761. DOI: 10.1038/206757a0.</w:t>
      </w:r>
    </w:p>
    <w:p>
      <w:pPr>
        <w:tabs>
          <w:tab w:pos="567" w:val="left"/>
        </w:tabs>
        <w:spacing w:after="80"/>
        <w:ind w:hanging="567" w:left="567"/>
        <w:jc w:val="both"/>
      </w:pPr>
      <w:r>
        <w:rPr>
          <w:rFonts w:ascii="Times New Roman" w:hAnsi="Times New Roman" w:eastAsia="Times New Roman" w:cs="Times New Roman"/>
        </w:rPr>
        <w:t>[13]</w:t>
        <w:tab/>
        <w:t xml:space="preserve">Brock W.H. (1992), </w:t>
      </w:r>
      <w:r>
        <w:rPr>
          <w:rFonts w:ascii="Times New Roman" w:hAnsi="Times New Roman" w:eastAsia="Times New Roman" w:cs="Times New Roman"/>
          <w:i/>
        </w:rPr>
        <w:t>The Fontana History of Chemistry</w:t>
      </w:r>
      <w:r>
        <w:rPr>
          <w:rFonts w:ascii="Times New Roman" w:hAnsi="Times New Roman" w:eastAsia="Times New Roman" w:cs="Times New Roman"/>
        </w:rPr>
        <w:t>, Fontana Press, London.</w:t>
      </w:r>
    </w:p>
    <w:p>
      <w:pPr>
        <w:tabs>
          <w:tab w:pos="567" w:val="left"/>
        </w:tabs>
        <w:spacing w:after="80"/>
        <w:ind w:hanging="567" w:left="567"/>
        <w:jc w:val="both"/>
      </w:pPr>
      <w:r>
        <w:rPr>
          <w:rFonts w:ascii="Times New Roman" w:hAnsi="Times New Roman" w:eastAsia="Times New Roman" w:cs="Times New Roman"/>
        </w:rPr>
        <w:t>[14]</w:t>
        <w:tab/>
        <w:t xml:space="preserve">Brønsted J.N. (1923), “Einige Bemerkungen über den Begriff der Säuren und Basen”, </w:t>
      </w:r>
      <w:r>
        <w:rPr>
          <w:rFonts w:ascii="Times New Roman" w:hAnsi="Times New Roman" w:eastAsia="Times New Roman" w:cs="Times New Roman"/>
          <w:i/>
        </w:rPr>
        <w:t>Recueil des Travaux Chimiques des Pays-Bas</w:t>
      </w:r>
      <w:r>
        <w:rPr>
          <w:rFonts w:ascii="Times New Roman" w:hAnsi="Times New Roman" w:eastAsia="Times New Roman" w:cs="Times New Roman"/>
        </w:rPr>
        <w:t>, 42(8), pp. 718–728. DOI: 10.1002/recl.19230420815.</w:t>
      </w:r>
    </w:p>
    <w:p>
      <w:pPr>
        <w:tabs>
          <w:tab w:pos="567" w:val="left"/>
        </w:tabs>
        <w:spacing w:after="80"/>
        <w:ind w:hanging="567" w:left="567"/>
        <w:jc w:val="both"/>
      </w:pPr>
      <w:r>
        <w:rPr>
          <w:rFonts w:ascii="Times New Roman" w:hAnsi="Times New Roman" w:eastAsia="Times New Roman" w:cs="Times New Roman"/>
        </w:rPr>
        <w:t>[15]</w:t>
        <w:tab/>
        <w:t xml:space="preserve">Capuzzi S.J., Muratov E.N., Tropsha A. (2017), “Phantom PAINS: Problems with the utility of alerts for pan-assay interference compounds”, </w:t>
      </w:r>
      <w:r>
        <w:rPr>
          <w:rFonts w:ascii="Times New Roman" w:hAnsi="Times New Roman" w:eastAsia="Times New Roman" w:cs="Times New Roman"/>
          <w:i/>
        </w:rPr>
        <w:t>Journal of Chemical Information and Modeling</w:t>
      </w:r>
      <w:r>
        <w:rPr>
          <w:rFonts w:ascii="Times New Roman" w:hAnsi="Times New Roman" w:eastAsia="Times New Roman" w:cs="Times New Roman"/>
        </w:rPr>
        <w:t>, 57(3), pp. 417–427. DOI: 10.1021/acs.jcim.6b00465.</w:t>
      </w:r>
    </w:p>
    <w:p>
      <w:pPr>
        <w:tabs>
          <w:tab w:pos="567" w:val="left"/>
        </w:tabs>
        <w:spacing w:after="80"/>
        <w:ind w:hanging="567" w:left="567"/>
        <w:jc w:val="both"/>
      </w:pPr>
      <w:r>
        <w:rPr>
          <w:rFonts w:ascii="Times New Roman" w:hAnsi="Times New Roman" w:eastAsia="Times New Roman" w:cs="Times New Roman"/>
        </w:rPr>
        <w:t>[16]</w:t>
        <w:tab/>
        <w:t>Cheng Y., Prusoff W.H. (1973), “Relationship between the inhibition constant (K</w:t>
      </w:r>
      <w:r>
        <w:rPr>
          <w:rFonts w:ascii="Times New Roman" w:hAnsi="Times New Roman" w:eastAsia="Times New Roman" w:cs="Times New Roman"/>
          <w:vertAlign w:val="subscript"/>
        </w:rPr>
        <w:t>1</w:t>
      </w:r>
      <w:r>
        <w:rPr>
          <w:rFonts w:ascii="Times New Roman" w:hAnsi="Times New Roman" w:eastAsia="Times New Roman" w:cs="Times New Roman"/>
        </w:rPr>
        <w:t>) and the concentration of inhibitor which causes 50 per cent inhibition (I</w:t>
      </w:r>
      <w:r>
        <w:rPr>
          <w:rFonts w:ascii="Times New Roman" w:hAnsi="Times New Roman" w:eastAsia="Times New Roman" w:cs="Times New Roman"/>
          <w:vertAlign w:val="subscript"/>
        </w:rPr>
        <w:t>50</w:t>
      </w:r>
      <w:r>
        <w:rPr>
          <w:rFonts w:ascii="Times New Roman" w:hAnsi="Times New Roman" w:eastAsia="Times New Roman" w:cs="Times New Roman"/>
        </w:rPr>
        <w:t xml:space="preserve">) of an enzymatic reaction”, </w:t>
      </w:r>
      <w:r>
        <w:rPr>
          <w:rFonts w:ascii="Times New Roman" w:hAnsi="Times New Roman" w:eastAsia="Times New Roman" w:cs="Times New Roman"/>
          <w:i/>
        </w:rPr>
        <w:t>Biochemical Pharmacology</w:t>
      </w:r>
      <w:r>
        <w:rPr>
          <w:rFonts w:ascii="Times New Roman" w:hAnsi="Times New Roman" w:eastAsia="Times New Roman" w:cs="Times New Roman"/>
        </w:rPr>
        <w:t>, 22(23), pp. 3099–3108. DOI: 10.1016/0006-2952(73)90196-2.</w:t>
      </w:r>
    </w:p>
    <w:p>
      <w:pPr>
        <w:tabs>
          <w:tab w:pos="567" w:val="left"/>
        </w:tabs>
        <w:spacing w:after="80"/>
        <w:ind w:hanging="567" w:left="567"/>
        <w:jc w:val="both"/>
      </w:pPr>
      <w:r>
        <w:rPr>
          <w:rFonts w:ascii="Times New Roman" w:hAnsi="Times New Roman" w:eastAsia="Times New Roman" w:cs="Times New Roman"/>
        </w:rPr>
        <w:t>[17]</w:t>
        <w:tab/>
        <w:t xml:space="preserve">Copeland R.A. (2013), </w:t>
      </w:r>
      <w:r>
        <w:rPr>
          <w:rFonts w:ascii="Times New Roman" w:hAnsi="Times New Roman" w:eastAsia="Times New Roman" w:cs="Times New Roman"/>
          <w:i/>
        </w:rPr>
        <w:t>Evaluation of Enzyme Inhibitors in Drug Discovery: A Guide for Medicinal Chemists and Pharmacologists</w:t>
      </w:r>
      <w:r>
        <w:rPr>
          <w:rFonts w:ascii="Times New Roman" w:hAnsi="Times New Roman" w:eastAsia="Times New Roman" w:cs="Times New Roman"/>
        </w:rPr>
        <w:t>, 2nd ed., John Wiley &amp; Sons, Hoboken, NJ. DOI: 10.1002/9781118540398.</w:t>
      </w:r>
    </w:p>
    <w:p>
      <w:pPr>
        <w:tabs>
          <w:tab w:pos="567" w:val="left"/>
        </w:tabs>
        <w:spacing w:after="80"/>
        <w:ind w:hanging="567" w:left="567"/>
        <w:jc w:val="both"/>
      </w:pPr>
      <w:r>
        <w:rPr>
          <w:rFonts w:ascii="Times New Roman" w:hAnsi="Times New Roman" w:eastAsia="Times New Roman" w:cs="Times New Roman"/>
        </w:rPr>
        <w:t>[18]</w:t>
        <w:tab/>
        <w:t xml:space="preserve">Cushman D.W., Ondetti M.A. (1991), “History of the design of captopril and related inhibitors of angiotensin converting enzyme”, </w:t>
      </w:r>
      <w:r>
        <w:rPr>
          <w:rFonts w:ascii="Times New Roman" w:hAnsi="Times New Roman" w:eastAsia="Times New Roman" w:cs="Times New Roman"/>
          <w:i/>
        </w:rPr>
        <w:t>Hypertension</w:t>
      </w:r>
      <w:r>
        <w:rPr>
          <w:rFonts w:ascii="Times New Roman" w:hAnsi="Times New Roman" w:eastAsia="Times New Roman" w:cs="Times New Roman"/>
        </w:rPr>
        <w:t>, 17(4), pp. 589–592. DOI: 10.1161/01.hyp.17.4.589.</w:t>
      </w:r>
    </w:p>
    <w:p>
      <w:pPr>
        <w:tabs>
          <w:tab w:pos="567" w:val="left"/>
        </w:tabs>
        <w:spacing w:after="80"/>
        <w:ind w:hanging="567" w:left="567"/>
        <w:jc w:val="both"/>
      </w:pPr>
      <w:r>
        <w:rPr>
          <w:rFonts w:ascii="Times New Roman" w:hAnsi="Times New Roman" w:eastAsia="Times New Roman" w:cs="Times New Roman"/>
        </w:rPr>
        <w:t>[19]</w:t>
        <w:tab/>
        <w:t xml:space="preserve">Ellman G.L., Courtney K.D., Andres V., Featherstone R.M. (1961), “A new and rapid colorimetric determination of acetylcholinesterase activity”, </w:t>
      </w:r>
      <w:r>
        <w:rPr>
          <w:rFonts w:ascii="Times New Roman" w:hAnsi="Times New Roman" w:eastAsia="Times New Roman" w:cs="Times New Roman"/>
          <w:i/>
        </w:rPr>
        <w:t>Biochemical Pharmacology</w:t>
      </w:r>
      <w:r>
        <w:rPr>
          <w:rFonts w:ascii="Times New Roman" w:hAnsi="Times New Roman" w:eastAsia="Times New Roman" w:cs="Times New Roman"/>
        </w:rPr>
        <w:t>, 7, pp. 88–95. DOI: 10.1016/0006-2952(61)90145-9.</w:t>
      </w:r>
    </w:p>
    <w:p>
      <w:pPr>
        <w:tabs>
          <w:tab w:pos="567" w:val="left"/>
        </w:tabs>
        <w:spacing w:after="80"/>
        <w:ind w:hanging="567" w:left="567"/>
        <w:jc w:val="both"/>
      </w:pPr>
      <w:r>
        <w:rPr>
          <w:rFonts w:ascii="Times New Roman" w:hAnsi="Times New Roman" w:eastAsia="Times New Roman" w:cs="Times New Roman"/>
        </w:rPr>
        <w:t>[20]</w:t>
        <w:tab/>
        <w:t xml:space="preserve">Endo A. (2010), “A historical perspective on the discovery of statins”, </w:t>
      </w:r>
      <w:r>
        <w:rPr>
          <w:rFonts w:ascii="Times New Roman" w:hAnsi="Times New Roman" w:eastAsia="Times New Roman" w:cs="Times New Roman"/>
          <w:i/>
        </w:rPr>
        <w:t>Proceedings of the Japan Academy, Series B, Physical and Biological Sciences</w:t>
      </w:r>
      <w:r>
        <w:rPr>
          <w:rFonts w:ascii="Times New Roman" w:hAnsi="Times New Roman" w:eastAsia="Times New Roman" w:cs="Times New Roman"/>
        </w:rPr>
        <w:t>, 86(5), pp. 484–493. DOI: 10.2183/pjab.86.484.</w:t>
      </w:r>
    </w:p>
    <w:p>
      <w:pPr>
        <w:tabs>
          <w:tab w:pos="567" w:val="left"/>
        </w:tabs>
        <w:spacing w:after="80"/>
        <w:ind w:hanging="567" w:left="567"/>
        <w:jc w:val="both"/>
      </w:pPr>
      <w:r>
        <w:rPr>
          <w:rFonts w:ascii="Times New Roman" w:hAnsi="Times New Roman" w:eastAsia="Times New Roman" w:cs="Times New Roman"/>
        </w:rPr>
        <w:t>[21]</w:t>
        <w:tab/>
        <w:t xml:space="preserve">Feng B.Y., Shoichet B.K. (2006), “A detergent-based assay for the detection of promiscuous inhibitors”, </w:t>
      </w:r>
      <w:r>
        <w:rPr>
          <w:rFonts w:ascii="Times New Roman" w:hAnsi="Times New Roman" w:eastAsia="Times New Roman" w:cs="Times New Roman"/>
          <w:i/>
        </w:rPr>
        <w:t>Nature Protocols</w:t>
      </w:r>
      <w:r>
        <w:rPr>
          <w:rFonts w:ascii="Times New Roman" w:hAnsi="Times New Roman" w:eastAsia="Times New Roman" w:cs="Times New Roman"/>
        </w:rPr>
        <w:t>, 1(2), pp. 550–553. DOI: 10.1038/nprot.2006.77.</w:t>
      </w:r>
    </w:p>
    <w:p>
      <w:pPr>
        <w:tabs>
          <w:tab w:pos="567" w:val="left"/>
        </w:tabs>
        <w:spacing w:after="80"/>
        <w:ind w:hanging="567" w:left="567"/>
        <w:jc w:val="both"/>
      </w:pPr>
      <w:r>
        <w:rPr>
          <w:rFonts w:ascii="Times New Roman" w:hAnsi="Times New Roman" w:eastAsia="Times New Roman" w:cs="Times New Roman"/>
        </w:rPr>
        <w:t>[22]</w:t>
        <w:tab/>
        <w:t xml:space="preserve">Feng B.Y., Simeonov A., Jadhav A., Babaoglu K., Inglese J., Shoichet B.K., Austin C.P. (2007), “A high-throughput screen for aggregation-based inhibition in a large compound library”, </w:t>
      </w:r>
      <w:r>
        <w:rPr>
          <w:rFonts w:ascii="Times New Roman" w:hAnsi="Times New Roman" w:eastAsia="Times New Roman" w:cs="Times New Roman"/>
          <w:i/>
        </w:rPr>
        <w:t>Journal of Medicinal Chemistry</w:t>
      </w:r>
      <w:r>
        <w:rPr>
          <w:rFonts w:ascii="Times New Roman" w:hAnsi="Times New Roman" w:eastAsia="Times New Roman" w:cs="Times New Roman"/>
        </w:rPr>
        <w:t>, 50(10), pp. 2385–2390. DOI: 10.1021/jm061317y.</w:t>
      </w:r>
    </w:p>
    <w:p>
      <w:pPr>
        <w:tabs>
          <w:tab w:pos="567" w:val="left"/>
        </w:tabs>
        <w:spacing w:after="80"/>
        <w:ind w:hanging="567" w:left="567"/>
        <w:jc w:val="both"/>
      </w:pPr>
      <w:r>
        <w:rPr>
          <w:rFonts w:ascii="Times New Roman" w:hAnsi="Times New Roman" w:eastAsia="Times New Roman" w:cs="Times New Roman"/>
        </w:rPr>
        <w:t>[23]</w:t>
        <w:tab/>
        <w:t xml:space="preserve">Heinrich M., Teoh H.L. (2004), “Galanthamine from snowdrop – the development of a modern drug against Alzheimer's disease from local Caucasian knowledge”, </w:t>
      </w:r>
      <w:r>
        <w:rPr>
          <w:rFonts w:ascii="Times New Roman" w:hAnsi="Times New Roman" w:eastAsia="Times New Roman" w:cs="Times New Roman"/>
          <w:i/>
        </w:rPr>
        <w:t>Journal of Ethnopharmacology</w:t>
      </w:r>
      <w:r>
        <w:rPr>
          <w:rFonts w:ascii="Times New Roman" w:hAnsi="Times New Roman" w:eastAsia="Times New Roman" w:cs="Times New Roman"/>
        </w:rPr>
        <w:t>, 92(2–3), pp. 147–162. DOI: 10.1016/j.jep.2004.02.012.</w:t>
      </w:r>
    </w:p>
    <w:p>
      <w:pPr>
        <w:tabs>
          <w:tab w:pos="567" w:val="left"/>
        </w:tabs>
        <w:spacing w:after="80"/>
        <w:ind w:hanging="567" w:left="567"/>
        <w:jc w:val="both"/>
      </w:pPr>
      <w:r>
        <w:rPr>
          <w:rFonts w:ascii="Times New Roman" w:hAnsi="Times New Roman" w:eastAsia="Times New Roman" w:cs="Times New Roman"/>
        </w:rPr>
        <w:t>[24]</w:t>
        <w:tab/>
        <w:t xml:space="preserve">Hermann J.C., Chen Y., Wartchow C., et al. (2013), “Metal impurities cause false positives in high-throughput screening campaigns”, </w:t>
      </w:r>
      <w:r>
        <w:rPr>
          <w:rFonts w:ascii="Times New Roman" w:hAnsi="Times New Roman" w:eastAsia="Times New Roman" w:cs="Times New Roman"/>
          <w:i/>
        </w:rPr>
        <w:t>ACS Medicinal Chemistry Letters</w:t>
      </w:r>
      <w:r>
        <w:rPr>
          <w:rFonts w:ascii="Times New Roman" w:hAnsi="Times New Roman" w:eastAsia="Times New Roman" w:cs="Times New Roman"/>
        </w:rPr>
        <w:t>, 4(2), pp. 197–200. DOI: 10.1021/ml3003296.</w:t>
      </w:r>
    </w:p>
    <w:p>
      <w:pPr>
        <w:tabs>
          <w:tab w:pos="567" w:val="left"/>
        </w:tabs>
        <w:spacing w:after="80"/>
        <w:ind w:hanging="567" w:left="567"/>
        <w:jc w:val="both"/>
      </w:pPr>
      <w:r>
        <w:rPr>
          <w:rFonts w:ascii="Times New Roman" w:hAnsi="Times New Roman" w:eastAsia="Times New Roman" w:cs="Times New Roman"/>
        </w:rPr>
        <w:t>[25]</w:t>
        <w:tab/>
        <w:t xml:space="preserve">Irwin J.J., Duan D., Torosyan H., et al. (2015), “An aggregation advisor for ligand discovery”, </w:t>
      </w:r>
      <w:r>
        <w:rPr>
          <w:rFonts w:ascii="Times New Roman" w:hAnsi="Times New Roman" w:eastAsia="Times New Roman" w:cs="Times New Roman"/>
          <w:i/>
        </w:rPr>
        <w:t>Journal of Medicinal Chemistry</w:t>
      </w:r>
      <w:r>
        <w:rPr>
          <w:rFonts w:ascii="Times New Roman" w:hAnsi="Times New Roman" w:eastAsia="Times New Roman" w:cs="Times New Roman"/>
        </w:rPr>
        <w:t>, 58(17), pp. 7076–7087. DOI: 10.1021/acs.jmedchem.5b01105.</w:t>
      </w:r>
    </w:p>
    <w:p>
      <w:pPr>
        <w:tabs>
          <w:tab w:pos="567" w:val="left"/>
        </w:tabs>
        <w:spacing w:after="80"/>
        <w:ind w:hanging="567" w:left="567"/>
        <w:jc w:val="both"/>
      </w:pPr>
      <w:r>
        <w:rPr>
          <w:rFonts w:ascii="Times New Roman" w:hAnsi="Times New Roman" w:eastAsia="Times New Roman" w:cs="Times New Roman"/>
        </w:rPr>
        <w:t>[26]</w:t>
        <w:tab/>
        <w:t xml:space="preserve">Ito T., Ando H., Suzuki T., et al. (2010), “Identification of a primary target of thalidomide teratogenicity”, </w:t>
      </w:r>
      <w:r>
        <w:rPr>
          <w:rFonts w:ascii="Times New Roman" w:hAnsi="Times New Roman" w:eastAsia="Times New Roman" w:cs="Times New Roman"/>
          <w:i/>
        </w:rPr>
        <w:t>Science</w:t>
      </w:r>
      <w:r>
        <w:rPr>
          <w:rFonts w:ascii="Times New Roman" w:hAnsi="Times New Roman" w:eastAsia="Times New Roman" w:cs="Times New Roman"/>
        </w:rPr>
        <w:t>, 327(5971), pp. 1345–1350. DOI: 10.1126/science.1177319.</w:t>
      </w:r>
    </w:p>
    <w:p>
      <w:pPr>
        <w:tabs>
          <w:tab w:pos="567" w:val="left"/>
        </w:tabs>
        <w:spacing w:after="80"/>
        <w:ind w:hanging="567" w:left="567"/>
        <w:jc w:val="both"/>
      </w:pPr>
      <w:r>
        <w:rPr>
          <w:rFonts w:ascii="Times New Roman" w:hAnsi="Times New Roman" w:eastAsia="Times New Roman" w:cs="Times New Roman"/>
        </w:rPr>
        <w:t>[27]</w:t>
        <w:tab/>
        <w:t xml:space="preserve">Jafari R., Almqvist H., Axelsson H., Ignatushchenko M., Lundbäck T., Nordlund P., Martinez Molina D. (2014), “The cellular thermal shift assay for evaluating drug target interactions in cells”, </w:t>
      </w:r>
      <w:r>
        <w:rPr>
          <w:rFonts w:ascii="Times New Roman" w:hAnsi="Times New Roman" w:eastAsia="Times New Roman" w:cs="Times New Roman"/>
          <w:i/>
        </w:rPr>
        <w:t>Nature Protocols</w:t>
      </w:r>
      <w:r>
        <w:rPr>
          <w:rFonts w:ascii="Times New Roman" w:hAnsi="Times New Roman" w:eastAsia="Times New Roman" w:cs="Times New Roman"/>
        </w:rPr>
        <w:t>, 9(9), pp. 2100–2122. DOI: 10.1038/nprot.2014.138.</w:t>
      </w:r>
    </w:p>
    <w:p>
      <w:pPr>
        <w:tabs>
          <w:tab w:pos="567" w:val="left"/>
        </w:tabs>
        <w:spacing w:after="80"/>
        <w:ind w:hanging="567" w:left="567"/>
        <w:jc w:val="both"/>
      </w:pPr>
      <w:r>
        <w:rPr>
          <w:rFonts w:ascii="Times New Roman" w:hAnsi="Times New Roman" w:eastAsia="Times New Roman" w:cs="Times New Roman"/>
        </w:rPr>
        <w:t>[28]</w:t>
        <w:tab/>
        <w:t xml:space="preserve">Johnson K.A., Goody R.S. (2011), “The original Michaelis constant: translation of the 1913 Michaelis–Menten paper”, </w:t>
      </w:r>
      <w:r>
        <w:rPr>
          <w:rFonts w:ascii="Times New Roman" w:hAnsi="Times New Roman" w:eastAsia="Times New Roman" w:cs="Times New Roman"/>
          <w:i/>
        </w:rPr>
        <w:t>Biochemistry</w:t>
      </w:r>
      <w:r>
        <w:rPr>
          <w:rFonts w:ascii="Times New Roman" w:hAnsi="Times New Roman" w:eastAsia="Times New Roman" w:cs="Times New Roman"/>
        </w:rPr>
        <w:t>, 50(39), pp. 8264–8269. DOI: 10.1021/bi201284u.</w:t>
      </w:r>
    </w:p>
    <w:p>
      <w:pPr>
        <w:tabs>
          <w:tab w:pos="567" w:val="left"/>
        </w:tabs>
        <w:spacing w:after="80"/>
        <w:ind w:hanging="567" w:left="567"/>
        <w:jc w:val="both"/>
      </w:pPr>
      <w:r>
        <w:rPr>
          <w:rFonts w:ascii="Times New Roman" w:hAnsi="Times New Roman" w:eastAsia="Times New Roman" w:cs="Times New Roman"/>
        </w:rPr>
        <w:t>[29]</w:t>
        <w:tab/>
        <w:t xml:space="preserve">Koshland D.E. (1958), “Application of a theory of enzyme specificity to protein synthesis”, </w:t>
      </w:r>
      <w:r>
        <w:rPr>
          <w:rFonts w:ascii="Times New Roman" w:hAnsi="Times New Roman" w:eastAsia="Times New Roman" w:cs="Times New Roman"/>
          <w:i/>
        </w:rPr>
        <w:t>Proceedings of the National Academy of Sciences of the United States of America</w:t>
      </w:r>
      <w:r>
        <w:rPr>
          <w:rFonts w:ascii="Times New Roman" w:hAnsi="Times New Roman" w:eastAsia="Times New Roman" w:cs="Times New Roman"/>
        </w:rPr>
        <w:t>, 44(2), pp. 98–104. DOI: 10.1073/pnas.44.2.98.</w:t>
      </w:r>
    </w:p>
    <w:p>
      <w:pPr>
        <w:tabs>
          <w:tab w:pos="567" w:val="left"/>
        </w:tabs>
        <w:spacing w:after="80"/>
        <w:ind w:hanging="567" w:left="567"/>
        <w:jc w:val="both"/>
      </w:pPr>
      <w:r>
        <w:rPr>
          <w:rFonts w:ascii="Times New Roman" w:hAnsi="Times New Roman" w:eastAsia="Times New Roman" w:cs="Times New Roman"/>
        </w:rPr>
        <w:t>[30]</w:t>
        <w:tab/>
        <w:t xml:space="preserve">Lewis G.N. (1923), </w:t>
      </w:r>
      <w:r>
        <w:rPr>
          <w:rFonts w:ascii="Times New Roman" w:hAnsi="Times New Roman" w:eastAsia="Times New Roman" w:cs="Times New Roman"/>
          <w:i/>
        </w:rPr>
        <w:t>Valence and the Structure of Atoms and Molecules</w:t>
      </w:r>
      <w:r>
        <w:rPr>
          <w:rFonts w:ascii="Times New Roman" w:hAnsi="Times New Roman" w:eastAsia="Times New Roman" w:cs="Times New Roman"/>
        </w:rPr>
        <w:t>, The Chemical Catalog Company, New York.</w:t>
      </w:r>
    </w:p>
    <w:p>
      <w:pPr>
        <w:tabs>
          <w:tab w:pos="567" w:val="left"/>
        </w:tabs>
        <w:spacing w:after="80"/>
        <w:ind w:hanging="567" w:left="567"/>
        <w:jc w:val="both"/>
      </w:pPr>
      <w:r>
        <w:rPr>
          <w:rFonts w:ascii="Times New Roman" w:hAnsi="Times New Roman" w:eastAsia="Times New Roman" w:cs="Times New Roman"/>
        </w:rPr>
        <w:t>[31]</w:t>
        <w:tab/>
        <w:t xml:space="preserve">Lowry T.M. (1923), “The uniqueness of hydrogen”, </w:t>
      </w:r>
      <w:r>
        <w:rPr>
          <w:rFonts w:ascii="Times New Roman" w:hAnsi="Times New Roman" w:eastAsia="Times New Roman" w:cs="Times New Roman"/>
          <w:i/>
        </w:rPr>
        <w:t>Journal of the Society of Chemical Industry</w:t>
      </w:r>
      <w:r>
        <w:rPr>
          <w:rFonts w:ascii="Times New Roman" w:hAnsi="Times New Roman" w:eastAsia="Times New Roman" w:cs="Times New Roman"/>
        </w:rPr>
        <w:t>, 42(3), pp. 43–47. DOI: 10.1002/jctb.5000420302.</w:t>
      </w:r>
    </w:p>
    <w:p>
      <w:pPr>
        <w:tabs>
          <w:tab w:pos="567" w:val="left"/>
        </w:tabs>
        <w:spacing w:after="80"/>
        <w:ind w:hanging="567" w:left="567"/>
        <w:jc w:val="both"/>
      </w:pPr>
      <w:r>
        <w:rPr>
          <w:rFonts w:ascii="Times New Roman" w:hAnsi="Times New Roman" w:eastAsia="Times New Roman" w:cs="Times New Roman"/>
        </w:rPr>
        <w:t>[32]</w:t>
        <w:tab/>
        <w:t xml:space="preserve">Mann T., Gerwat W., Batzer J., et al. (2018), “Inhibition of human tyrosinase requires molecular motifs distinctively different from mushroom tyrosinase”, </w:t>
      </w:r>
      <w:r>
        <w:rPr>
          <w:rFonts w:ascii="Times New Roman" w:hAnsi="Times New Roman" w:eastAsia="Times New Roman" w:cs="Times New Roman"/>
          <w:i/>
        </w:rPr>
        <w:t>Journal of Investigative Dermatology</w:t>
      </w:r>
      <w:r>
        <w:rPr>
          <w:rFonts w:ascii="Times New Roman" w:hAnsi="Times New Roman" w:eastAsia="Times New Roman" w:cs="Times New Roman"/>
        </w:rPr>
        <w:t>, 138(7), pp. 1601–1608. DOI: 10.1016/j.jid.2018.01.019.</w:t>
      </w:r>
    </w:p>
    <w:p>
      <w:pPr>
        <w:tabs>
          <w:tab w:pos="567" w:val="left"/>
        </w:tabs>
        <w:spacing w:after="80"/>
        <w:ind w:hanging="567" w:left="567"/>
        <w:jc w:val="both"/>
      </w:pPr>
      <w:r>
        <w:rPr>
          <w:rFonts w:ascii="Times New Roman" w:hAnsi="Times New Roman" w:eastAsia="Times New Roman" w:cs="Times New Roman"/>
        </w:rPr>
        <w:t>[33]</w:t>
        <w:tab/>
        <w:t xml:space="preserve">McGovern S.L., Caselli E., Grigorieff N., Shoichet B.K. (2002), “A common mechanism underlying promiscuous inhibitors from virtual and high-throughput screening”, </w:t>
      </w:r>
      <w:r>
        <w:rPr>
          <w:rFonts w:ascii="Times New Roman" w:hAnsi="Times New Roman" w:eastAsia="Times New Roman" w:cs="Times New Roman"/>
          <w:i/>
        </w:rPr>
        <w:t>Journal of Medicinal Chemistry</w:t>
      </w:r>
      <w:r>
        <w:rPr>
          <w:rFonts w:ascii="Times New Roman" w:hAnsi="Times New Roman" w:eastAsia="Times New Roman" w:cs="Times New Roman"/>
        </w:rPr>
        <w:t>, 45(8), pp. 1712–1722. DOI: 10.1021/jm010533y.</w:t>
      </w:r>
    </w:p>
    <w:p>
      <w:pPr>
        <w:tabs>
          <w:tab w:pos="567" w:val="left"/>
        </w:tabs>
        <w:spacing w:after="80"/>
        <w:ind w:hanging="567" w:left="567"/>
        <w:jc w:val="both"/>
      </w:pPr>
      <w:r>
        <w:rPr>
          <w:rFonts w:ascii="Times New Roman" w:hAnsi="Times New Roman" w:eastAsia="Times New Roman" w:cs="Times New Roman"/>
        </w:rPr>
        <w:t>[34]</w:t>
        <w:tab/>
        <w:t xml:space="preserve">Moseley H.G.J. (1913), “The high-frequency spectra of the elements”, </w:t>
      </w:r>
      <w:r>
        <w:rPr>
          <w:rFonts w:ascii="Times New Roman" w:hAnsi="Times New Roman" w:eastAsia="Times New Roman" w:cs="Times New Roman"/>
          <w:i/>
        </w:rPr>
        <w:t>The London, Edinburgh, and Dublin Philosophical Magazine and Journal of Science</w:t>
      </w:r>
      <w:r>
        <w:rPr>
          <w:rFonts w:ascii="Times New Roman" w:hAnsi="Times New Roman" w:eastAsia="Times New Roman" w:cs="Times New Roman"/>
        </w:rPr>
        <w:t>, Series 6, 26(156), pp. 1024–1034. DOI: 10.1080/14786441308635052.</w:t>
      </w:r>
    </w:p>
    <w:p>
      <w:pPr>
        <w:tabs>
          <w:tab w:pos="567" w:val="left"/>
        </w:tabs>
        <w:spacing w:after="80"/>
        <w:ind w:hanging="567" w:left="567"/>
        <w:jc w:val="both"/>
      </w:pPr>
      <w:r>
        <w:rPr>
          <w:rFonts w:ascii="Times New Roman" w:hAnsi="Times New Roman" w:eastAsia="Times New Roman" w:cs="Times New Roman"/>
        </w:rPr>
        <w:t>[35]</w:t>
        <w:tab/>
        <w:t xml:space="preserve">Nelson K.M., Dahlin J.L., Bisson J., Graham J., Pauli G.F., Walters M.A. (2017), “The essential medicinal chemistry of curcumin”, </w:t>
      </w:r>
      <w:r>
        <w:rPr>
          <w:rFonts w:ascii="Times New Roman" w:hAnsi="Times New Roman" w:eastAsia="Times New Roman" w:cs="Times New Roman"/>
          <w:i/>
        </w:rPr>
        <w:t>Journal of Medicinal Chemistry</w:t>
      </w:r>
      <w:r>
        <w:rPr>
          <w:rFonts w:ascii="Times New Roman" w:hAnsi="Times New Roman" w:eastAsia="Times New Roman" w:cs="Times New Roman"/>
        </w:rPr>
        <w:t>, 60(5), pp. 1620–1637. DOI: 10.1021/acs.jmedchem.6b00975.</w:t>
      </w:r>
    </w:p>
    <w:p>
      <w:pPr>
        <w:tabs>
          <w:tab w:pos="567" w:val="left"/>
        </w:tabs>
        <w:spacing w:after="80"/>
        <w:ind w:hanging="567" w:left="567"/>
        <w:jc w:val="both"/>
      </w:pPr>
      <w:r>
        <w:rPr>
          <w:rFonts w:ascii="Times New Roman" w:hAnsi="Times New Roman" w:eastAsia="Times New Roman" w:cs="Times New Roman"/>
        </w:rPr>
        <w:t>[36]</w:t>
        <w:tab/>
        <w:t xml:space="preserve">Newman D.J., Cragg G.M. (2020), “Natural products as sources of new drugs over the nearly four decades from 01/1981 to 09/2019”, </w:t>
      </w:r>
      <w:r>
        <w:rPr>
          <w:rFonts w:ascii="Times New Roman" w:hAnsi="Times New Roman" w:eastAsia="Times New Roman" w:cs="Times New Roman"/>
          <w:i/>
        </w:rPr>
        <w:t>Journal of Natural Products</w:t>
      </w:r>
      <w:r>
        <w:rPr>
          <w:rFonts w:ascii="Times New Roman" w:hAnsi="Times New Roman" w:eastAsia="Times New Roman" w:cs="Times New Roman"/>
        </w:rPr>
        <w:t>, 83(3), pp. 770–803. DOI: 10.1021/acs.jnatprod.9b01285.</w:t>
      </w:r>
    </w:p>
    <w:p>
      <w:pPr>
        <w:tabs>
          <w:tab w:pos="567" w:val="left"/>
        </w:tabs>
        <w:spacing w:after="80"/>
        <w:ind w:hanging="567" w:left="567"/>
        <w:jc w:val="both"/>
      </w:pPr>
      <w:r>
        <w:rPr>
          <w:rFonts w:ascii="Times New Roman" w:hAnsi="Times New Roman" w:eastAsia="Times New Roman" w:cs="Times New Roman"/>
        </w:rPr>
        <w:t>[37]</w:t>
        <w:tab/>
        <w:t xml:space="preserve">Oki T., Matsui T., Osajima Y. (1999), “Inhibitory effect of α-glucosidase inhibitors varies according to its origin”, </w:t>
      </w:r>
      <w:r>
        <w:rPr>
          <w:rFonts w:ascii="Times New Roman" w:hAnsi="Times New Roman" w:eastAsia="Times New Roman" w:cs="Times New Roman"/>
          <w:i/>
        </w:rPr>
        <w:t>Journal of Agricultural and Food Chemistry</w:t>
      </w:r>
      <w:r>
        <w:rPr>
          <w:rFonts w:ascii="Times New Roman" w:hAnsi="Times New Roman" w:eastAsia="Times New Roman" w:cs="Times New Roman"/>
        </w:rPr>
        <w:t>, 47(2), pp. 550–553. DOI: 10.1021/jf980788t.</w:t>
      </w:r>
    </w:p>
    <w:p>
      <w:pPr>
        <w:tabs>
          <w:tab w:pos="567" w:val="left"/>
        </w:tabs>
        <w:spacing w:after="80"/>
        <w:ind w:hanging="567" w:left="567"/>
        <w:jc w:val="both"/>
      </w:pPr>
      <w:r>
        <w:rPr>
          <w:rFonts w:ascii="Times New Roman" w:hAnsi="Times New Roman" w:eastAsia="Times New Roman" w:cs="Times New Roman"/>
        </w:rPr>
        <w:t>[38]</w:t>
        <w:tab/>
        <w:t xml:space="preserve">Orchard S., Al-Lazikani B., Bryant S., et al. (2011), “Minimum information about a bioactive entity (MIABE)”, </w:t>
      </w:r>
      <w:r>
        <w:rPr>
          <w:rFonts w:ascii="Times New Roman" w:hAnsi="Times New Roman" w:eastAsia="Times New Roman" w:cs="Times New Roman"/>
          <w:i/>
        </w:rPr>
        <w:t>Nature Reviews Drug Discovery</w:t>
      </w:r>
      <w:r>
        <w:rPr>
          <w:rFonts w:ascii="Times New Roman" w:hAnsi="Times New Roman" w:eastAsia="Times New Roman" w:cs="Times New Roman"/>
        </w:rPr>
        <w:t>, 10(9), pp. 661–669. DOI: 10.1038/nrd3503.</w:t>
      </w:r>
    </w:p>
    <w:p>
      <w:pPr>
        <w:tabs>
          <w:tab w:pos="567" w:val="left"/>
        </w:tabs>
        <w:spacing w:after="80"/>
        <w:ind w:hanging="567" w:left="567"/>
        <w:jc w:val="both"/>
      </w:pPr>
      <w:r>
        <w:rPr>
          <w:rFonts w:ascii="Times New Roman" w:hAnsi="Times New Roman" w:eastAsia="Times New Roman" w:cs="Times New Roman"/>
        </w:rPr>
        <w:t>[39]</w:t>
        <w:tab/>
        <w:t xml:space="preserve">Pauli G.F., Chen S.-N., Simmler C., et al. (2014), “Importance of purity evaluation and the potential of quantitative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as a purity assay”, </w:t>
      </w:r>
      <w:r>
        <w:rPr>
          <w:rFonts w:ascii="Times New Roman" w:hAnsi="Times New Roman" w:eastAsia="Times New Roman" w:cs="Times New Roman"/>
          <w:i/>
        </w:rPr>
        <w:t>Journal of Medicinal Chemistry</w:t>
      </w:r>
      <w:r>
        <w:rPr>
          <w:rFonts w:ascii="Times New Roman" w:hAnsi="Times New Roman" w:eastAsia="Times New Roman" w:cs="Times New Roman"/>
        </w:rPr>
        <w:t>, 57(22), pp. 9220–9231. DOI: 10.1021/jm500734a.</w:t>
      </w:r>
    </w:p>
    <w:p>
      <w:pPr>
        <w:tabs>
          <w:tab w:pos="567" w:val="left"/>
        </w:tabs>
        <w:spacing w:after="80"/>
        <w:ind w:hanging="567" w:left="567"/>
        <w:jc w:val="both"/>
      </w:pPr>
      <w:r>
        <w:rPr>
          <w:rFonts w:ascii="Times New Roman" w:hAnsi="Times New Roman" w:eastAsia="Times New Roman" w:cs="Times New Roman"/>
        </w:rPr>
        <w:t>[40]</w:t>
        <w:tab/>
        <w:t xml:space="preserve">Prinz F., Schlange T., Asadullah K. (2011), “Believe it or not: how much can we rely on published data on potential drug targets?”, </w:t>
      </w:r>
      <w:r>
        <w:rPr>
          <w:rFonts w:ascii="Times New Roman" w:hAnsi="Times New Roman" w:eastAsia="Times New Roman" w:cs="Times New Roman"/>
          <w:i/>
        </w:rPr>
        <w:t>Nature Reviews Drug Discovery</w:t>
      </w:r>
      <w:r>
        <w:rPr>
          <w:rFonts w:ascii="Times New Roman" w:hAnsi="Times New Roman" w:eastAsia="Times New Roman" w:cs="Times New Roman"/>
        </w:rPr>
        <w:t>, 10(9), p. 712. DOI: 10.1038/nrd3439-c1.</w:t>
      </w:r>
    </w:p>
    <w:p>
      <w:pPr>
        <w:tabs>
          <w:tab w:pos="567" w:val="left"/>
        </w:tabs>
        <w:spacing w:after="80"/>
        <w:ind w:hanging="567" w:left="567"/>
        <w:jc w:val="both"/>
      </w:pPr>
      <w:r>
        <w:rPr>
          <w:rFonts w:ascii="Times New Roman" w:hAnsi="Times New Roman" w:eastAsia="Times New Roman" w:cs="Times New Roman"/>
        </w:rPr>
        <w:t>[41]</w:t>
        <w:tab/>
        <w:t xml:space="preserve">Shoichet B.K. (2006), “Screening in a spirit haunted world”, </w:t>
      </w:r>
      <w:r>
        <w:rPr>
          <w:rFonts w:ascii="Times New Roman" w:hAnsi="Times New Roman" w:eastAsia="Times New Roman" w:cs="Times New Roman"/>
          <w:i/>
        </w:rPr>
        <w:t>Drug Discovery Today</w:t>
      </w:r>
      <w:r>
        <w:rPr>
          <w:rFonts w:ascii="Times New Roman" w:hAnsi="Times New Roman" w:eastAsia="Times New Roman" w:cs="Times New Roman"/>
        </w:rPr>
        <w:t>, 11(13–14), pp. 607–615. DOI: 10.1016/j.drudis.2006.05.014.</w:t>
      </w:r>
    </w:p>
    <w:p>
      <w:pPr>
        <w:tabs>
          <w:tab w:pos="567" w:val="left"/>
        </w:tabs>
        <w:spacing w:after="80"/>
        <w:ind w:hanging="567" w:left="567"/>
        <w:jc w:val="both"/>
      </w:pPr>
      <w:r>
        <w:rPr>
          <w:rFonts w:ascii="Times New Roman" w:hAnsi="Times New Roman" w:eastAsia="Times New Roman" w:cs="Times New Roman"/>
        </w:rPr>
        <w:t>[42]</w:t>
        <w:tab/>
        <w:t xml:space="preserve">Sun D., Gao W., Hu H., Zhou S. (2022), “Why 90% of clinical drug development fails and how to improve it?”, </w:t>
      </w:r>
      <w:r>
        <w:rPr>
          <w:rFonts w:ascii="Times New Roman" w:hAnsi="Times New Roman" w:eastAsia="Times New Roman" w:cs="Times New Roman"/>
          <w:i/>
        </w:rPr>
        <w:t>Acta Pharmaceutica Sinica B</w:t>
      </w:r>
      <w:r>
        <w:rPr>
          <w:rFonts w:ascii="Times New Roman" w:hAnsi="Times New Roman" w:eastAsia="Times New Roman" w:cs="Times New Roman"/>
        </w:rPr>
        <w:t>, 12(7), pp. 3049–3062. DOI: 10.1016/j.apsb.2022.02.002.</w:t>
      </w:r>
    </w:p>
    <w:p>
      <w:pPr>
        <w:tabs>
          <w:tab w:pos="567" w:val="left"/>
        </w:tabs>
        <w:spacing w:after="80"/>
        <w:ind w:hanging="567" w:left="567"/>
        <w:jc w:val="both"/>
      </w:pPr>
      <w:r>
        <w:rPr>
          <w:rFonts w:ascii="Times New Roman" w:hAnsi="Times New Roman" w:eastAsia="Times New Roman" w:cs="Times New Roman"/>
        </w:rPr>
        <w:t>[43]</w:t>
        <w:tab/>
        <w:t xml:space="preserve">Vargesson N. (2015), “Thalidomide-induced teratogenesis: history and mechanisms”, </w:t>
      </w:r>
      <w:r>
        <w:rPr>
          <w:rFonts w:ascii="Times New Roman" w:hAnsi="Times New Roman" w:eastAsia="Times New Roman" w:cs="Times New Roman"/>
          <w:i/>
        </w:rPr>
        <w:t>Birth Defects Research Part C: Embryo Today: Reviews</w:t>
      </w:r>
      <w:r>
        <w:rPr>
          <w:rFonts w:ascii="Times New Roman" w:hAnsi="Times New Roman" w:eastAsia="Times New Roman" w:cs="Times New Roman"/>
        </w:rPr>
        <w:t>, 105(2), pp. 140–156. DOI: 10.1002/bdrc.21096.</w:t>
      </w:r>
    </w:p>
    <w:p>
      <w:pPr>
        <w:tabs>
          <w:tab w:pos="567" w:val="left"/>
        </w:tabs>
        <w:spacing w:after="80"/>
        <w:ind w:hanging="567" w:left="567"/>
        <w:jc w:val="both"/>
      </w:pPr>
      <w:r>
        <w:rPr>
          <w:rFonts w:ascii="Times New Roman" w:hAnsi="Times New Roman" w:eastAsia="Times New Roman" w:cs="Times New Roman"/>
        </w:rPr>
        <w:t>[44]</w:t>
        <w:tab/>
        <w:t xml:space="preserve">Warren G.L., Andrews C.W., Capelli A.M., et al. (2006), “A critical assessment of docking programs and scoring functions”, </w:t>
      </w:r>
      <w:r>
        <w:rPr>
          <w:rFonts w:ascii="Times New Roman" w:hAnsi="Times New Roman" w:eastAsia="Times New Roman" w:cs="Times New Roman"/>
          <w:i/>
        </w:rPr>
        <w:t>Journal of Medicinal Chemistry</w:t>
      </w:r>
      <w:r>
        <w:rPr>
          <w:rFonts w:ascii="Times New Roman" w:hAnsi="Times New Roman" w:eastAsia="Times New Roman" w:cs="Times New Roman"/>
        </w:rPr>
        <w:t>, 49(20), pp. 5912–5931. DOI: 10.1021/jm050362n.</w:t>
      </w:r>
    </w:p>
    <w:p>
      <w:pPr>
        <w:tabs>
          <w:tab w:pos="567" w:val="left"/>
        </w:tabs>
        <w:spacing w:after="80"/>
        <w:ind w:hanging="567" w:left="567"/>
        <w:jc w:val="both"/>
      </w:pPr>
      <w:r>
        <w:rPr>
          <w:rFonts w:ascii="Times New Roman" w:hAnsi="Times New Roman" w:eastAsia="Times New Roman" w:cs="Times New Roman"/>
        </w:rPr>
        <w:t>[45]</w:t>
        <w:tab/>
        <w:t xml:space="preserve">Wehmeier U.F., Piepersberg W. (2004), “Biotechnology and molecular biology of the α-glucosidase inhibitor acarbose”, </w:t>
      </w:r>
      <w:r>
        <w:rPr>
          <w:rFonts w:ascii="Times New Roman" w:hAnsi="Times New Roman" w:eastAsia="Times New Roman" w:cs="Times New Roman"/>
          <w:i/>
        </w:rPr>
        <w:t>Applied Microbiology and Biotechnology</w:t>
      </w:r>
      <w:r>
        <w:rPr>
          <w:rFonts w:ascii="Times New Roman" w:hAnsi="Times New Roman" w:eastAsia="Times New Roman" w:cs="Times New Roman"/>
        </w:rPr>
        <w:t>, 63(6), pp. 613–625. DOI: 10.1007/s00253-003-1477-2.</w:t>
      </w:r>
    </w:p>
    <w:p>
      <w:pPr>
        <w:tabs>
          <w:tab w:pos="567" w:val="left"/>
        </w:tabs>
        <w:spacing w:after="80"/>
        <w:ind w:hanging="567" w:left="567"/>
        <w:jc w:val="both"/>
      </w:pPr>
      <w:r>
        <w:rPr>
          <w:rFonts w:ascii="Times New Roman" w:hAnsi="Times New Roman" w:eastAsia="Times New Roman" w:cs="Times New Roman"/>
        </w:rPr>
        <w:t>[46]</w:t>
        <w:tab/>
        <w:t xml:space="preserve">Weibel E.K., Hadvary P., Hochuli E., Kupfer E., Lengsfeld H. (1987), “Lipstatin, an inhibitor of pancreatic lipase, produced by </w:t>
      </w:r>
      <w:r>
        <w:rPr>
          <w:rFonts w:ascii="Times New Roman" w:hAnsi="Times New Roman" w:eastAsia="Times New Roman" w:cs="Times New Roman"/>
          <w:i/>
        </w:rPr>
        <w:t>Streptomyces toxytricini</w:t>
      </w:r>
      <w:r>
        <w:rPr>
          <w:rFonts w:ascii="Times New Roman" w:hAnsi="Times New Roman" w:eastAsia="Times New Roman" w:cs="Times New Roman"/>
        </w:rPr>
        <w:t xml:space="preserve">. I. Producing organism, fermentation, isolation and biological activity”, </w:t>
      </w:r>
      <w:r>
        <w:rPr>
          <w:rFonts w:ascii="Times New Roman" w:hAnsi="Times New Roman" w:eastAsia="Times New Roman" w:cs="Times New Roman"/>
          <w:i/>
        </w:rPr>
        <w:t>The Journal of Antibiotics</w:t>
      </w:r>
      <w:r>
        <w:rPr>
          <w:rFonts w:ascii="Times New Roman" w:hAnsi="Times New Roman" w:eastAsia="Times New Roman" w:cs="Times New Roman"/>
        </w:rPr>
        <w:t>, 40(8), pp. 1081–1085. DOI: 10.7164/antibiotics.40.1081.</w:t>
      </w:r>
    </w:p>
    <w:sectPr w:rsidR="00FC693F" w:rsidRPr="0006063C" w:rsidSect="00034616">
      <w:headerReference w:type="default" r:id="rId10"/>
      <w:pgSz w:w="11906" w:h="16838"/>
      <w:pgMar w:top="1984" w:right="1134" w:bottom="1701" w:left="1984" w:header="1020" w:footer="850" w:gutter="0"/>
      <w:pgNumType w:fmt="decimal"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firstLine="0"/>
      <w:jc w:val="center"/>
    </w:pPr>
    <w:r>
      <w:rPr>
        <w:rFonts w:ascii="Times New Roman" w:hAnsi="Times New Roman" w:eastAsia="Times New Roman" w:cs="Times New Roman"/>
        <w:sz w:val="26"/>
      </w:rPr>
      <w:fldChar w:fldCharType="begin"/>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sz w:val="26"/>
      </w:rPr>
      <w:t>1</w:t>
    </w:r>
    <w:r>
      <w:rPr>
        <w:rFonts w:ascii="Times New Roman" w:hAnsi="Times New Roman" w:eastAsia="Times New Roman" w:cs="Times New Roman"/>
        <w:sz w:val="26"/>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ind w:firstLine="0"/>
      <w:jc w:val="center"/>
    </w:pPr>
    <w:r>
      <w:rPr>
        <w:rFonts w:ascii="Times New Roman" w:hAnsi="Times New Roman" w:eastAsia="Times New Roman" w:cs="Times New Roman"/>
        <w:sz w:val="26"/>
      </w:rPr>
      <w:fldChar w:fldCharType="begin"/>
    </w:r>
    <w:r>
      <w:rPr>
        <w:rFonts w:ascii="Times New Roman" w:hAnsi="Times New Roman" w:eastAsia="Times New Roman" w:cs="Times New Roman"/>
        <w:sz w:val="26"/>
      </w:rPr>
      <w:instrText xml:space="preserve">PAGE</w:instrText>
    </w:r>
    <w:r>
      <w:rPr>
        <w:rFonts w:ascii="Times New Roman" w:hAnsi="Times New Roman" w:eastAsia="Times New Roman" w:cs="Times New Roman"/>
        <w:sz w:val="26"/>
      </w:rPr>
      <w:fldChar w:fldCharType="separate"/>
    </w:r>
    <w:r>
      <w:rPr>
        <w:rFonts w:ascii="Times New Roman" w:hAnsi="Times New Roman" w:eastAsia="Times New Roman" w:cs="Times New Roman"/>
        <w:sz w:val="26"/>
      </w:rPr>
      <w:t>1</w:t>
    </w:r>
    <w:r>
      <w:rPr>
        <w:rFonts w:ascii="Times New Roman" w:hAnsi="Times New Roman" w:eastAsia="Times New Roman" w:cs="Times New Roman"/>
        <w:sz w:val="26"/>
      </w:rPr>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before="0" w:after="60"/>
      <w:jc w:val="both"/>
    </w:pPr>
    <w:rPr>
      <w:rFonts w:ascii="Times New Roman" w:hAnsi="Times New Roman" w:eastAsia="Times New Roman" w:cs="Times New Roman"/>
      <w:b w:val="0"/>
      <w:i w:val="0"/>
      <w:color w:val="000000"/>
      <w:sz w:val="26"/>
      <w:lang w:val="vi-V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276" w:lineRule="auto"/>
      <w:ind w:firstLine="0" w:left="0"/>
      <w:jc w:val="center"/>
      <w:outlineLvl w:val="0"/>
    </w:pPr>
    <w:rPr>
      <w:rFonts w:ascii="Times New Roman" w:hAnsi="Times New Roman" w:eastAsia="Times New Roman" w:cs="Times New Roman"/>
      <w:b/>
      <w:bCs/>
      <w:i w:val="0"/>
      <w:color w:val="000000"/>
      <w:sz w:val="28"/>
      <w:szCs w:val="28"/>
      <w:lang w:val="vi-VN"/>
    </w:rPr>
  </w:style>
  <w:style w:type="paragraph" w:styleId="Heading2">
    <w:name w:val="heading 2"/>
    <w:basedOn w:val="Normal"/>
    <w:next w:val="Normal"/>
    <w:link w:val="Heading2Char"/>
    <w:uiPriority w:val="9"/>
    <w:unhideWhenUsed/>
    <w:qFormat/>
    <w:rsid w:val="00FC693F"/>
    <w:pPr>
      <w:keepNext/>
      <w:keepLines/>
      <w:spacing w:before="120" w:after="60" w:line="276" w:lineRule="auto"/>
      <w:ind w:firstLine="0" w:left="0"/>
      <w:jc w:val="left"/>
      <w:outlineLvl w:val="1"/>
    </w:pPr>
    <w:rPr>
      <w:rFonts w:ascii="Times New Roman" w:hAnsi="Times New Roman" w:eastAsia="Times New Roman" w:cs="Times New Roman"/>
      <w:b/>
      <w:bCs/>
      <w:i w:val="0"/>
      <w:color w:val="000000"/>
      <w:sz w:val="26"/>
      <w:szCs w:val="26"/>
      <w:lang w:val="vi-VN"/>
    </w:rPr>
  </w:style>
  <w:style w:type="paragraph" w:styleId="Heading3">
    <w:name w:val="heading 3"/>
    <w:basedOn w:val="Normal"/>
    <w:next w:val="Normal"/>
    <w:link w:val="Heading3Char"/>
    <w:uiPriority w:val="9"/>
    <w:unhideWhenUsed/>
    <w:qFormat/>
    <w:rsid w:val="00FC693F"/>
    <w:pPr>
      <w:keepNext/>
      <w:keepLines/>
      <w:spacing w:before="120" w:after="60" w:line="276" w:lineRule="auto"/>
      <w:ind w:firstLine="0" w:left="0"/>
      <w:jc w:val="left"/>
      <w:outlineLvl w:val="2"/>
    </w:pPr>
    <w:rPr>
      <w:rFonts w:ascii="Times New Roman" w:hAnsi="Times New Roman" w:eastAsia="Times New Roman" w:cs="Times New Roman"/>
      <w:b/>
      <w:bCs/>
      <w:i/>
      <w:color w:val="000000"/>
      <w:sz w:val="26"/>
      <w:lang w:val="vi-V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Vận dụng cặp phạm trù bản chất và hiện tượng trong đánh giá hoạt tính ức chế enzyme của hợp chất thiên nhiên</dc:title>
  <dc:subject/>
  <dc:creator>Nguyễn Đoàn Diễm Ngọc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