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Phần</w:t>
      </w:r>
      <w:r>
        <w:t xml:space="preserve"> </w:t>
      </w:r>
      <w:r>
        <w:t xml:space="preserve">1:</w:t>
      </w:r>
      <w:r>
        <w:t xml:space="preserve"> </w:t>
      </w:r>
      <w:r>
        <w:t xml:space="preserve">Đại</w:t>
      </w:r>
      <w:r>
        <w:t xml:space="preserve"> </w:t>
      </w:r>
      <w:r>
        <w:t xml:space="preserve">cương</w:t>
      </w:r>
      <w:r>
        <w:t xml:space="preserve"> </w:t>
      </w:r>
      <w:r>
        <w:t xml:space="preserve">về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Mục lục:</w:t>
      </w:r>
    </w:p>
    <w:p>
      <w:pPr>
        <w:pStyle w:val="BodyText"/>
      </w:pPr>
      <w:hyperlink r:id="rId20">
        <w:r>
          <w:rPr>
            <w:rStyle w:val="Hyperlink"/>
          </w:rPr>
          <w:t xml:space="preserve">Chương 1: Đại cương về cao chiết và hợp chất tự nhiên</w:t>
        </w:r>
      </w:hyperlink>
    </w:p>
    <w:p>
      <w:pPr>
        <w:pStyle w:val="Compact"/>
        <w:numPr>
          <w:ilvl w:val="0"/>
          <w:numId w:val="1001"/>
        </w:numPr>
      </w:pPr>
      <w:r>
        <w:t xml:space="preserve">1.1 Hợp chất có hoạt tính sinh học từ thực vật</w:t>
      </w:r>
    </w:p>
    <w:p>
      <w:pPr>
        <w:pStyle w:val="Compact"/>
        <w:numPr>
          <w:ilvl w:val="0"/>
          <w:numId w:val="1001"/>
        </w:numPr>
      </w:pPr>
      <w:r>
        <w:t xml:space="preserve">1.2 Phân loại các hợp chất từ tự nhiên</w:t>
      </w:r>
    </w:p>
    <w:p>
      <w:pPr>
        <w:pStyle w:val="Compact"/>
        <w:numPr>
          <w:ilvl w:val="0"/>
          <w:numId w:val="1001"/>
        </w:numPr>
      </w:pPr>
      <w:r>
        <w:t xml:space="preserve">1.3 Tầm quan trọng của quá trình chiết xuất</w:t>
      </w:r>
    </w:p>
    <w:p>
      <w:pPr>
        <w:pStyle w:val="Compact"/>
        <w:numPr>
          <w:ilvl w:val="0"/>
          <w:numId w:val="1001"/>
        </w:numPr>
      </w:pPr>
      <w:r>
        <w:t xml:space="preserve">1.4 Một số dung môi phổ biến dùng trong chiết suất</w:t>
      </w:r>
    </w:p>
    <w:p>
      <w:pPr>
        <w:pStyle w:val="Compact"/>
        <w:numPr>
          <w:ilvl w:val="0"/>
          <w:numId w:val="1001"/>
        </w:numPr>
      </w:pPr>
      <w:r>
        <w:t xml:space="preserve">1.5 Phân đoạn bằng phương pháp chiết lỏng-lỏng</w:t>
      </w:r>
    </w:p>
    <w:p>
      <w:pPr>
        <w:pStyle w:val="Compact"/>
        <w:numPr>
          <w:ilvl w:val="0"/>
          <w:numId w:val="1001"/>
        </w:numPr>
      </w:pPr>
      <w:r>
        <w:t xml:space="preserve">1.6 Ứng dụng cao chiết trong ngành dược</w:t>
      </w:r>
    </w:p>
    <w:p>
      <w:pPr>
        <w:pStyle w:val="FirstParagraph"/>
      </w:pPr>
      <w:hyperlink r:id="rId21">
        <w:r>
          <w:rPr>
            <w:rStyle w:val="Hyperlink"/>
          </w:rPr>
          <w:t xml:space="preserve">Chương 2: Các phương pháp chiết suất thường quy</w:t>
        </w:r>
      </w:hyperlink>
    </w:p>
    <w:p>
      <w:pPr>
        <w:pStyle w:val="Compact"/>
        <w:numPr>
          <w:ilvl w:val="0"/>
          <w:numId w:val="1002"/>
        </w:numPr>
      </w:pPr>
      <w:r>
        <w:t xml:space="preserve">2.1 Chiết Soxhlet và một số thiết bị được cải tiến</w:t>
      </w:r>
    </w:p>
    <w:p>
      <w:pPr>
        <w:pStyle w:val="Compact"/>
        <w:numPr>
          <w:ilvl w:val="0"/>
          <w:numId w:val="1002"/>
        </w:numPr>
      </w:pPr>
      <w:r>
        <w:t xml:space="preserve">2.2 Chiết ngâm</w:t>
      </w:r>
    </w:p>
    <w:p>
      <w:pPr>
        <w:pStyle w:val="Compact"/>
        <w:numPr>
          <w:ilvl w:val="0"/>
          <w:numId w:val="1002"/>
        </w:numPr>
      </w:pPr>
      <w:r>
        <w:t xml:space="preserve">2.3 Phương pháp cất kéo hơi nước</w:t>
      </w:r>
    </w:p>
    <w:p>
      <w:pPr>
        <w:pStyle w:val="Compact"/>
        <w:numPr>
          <w:ilvl w:val="0"/>
          <w:numId w:val="1002"/>
        </w:numPr>
      </w:pPr>
      <w:r>
        <w:t xml:space="preserve">2.4 Giới hạn của phương pháp thường quy</w:t>
      </w:r>
    </w:p>
    <w:p>
      <w:pPr>
        <w:pStyle w:val="Compact"/>
        <w:numPr>
          <w:ilvl w:val="0"/>
          <w:numId w:val="1002"/>
        </w:numPr>
      </w:pPr>
      <w:r>
        <w:t xml:space="preserve">2.5 Tổng kết</w:t>
      </w:r>
    </w:p>
    <w:p>
      <w:pPr>
        <w:pStyle w:val="FirstParagraph"/>
      </w:pPr>
      <w:hyperlink r:id="rId22">
        <w:r>
          <w:rPr>
            <w:rStyle w:val="Hyperlink"/>
          </w:rPr>
          <w:t xml:space="preserve">Chương 3: Các phương pháp chiết suất mới</w:t>
        </w:r>
      </w:hyperlink>
    </w:p>
    <w:p>
      <w:pPr>
        <w:pStyle w:val="Compact"/>
        <w:numPr>
          <w:ilvl w:val="0"/>
          <w:numId w:val="1003"/>
        </w:numPr>
      </w:pPr>
      <w:r>
        <w:t xml:space="preserve">3.1 Phương pháp chiết siêu âm</w:t>
      </w:r>
    </w:p>
    <w:p>
      <w:pPr>
        <w:pStyle w:val="Compact"/>
        <w:numPr>
          <w:ilvl w:val="0"/>
          <w:numId w:val="1003"/>
        </w:numPr>
      </w:pPr>
      <w:r>
        <w:t xml:space="preserve">3.2 Phương pháp chiết với trợ giúp vi sóng</w:t>
      </w:r>
    </w:p>
    <w:p>
      <w:pPr>
        <w:pStyle w:val="Compact"/>
        <w:numPr>
          <w:ilvl w:val="0"/>
          <w:numId w:val="1003"/>
        </w:numPr>
      </w:pPr>
      <w:r>
        <w:t xml:space="preserve">3.3 Phương pháp chiết xuất bằng xung điện trường</w:t>
      </w:r>
    </w:p>
    <w:p>
      <w:pPr>
        <w:pStyle w:val="Compact"/>
        <w:numPr>
          <w:ilvl w:val="0"/>
          <w:numId w:val="1003"/>
        </w:numPr>
      </w:pPr>
      <w:r>
        <w:t xml:space="preserve">3.4 Phương pháp chiết siêu tới hạn</w:t>
      </w:r>
    </w:p>
    <w:p>
      <w:pPr>
        <w:pStyle w:val="Compact"/>
        <w:numPr>
          <w:ilvl w:val="0"/>
          <w:numId w:val="1003"/>
        </w:numPr>
      </w:pPr>
      <w:r>
        <w:t xml:space="preserve">3.5 Phương pháp chiết áp suất cao</w:t>
      </w:r>
    </w:p>
    <w:p>
      <w:pPr>
        <w:pStyle w:val="Compact"/>
        <w:numPr>
          <w:ilvl w:val="0"/>
          <w:numId w:val="1003"/>
        </w:numPr>
      </w:pPr>
      <w:r>
        <w:t xml:space="preserve">3.6 Chiết suất với sự trợ giúp của enzyem</w:t>
      </w:r>
    </w:p>
    <w:p>
      <w:pPr>
        <w:pStyle w:val="Compact"/>
        <w:numPr>
          <w:ilvl w:val="0"/>
          <w:numId w:val="1003"/>
        </w:numPr>
      </w:pPr>
      <w:r>
        <w:t xml:space="preserve">3.7 Chiết suất sử dụng nhiệt điện trở (Ohmic)</w:t>
      </w:r>
    </w:p>
    <w:p>
      <w:pPr>
        <w:pStyle w:val="Compact"/>
        <w:numPr>
          <w:ilvl w:val="0"/>
          <w:numId w:val="1003"/>
        </w:numPr>
      </w:pPr>
      <w:r>
        <w:t xml:space="preserve">3.8 Tổng kết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art_1/chapter_1.qmd" TargetMode="External" /><Relationship Type="http://schemas.openxmlformats.org/officeDocument/2006/relationships/hyperlink" Id="rId21" Target="../part_1/chapter_2.qmd" TargetMode="External" /><Relationship Type="http://schemas.openxmlformats.org/officeDocument/2006/relationships/hyperlink" Id="rId22" Target="../part_1/chapter_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art_1/chapter_1.qmd" TargetMode="External" /><Relationship Type="http://schemas.openxmlformats.org/officeDocument/2006/relationships/hyperlink" Id="rId21" Target="../part_1/chapter_2.qmd" TargetMode="External" /><Relationship Type="http://schemas.openxmlformats.org/officeDocument/2006/relationships/hyperlink" Id="rId22" Target="../part_1/chapter_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1: Đại cương về chiết xuất</dc:title>
  <dc:creator>TS. Hoàng Lê Sơn</dc:creator>
  <cp:keywords/>
  <dcterms:created xsi:type="dcterms:W3CDTF">2025-01-03T07:19:04Z</dcterms:created>
  <dcterms:modified xsi:type="dcterms:W3CDTF">2025-01-03T07:19:04Z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../references/BookExtraction.bib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../references/natural-product-reports.csl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