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0"/>
        <w:spacing w:before="180" w:line="219" w:lineRule="auto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ESG </w:t>
      </w:r>
      <w:r>
        <w:rPr>
          <w:rFonts w:ascii="SimHei" w:hAnsi="SimHei" w:eastAsia="SimHei" w:cs="SimHei"/>
          <w:sz w:val="28"/>
          <w:szCs w:val="28"/>
          <w:b/>
          <w:bCs/>
          <w:spacing w:val="-2"/>
        </w:rPr>
        <w:t>报告数据智能提取与分析：基于大模型的定量与定性指标识别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ind w:left="29"/>
        <w:spacing w:before="91" w:line="220" w:lineRule="auto"/>
        <w:outlineLvl w:val="0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11"/>
        </w:rPr>
        <w:t>一、赛题题目</w:t>
      </w:r>
    </w:p>
    <w:p>
      <w:pPr>
        <w:ind w:left="501"/>
        <w:spacing w:before="234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ESG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报告数据智能提取与分析：基于大模型的定量与定性指标识别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29"/>
        <w:spacing w:before="91" w:line="219" w:lineRule="auto"/>
        <w:outlineLvl w:val="0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5"/>
        </w:rPr>
        <w:t>二、背景介绍</w:t>
      </w:r>
    </w:p>
    <w:p>
      <w:pPr>
        <w:pStyle w:val="BodyText"/>
        <w:ind w:left="21" w:right="7" w:firstLine="433"/>
        <w:spacing w:before="246" w:line="412" w:lineRule="auto"/>
        <w:jc w:val="both"/>
        <w:rPr/>
      </w:pPr>
      <w:r>
        <w:rPr>
          <w:spacing w:val="-2"/>
        </w:rPr>
        <w:t>随着全球对可持续发展的重视日益增强，环境、社会与治理（</w:t>
      </w:r>
      <w:r>
        <w:rPr>
          <w:rFonts w:ascii="Times New Roman" w:hAnsi="Times New Roman" w:eastAsia="Times New Roman" w:cs="Times New Roman"/>
          <w:spacing w:val="-2"/>
        </w:rPr>
        <w:t>ESG</w:t>
      </w:r>
      <w:r>
        <w:rPr>
          <w:spacing w:val="-2"/>
        </w:rPr>
        <w:t>）</w:t>
      </w:r>
      <w:r>
        <w:rPr>
          <w:spacing w:val="-3"/>
        </w:rPr>
        <w:t>已成为衡量企业长</w:t>
      </w:r>
      <w:r>
        <w:rPr>
          <w:spacing w:val="-1"/>
        </w:rPr>
        <w:t>期价值和社会责任的重要标准。企业在披露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ESG </w:t>
      </w:r>
      <w:r>
        <w:rPr>
          <w:spacing w:val="-1"/>
        </w:rPr>
        <w:t>信息时，通常以年度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E</w:t>
      </w:r>
      <w:r>
        <w:rPr>
          <w:rFonts w:ascii="Times New Roman" w:hAnsi="Times New Roman" w:eastAsia="Times New Roman" w:cs="Times New Roman"/>
          <w:spacing w:val="-2"/>
        </w:rPr>
        <w:t>SG </w:t>
      </w:r>
      <w:r>
        <w:rPr>
          <w:spacing w:val="-2"/>
        </w:rPr>
        <w:t>报告或社会责任</w:t>
      </w:r>
      <w:r>
        <w:rPr>
          <w:spacing w:val="-2"/>
        </w:rPr>
        <w:t>报告的形式发布，内容涵盖温室气体排放、能源消耗、</w:t>
      </w:r>
      <w:r>
        <w:rPr>
          <w:spacing w:val="-3"/>
        </w:rPr>
        <w:t>员工培训时长、董事会多样性、反腐</w:t>
      </w:r>
      <w:r>
        <w:rPr/>
        <w:t>败措施等多项指标。这些报告多以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</w:rPr>
        <w:t>PDF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/>
        <w:t>格式发布，内容冗长、结构多样，且包</w:t>
      </w:r>
      <w:r>
        <w:rPr>
          <w:spacing w:val="-1"/>
        </w:rPr>
        <w:t>含大量非结</w:t>
      </w:r>
      <w:r>
        <w:rPr>
          <w:spacing w:val="-1"/>
        </w:rPr>
        <w:t>构化文本和表格信息。</w:t>
      </w:r>
    </w:p>
    <w:p>
      <w:pPr>
        <w:pStyle w:val="BodyText"/>
        <w:ind w:left="21" w:right="7" w:firstLine="416"/>
        <w:spacing w:before="1" w:line="412" w:lineRule="auto"/>
        <w:rPr/>
      </w:pPr>
      <w:r>
        <w:rPr>
          <w:rFonts w:ascii="Times New Roman" w:hAnsi="Times New Roman" w:eastAsia="Times New Roman" w:cs="Times New Roman"/>
        </w:rPr>
        <w:t>ESG  </w:t>
      </w:r>
      <w:r>
        <w:rPr/>
        <w:t>报告的阅读和分析对投资者、评级机构、监管部门和学术研究者具有重要意义。</w:t>
      </w:r>
      <w:r>
        <w:rPr/>
        <w:t>然而，当前主流的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</w:rPr>
        <w:t>ESG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/>
        <w:t>信息提取仍依赖人工阅读和手</w:t>
      </w:r>
      <w:r>
        <w:rPr>
          <w:spacing w:val="-1"/>
        </w:rPr>
        <w:t>动录入，效率低下且易出错。尤其是</w:t>
      </w:r>
      <w:r>
        <w:rPr>
          <w:spacing w:val="-1"/>
        </w:rPr>
        <w:t>在需要同时提取定量指标（如碳排放量、女性高管比</w:t>
      </w:r>
      <w:r>
        <w:rPr>
          <w:spacing w:val="-2"/>
        </w:rPr>
        <w:t>例）和定性指标（如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ESG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2"/>
        </w:rPr>
        <w:t>战略描述、</w:t>
      </w:r>
      <w:r>
        <w:rPr/>
        <w:t>治理结构说明）时，传统规则模型难以覆盖多变的语言表达和排版方</w:t>
      </w:r>
      <w:r>
        <w:rPr>
          <w:spacing w:val="-1"/>
        </w:rPr>
        <w:t>式。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ind w:left="31"/>
        <w:spacing w:before="91" w:line="220" w:lineRule="auto"/>
        <w:outlineLvl w:val="0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5"/>
        </w:rPr>
        <w:t>三、问题提出</w:t>
      </w:r>
    </w:p>
    <w:p>
      <w:pPr>
        <w:pStyle w:val="BodyText"/>
        <w:ind w:left="24" w:right="7" w:firstLine="418"/>
        <w:spacing w:before="243" w:line="413" w:lineRule="auto"/>
        <w:rPr/>
      </w:pPr>
      <w:r>
        <w:rPr>
          <w:spacing w:val="-3"/>
        </w:rPr>
        <w:t>基于上述背景，现向各参赛队提出如下任务，要求参赛团队结合大模型技术，设计并实</w:t>
      </w:r>
      <w:r>
        <w:rPr>
          <w:spacing w:val="-1"/>
        </w:rPr>
        <w:t>现一套从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ESG </w:t>
      </w:r>
      <w:r>
        <w:rPr>
          <w:spacing w:val="-1"/>
        </w:rPr>
        <w:t>报告中高效、精准提取定量与定性指标的智能系统。</w:t>
      </w:r>
    </w:p>
    <w:p>
      <w:pPr>
        <w:pStyle w:val="BodyText"/>
        <w:ind w:left="30"/>
        <w:spacing w:before="140" w:line="233" w:lineRule="auto"/>
        <w:outlineLvl w:val="1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1</w:t>
      </w:r>
      <w:r>
        <w:rPr>
          <w:sz w:val="24"/>
          <w:szCs w:val="24"/>
          <w:b/>
          <w:bCs/>
          <w:spacing w:val="-4"/>
        </w:rPr>
        <w:t>、数据采集与预处理</w:t>
      </w:r>
    </w:p>
    <w:p>
      <w:pPr>
        <w:pStyle w:val="BodyText"/>
        <w:ind w:left="25" w:right="9" w:firstLine="416"/>
        <w:spacing w:before="179" w:line="409" w:lineRule="auto"/>
        <w:jc w:val="both"/>
        <w:rPr/>
      </w:pPr>
      <w:r>
        <w:rPr>
          <w:spacing w:val="-2"/>
        </w:rPr>
        <w:t>在合法合规的前提下，自主采集不少于 </w:t>
      </w:r>
      <w:r>
        <w:rPr>
          <w:rFonts w:ascii="Times New Roman" w:hAnsi="Times New Roman" w:eastAsia="Times New Roman" w:cs="Times New Roman"/>
          <w:spacing w:val="-2"/>
        </w:rPr>
        <w:t>100</w:t>
      </w:r>
      <w:r>
        <w:rPr>
          <w:rFonts w:ascii="Times New Roman" w:hAnsi="Times New Roman" w:eastAsia="Times New Roman" w:cs="Times New Roman"/>
          <w:spacing w:val="57"/>
          <w:w w:val="101"/>
        </w:rPr>
        <w:t xml:space="preserve"> </w:t>
      </w:r>
      <w:r>
        <w:rPr>
          <w:spacing w:val="-2"/>
        </w:rPr>
        <w:t>份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2"/>
        </w:rPr>
        <w:t>股或港股上市公司发布的 </w:t>
      </w:r>
      <w:r>
        <w:rPr>
          <w:rFonts w:ascii="Times New Roman" w:hAnsi="Times New Roman" w:eastAsia="Times New Roman" w:cs="Times New Roman"/>
          <w:spacing w:val="-2"/>
        </w:rPr>
        <w:t>ESG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spacing w:val="-2"/>
        </w:rPr>
        <w:t>报告</w:t>
      </w:r>
      <w:r>
        <w:rPr>
          <w:spacing w:val="-3"/>
        </w:rPr>
        <w:t>（</w:t>
      </w:r>
      <w:r>
        <w:rPr>
          <w:rFonts w:ascii="Times New Roman" w:hAnsi="Times New Roman" w:eastAsia="Times New Roman" w:cs="Times New Roman"/>
          <w:spacing w:val="-3"/>
        </w:rPr>
        <w:t>PDF </w:t>
      </w:r>
      <w:r>
        <w:rPr>
          <w:spacing w:val="-3"/>
        </w:rPr>
        <w:t>格式）。对采集到的文档进行格式统一、文本提取、表格识别等预处理操作，确保后</w:t>
      </w:r>
      <w:r>
        <w:rPr>
          <w:spacing w:val="-3"/>
        </w:rPr>
        <w:t>续算法可有效处理。</w:t>
      </w:r>
    </w:p>
    <w:p>
      <w:pPr>
        <w:pStyle w:val="BodyText"/>
        <w:ind w:left="20"/>
        <w:spacing w:before="152" w:line="234" w:lineRule="auto"/>
        <w:outlineLvl w:val="1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2</w:t>
      </w:r>
      <w:r>
        <w:rPr>
          <w:sz w:val="24"/>
          <w:szCs w:val="24"/>
          <w:b/>
          <w:bCs/>
          <w:spacing w:val="-3"/>
        </w:rPr>
        <w:t>、指标体系构建与标注</w:t>
      </w:r>
    </w:p>
    <w:p>
      <w:pPr>
        <w:pStyle w:val="BodyText"/>
        <w:ind w:left="21" w:right="40" w:firstLine="423"/>
        <w:spacing w:before="177" w:line="401" w:lineRule="auto"/>
        <w:rPr/>
      </w:pPr>
      <w:r>
        <w:rPr>
          <w:spacing w:val="-14"/>
        </w:rPr>
        <w:t>构建一个包含不少于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14"/>
        </w:rPr>
        <w:t>50 </w:t>
      </w:r>
      <w:r>
        <w:rPr>
          <w:spacing w:val="-14"/>
        </w:rPr>
        <w:t>个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4"/>
        </w:rPr>
        <w:t>ESG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-14"/>
        </w:rPr>
        <w:t>关键指标的抽取体系，指标应覆盖</w:t>
      </w:r>
      <w:r>
        <w:rPr>
          <w:rFonts w:ascii="Times New Roman" w:hAnsi="Times New Roman" w:eastAsia="Times New Roman" w:cs="Times New Roman"/>
          <w:spacing w:val="-14"/>
        </w:rPr>
        <w:t>E</w:t>
      </w:r>
      <w:r>
        <w:rPr>
          <w:spacing w:val="-14"/>
        </w:rPr>
        <w:t>（环境）、</w:t>
      </w:r>
      <w:r>
        <w:rPr>
          <w:rFonts w:ascii="Times New Roman" w:hAnsi="Times New Roman" w:eastAsia="Times New Roman" w:cs="Times New Roman"/>
          <w:spacing w:val="-14"/>
        </w:rPr>
        <w:t>S</w:t>
      </w:r>
      <w:r>
        <w:rPr>
          <w:spacing w:val="-14"/>
        </w:rPr>
        <w:t>（社会）、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G</w:t>
      </w:r>
      <w:r>
        <w:rPr>
          <w:spacing w:val="-2"/>
        </w:rPr>
        <w:t>（治理）三个维度，并明确区分：</w:t>
      </w:r>
    </w:p>
    <w:p>
      <w:pPr>
        <w:pStyle w:val="BodyText"/>
        <w:ind w:left="448" w:right="7" w:hanging="416"/>
        <w:spacing w:before="23" w:line="323" w:lineRule="auto"/>
        <w:rPr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spacing w:val="-6"/>
        </w:rPr>
        <w:t>定量指标：如温室气体排放总量（吨</w:t>
      </w:r>
      <w:r>
        <w:rPr>
          <w:rFonts w:ascii="Times New Roman" w:hAnsi="Times New Roman" w:eastAsia="Times New Roman" w:cs="Times New Roman"/>
          <w:spacing w:val="-6"/>
        </w:rPr>
        <w:t>CO2e</w:t>
      </w:r>
      <w:r>
        <w:rPr>
          <w:spacing w:val="-6"/>
        </w:rPr>
        <w:t>）、能源消耗总量（</w:t>
      </w:r>
      <w:r>
        <w:rPr>
          <w:rFonts w:ascii="Times New Roman" w:hAnsi="Times New Roman" w:eastAsia="Times New Roman" w:cs="Times New Roman"/>
          <w:spacing w:val="-6"/>
        </w:rPr>
        <w:t>MWh</w:t>
      </w:r>
      <w:r>
        <w:rPr>
          <w:spacing w:val="-6"/>
        </w:rPr>
        <w:t>）、员</w:t>
      </w:r>
      <w:r>
        <w:rPr>
          <w:spacing w:val="-7"/>
        </w:rPr>
        <w:t>工培训总时长</w:t>
      </w:r>
      <w:r>
        <w:rPr>
          <w:spacing w:val="-8"/>
        </w:rPr>
        <w:t>（小时）、女性高管占比（</w:t>
      </w:r>
      <w:r>
        <w:rPr>
          <w:rFonts w:ascii="Times New Roman" w:hAnsi="Times New Roman" w:eastAsia="Times New Roman" w:cs="Times New Roman"/>
          <w:spacing w:val="-8"/>
        </w:rPr>
        <w:t>%</w:t>
      </w:r>
      <w:r>
        <w:rPr>
          <w:spacing w:val="-8"/>
        </w:rPr>
        <w:t>）等；</w:t>
      </w:r>
    </w:p>
    <w:p>
      <w:pPr>
        <w:pStyle w:val="BodyText"/>
        <w:ind w:left="32"/>
        <w:spacing w:before="201" w:line="220" w:lineRule="auto"/>
        <w:rPr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spacing w:val="-1"/>
        </w:rPr>
        <w:t>定性指标：如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ESG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1"/>
        </w:rPr>
        <w:t>战略目标、气候风险管理措施、员工权益保障</w:t>
      </w:r>
      <w:r>
        <w:rPr>
          <w:spacing w:val="-2"/>
        </w:rPr>
        <w:t>政策、反腐败机制描</w:t>
      </w:r>
    </w:p>
    <w:p>
      <w:pPr>
        <w:spacing w:line="220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442"/>
        <w:spacing w:before="136" w:line="221" w:lineRule="auto"/>
        <w:rPr/>
      </w:pPr>
      <w:r>
        <w:rPr>
          <w:spacing w:val="-8"/>
        </w:rPr>
        <w:t>述等。</w:t>
      </w:r>
    </w:p>
    <w:p>
      <w:pPr>
        <w:pStyle w:val="BodyText"/>
        <w:ind w:left="24"/>
        <w:spacing w:before="216" w:line="221" w:lineRule="auto"/>
        <w:rPr/>
      </w:pPr>
      <w:r>
        <w:rPr>
          <w:spacing w:val="-1"/>
        </w:rPr>
        <w:t>鼓励参赛团队结合实际应用场景扩展指标范围。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78" w:line="233" w:lineRule="auto"/>
        <w:outlineLvl w:val="1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3</w:t>
      </w:r>
      <w:r>
        <w:rPr>
          <w:sz w:val="24"/>
          <w:szCs w:val="24"/>
          <w:b/>
          <w:bCs/>
          <w:spacing w:val="-2"/>
        </w:rPr>
        <w:t>、基于大模型的结构化提取算法开发</w:t>
      </w:r>
    </w:p>
    <w:p>
      <w:pPr>
        <w:pStyle w:val="BodyText"/>
        <w:ind w:left="24" w:right="9" w:firstLine="419"/>
        <w:spacing w:before="178" w:line="401" w:lineRule="auto"/>
        <w:rPr/>
      </w:pPr>
      <w:r>
        <w:rPr>
          <w:spacing w:val="-1"/>
        </w:rPr>
        <w:t>利用开源或商用大语言模型（如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Deepseek</w:t>
      </w:r>
      <w:r>
        <w:rPr>
          <w:spacing w:val="-2"/>
        </w:rPr>
        <w:t>、通义千问、</w:t>
      </w:r>
      <w:r>
        <w:rPr>
          <w:rFonts w:ascii="Times New Roman" w:hAnsi="Times New Roman" w:eastAsia="Times New Roman" w:cs="Times New Roman"/>
          <w:spacing w:val="-2"/>
        </w:rPr>
        <w:t>Llama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2"/>
        </w:rPr>
        <w:t>等</w:t>
      </w:r>
      <w:r>
        <w:rPr>
          <w:spacing w:val="-31"/>
        </w:rPr>
        <w:t>），</w:t>
      </w:r>
      <w:r>
        <w:rPr>
          <w:spacing w:val="-2"/>
        </w:rPr>
        <w:t>结合提示工程、微</w:t>
      </w:r>
      <w:r>
        <w:rPr>
          <w:spacing w:val="-1"/>
        </w:rPr>
        <w:t>调、检索增强生成（</w:t>
      </w:r>
      <w:r>
        <w:rPr>
          <w:rFonts w:ascii="Times New Roman" w:hAnsi="Times New Roman" w:eastAsia="Times New Roman" w:cs="Times New Roman"/>
          <w:spacing w:val="-1"/>
        </w:rPr>
        <w:t>RAG</w:t>
      </w:r>
      <w:r>
        <w:rPr>
          <w:spacing w:val="-1"/>
        </w:rPr>
        <w:t>）等技术，开发高精度的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ESG </w:t>
      </w:r>
      <w:r>
        <w:rPr>
          <w:spacing w:val="-1"/>
        </w:rPr>
        <w:t>指标提取算法。具体要求包括：</w:t>
      </w:r>
    </w:p>
    <w:p>
      <w:pPr>
        <w:pStyle w:val="BodyText"/>
        <w:ind w:left="32"/>
        <w:spacing w:before="22" w:line="221" w:lineRule="auto"/>
        <w:rPr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spacing w:val="-1"/>
        </w:rPr>
        <w:t>对定量指标，提取数值及其单位，并保留上下文以便验证；</w:t>
      </w:r>
    </w:p>
    <w:p>
      <w:pPr>
        <w:pStyle w:val="BodyText"/>
        <w:ind w:left="32"/>
        <w:spacing w:before="216" w:line="221" w:lineRule="auto"/>
        <w:rPr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spacing w:val="-2"/>
        </w:rPr>
        <w:t>对定性指标，提取原文表述段落，保留其语义完整性；</w:t>
      </w:r>
    </w:p>
    <w:p>
      <w:pPr>
        <w:pStyle w:val="BodyText"/>
        <w:ind w:left="32"/>
        <w:spacing w:before="218" w:line="219" w:lineRule="auto"/>
        <w:rPr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9"/>
        </w:rPr>
        <w:t xml:space="preserve"> </w:t>
      </w:r>
      <w:r>
        <w:rPr>
          <w:spacing w:val="-2"/>
        </w:rPr>
        <w:t>若报告未提及某指标，字段值应设置为空；</w:t>
      </w:r>
    </w:p>
    <w:p>
      <w:pPr>
        <w:pStyle w:val="BodyText"/>
        <w:ind w:left="21" w:right="18" w:firstLine="421"/>
        <w:spacing w:before="220" w:line="413" w:lineRule="auto"/>
        <w:rPr/>
      </w:pPr>
      <w:r>
        <w:rPr>
          <w:spacing w:val="-1"/>
        </w:rPr>
        <w:t>支持对表格、图表中数据的识别与提取，提取结果以结构化格式（如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J</w:t>
      </w:r>
      <w:r>
        <w:rPr>
          <w:rFonts w:ascii="Times New Roman" w:hAnsi="Times New Roman" w:eastAsia="Times New Roman" w:cs="Times New Roman"/>
          <w:spacing w:val="-2"/>
        </w:rPr>
        <w:t>SON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CSV</w:t>
      </w:r>
      <w:r>
        <w:rPr>
          <w:spacing w:val="-2"/>
        </w:rPr>
        <w:t>）存</w:t>
      </w:r>
      <w:r>
        <w:rPr>
          <w:spacing w:val="-1"/>
        </w:rPr>
        <w:t>储，便于后续分析与展示。</w:t>
      </w:r>
    </w:p>
    <w:p>
      <w:pPr>
        <w:pStyle w:val="BodyText"/>
        <w:ind w:left="20"/>
        <w:spacing w:before="139" w:line="234" w:lineRule="auto"/>
        <w:outlineLvl w:val="1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4</w:t>
      </w:r>
      <w:r>
        <w:rPr>
          <w:sz w:val="24"/>
          <w:szCs w:val="24"/>
          <w:b/>
          <w:bCs/>
          <w:spacing w:val="-3"/>
        </w:rPr>
        <w:t>、成果深化与应用系统开发（可选）</w:t>
      </w:r>
    </w:p>
    <w:p>
      <w:pPr>
        <w:pStyle w:val="BodyText"/>
        <w:ind w:left="18" w:right="13" w:firstLine="425"/>
        <w:spacing w:before="174" w:line="413" w:lineRule="auto"/>
        <w:jc w:val="both"/>
        <w:rPr/>
      </w:pPr>
      <w:r>
        <w:rPr>
          <w:spacing w:val="3"/>
        </w:rPr>
        <w:t>完成上述任务视为成功参赛。鼓励参赛团队进一步开发可视化分析系统</w:t>
      </w:r>
      <w:r>
        <w:rPr>
          <w:spacing w:val="2"/>
        </w:rPr>
        <w:t>，支持用户对</w:t>
      </w:r>
      <w:r>
        <w:rPr>
          <w:rFonts w:ascii="Times New Roman" w:hAnsi="Times New Roman" w:eastAsia="Times New Roman" w:cs="Times New Roman"/>
        </w:rPr>
        <w:t>ESG </w:t>
      </w:r>
      <w:r>
        <w:rPr/>
        <w:t>指标进行查询、对比、趋势分析等功能。系统可展示企业在</w:t>
      </w:r>
      <w:r>
        <w:rPr>
          <w:spacing w:val="-1"/>
        </w:rPr>
        <w:t>不同年度的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ESG </w:t>
      </w:r>
      <w:r>
        <w:rPr>
          <w:spacing w:val="-1"/>
        </w:rPr>
        <w:t>表现，支</w:t>
      </w:r>
      <w:r>
        <w:rPr/>
        <w:t>持多维度筛选，辅助投资决策与政策研究。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ind w:left="42"/>
        <w:spacing w:before="91" w:line="219" w:lineRule="auto"/>
        <w:outlineLvl w:val="0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6"/>
        </w:rPr>
        <w:t>四、作品评价标准</w:t>
      </w:r>
    </w:p>
    <w:p>
      <w:pPr>
        <w:pStyle w:val="BodyText"/>
        <w:ind w:left="30"/>
        <w:spacing w:before="236" w:line="234" w:lineRule="auto"/>
        <w:outlineLvl w:val="1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7"/>
        </w:rPr>
        <w:t xml:space="preserve"> </w:t>
      </w:r>
      <w:r>
        <w:rPr>
          <w:sz w:val="24"/>
          <w:szCs w:val="24"/>
          <w:b/>
          <w:bCs/>
          <w:spacing w:val="-6"/>
        </w:rPr>
        <w:t>、</w:t>
      </w:r>
      <w:r>
        <w:rPr>
          <w:sz w:val="24"/>
          <w:szCs w:val="24"/>
          <w:b/>
          <w:bCs/>
          <w:color w:val="1F2329"/>
          <w:spacing w:val="-6"/>
        </w:rPr>
        <w:t>撰写规范性（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1F2329"/>
          <w:spacing w:val="-6"/>
        </w:rPr>
        <w:t>20</w:t>
      </w:r>
      <w:r>
        <w:rPr>
          <w:sz w:val="24"/>
          <w:szCs w:val="24"/>
          <w:b/>
          <w:bCs/>
          <w:color w:val="1F2329"/>
          <w:spacing w:val="-6"/>
        </w:rPr>
        <w:t>分）</w:t>
      </w:r>
    </w:p>
    <w:p>
      <w:pPr>
        <w:pStyle w:val="BodyText"/>
        <w:ind w:left="448"/>
        <w:spacing w:before="176" w:line="233" w:lineRule="auto"/>
        <w:rPr/>
      </w:pPr>
      <w:r>
        <w:rPr>
          <w:color w:val="1F2329"/>
          <w:spacing w:val="-1"/>
        </w:rPr>
        <w:t>（</w:t>
      </w:r>
      <w:r>
        <w:rPr>
          <w:rFonts w:ascii="Times New Roman" w:hAnsi="Times New Roman" w:eastAsia="Times New Roman" w:cs="Times New Roman"/>
          <w:color w:val="1F2329"/>
          <w:spacing w:val="-1"/>
        </w:rPr>
        <w:t>1</w:t>
      </w:r>
      <w:r>
        <w:rPr>
          <w:color w:val="1F2329"/>
          <w:spacing w:val="-1"/>
        </w:rPr>
        <w:t>）参赛报告结构完整，包括以下内容</w:t>
      </w:r>
    </w:p>
    <w:p>
      <w:pPr>
        <w:pStyle w:val="BodyText"/>
        <w:ind w:left="442"/>
        <w:spacing w:before="203" w:line="214" w:lineRule="auto"/>
        <w:rPr/>
      </w:pPr>
      <w:r>
        <w:rPr>
          <w:rFonts w:ascii="Times New Roman" w:hAnsi="Times New Roman" w:eastAsia="Times New Roman" w:cs="Times New Roman"/>
          <w:color w:val="1F2329"/>
          <w:spacing w:val="-1"/>
        </w:rPr>
        <w:t>a)     </w:t>
      </w:r>
      <w:r>
        <w:rPr>
          <w:color w:val="1F2329"/>
          <w:spacing w:val="-1"/>
        </w:rPr>
        <w:t>项目概述：项目背景、应用行业、算法或模型优势等；</w:t>
      </w:r>
    </w:p>
    <w:p>
      <w:pPr>
        <w:pStyle w:val="BodyText"/>
        <w:ind w:left="434"/>
        <w:spacing w:before="224" w:line="214" w:lineRule="auto"/>
        <w:rPr/>
      </w:pPr>
      <w:r>
        <w:rPr>
          <w:rFonts w:ascii="Times New Roman" w:hAnsi="Times New Roman" w:eastAsia="Times New Roman" w:cs="Times New Roman"/>
          <w:color w:val="1F2329"/>
        </w:rPr>
        <w:t>b)     </w:t>
      </w:r>
      <w:r>
        <w:rPr>
          <w:color w:val="1F2329"/>
        </w:rPr>
        <w:t>解决方案：方案设计、方案功能、关</w:t>
      </w:r>
      <w:r>
        <w:rPr>
          <w:color w:val="1F2329"/>
          <w:spacing w:val="-1"/>
        </w:rPr>
        <w:t>键技术、算法实现过程、结果分析等；</w:t>
      </w:r>
    </w:p>
    <w:p>
      <w:pPr>
        <w:pStyle w:val="BodyText"/>
        <w:ind w:left="441"/>
        <w:spacing w:before="225" w:line="214" w:lineRule="auto"/>
        <w:rPr/>
      </w:pPr>
      <w:r>
        <w:rPr>
          <w:rFonts w:ascii="Times New Roman" w:hAnsi="Times New Roman" w:eastAsia="Times New Roman" w:cs="Times New Roman"/>
          <w:color w:val="1F2329"/>
        </w:rPr>
        <w:t>c)     </w:t>
      </w:r>
      <w:r>
        <w:rPr>
          <w:color w:val="1F2329"/>
        </w:rPr>
        <w:t>应用价值：经济效益、社会效</w:t>
      </w:r>
      <w:r>
        <w:rPr>
          <w:color w:val="1F2329"/>
          <w:spacing w:val="-1"/>
        </w:rPr>
        <w:t>益分析等。</w:t>
      </w:r>
    </w:p>
    <w:p>
      <w:pPr>
        <w:pStyle w:val="BodyText"/>
        <w:ind w:left="448"/>
        <w:spacing w:before="225" w:line="233" w:lineRule="auto"/>
        <w:rPr/>
      </w:pPr>
      <w:r>
        <w:rPr>
          <w:color w:val="1F2329"/>
          <w:spacing w:val="-1"/>
        </w:rPr>
        <w:t>（</w:t>
      </w:r>
      <w:r>
        <w:rPr>
          <w:rFonts w:ascii="Times New Roman" w:hAnsi="Times New Roman" w:eastAsia="Times New Roman" w:cs="Times New Roman"/>
          <w:color w:val="1F2329"/>
          <w:spacing w:val="-1"/>
        </w:rPr>
        <w:t>2</w:t>
      </w:r>
      <w:r>
        <w:rPr>
          <w:color w:val="1F2329"/>
          <w:spacing w:val="-1"/>
        </w:rPr>
        <w:t>）参赛报告格式规范，术语、图表、公式准确</w:t>
      </w:r>
      <w:r>
        <w:rPr>
          <w:color w:val="1F2329"/>
          <w:spacing w:val="-2"/>
        </w:rPr>
        <w:t>规范。</w:t>
      </w:r>
    </w:p>
    <w:p>
      <w:pPr>
        <w:pStyle w:val="BodyText"/>
        <w:ind w:left="24" w:right="30" w:firstLine="424"/>
        <w:spacing w:before="202" w:line="317" w:lineRule="auto"/>
        <w:rPr/>
      </w:pPr>
      <w:r>
        <w:rPr>
          <w:color w:val="1F2329"/>
          <w:spacing w:val="-1"/>
        </w:rPr>
        <w:t>（</w:t>
      </w:r>
      <w:r>
        <w:rPr>
          <w:rFonts w:ascii="Times New Roman" w:hAnsi="Times New Roman" w:eastAsia="Times New Roman" w:cs="Times New Roman"/>
          <w:color w:val="1F2329"/>
          <w:spacing w:val="-1"/>
        </w:rPr>
        <w:t>3</w:t>
      </w:r>
      <w:r>
        <w:rPr>
          <w:color w:val="1F2329"/>
          <w:spacing w:val="-1"/>
        </w:rPr>
        <w:t>）所提交代码清晰、详尽、可读性强，能准确帮助评审人理解算法的工作原理和实</w:t>
      </w:r>
      <w:r>
        <w:rPr>
          <w:color w:val="1F2329"/>
          <w:spacing w:val="-2"/>
        </w:rPr>
        <w:t>现过程。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8" w:line="233" w:lineRule="auto"/>
        <w:outlineLvl w:val="1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1F2329"/>
          <w:spacing w:val="-3"/>
        </w:rPr>
        <w:t>2</w:t>
      </w:r>
      <w:r>
        <w:rPr>
          <w:sz w:val="24"/>
          <w:szCs w:val="24"/>
          <w:b/>
          <w:bCs/>
          <w:color w:val="1F2329"/>
          <w:spacing w:val="-3"/>
        </w:rPr>
        <w:t>、算法效果与效率（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1F2329"/>
          <w:spacing w:val="-3"/>
        </w:rPr>
        <w:t>50</w:t>
      </w:r>
      <w:r>
        <w:rPr>
          <w:sz w:val="24"/>
          <w:szCs w:val="24"/>
          <w:b/>
          <w:bCs/>
          <w:color w:val="1F2329"/>
          <w:spacing w:val="-3"/>
        </w:rPr>
        <w:t>分）</w:t>
      </w:r>
    </w:p>
    <w:p>
      <w:pPr>
        <w:pStyle w:val="BodyText"/>
        <w:ind w:left="22" w:right="27" w:firstLine="426"/>
        <w:spacing w:before="178" w:line="315" w:lineRule="auto"/>
        <w:rPr/>
      </w:pPr>
      <w:r>
        <w:rPr>
          <w:color w:val="1F2329"/>
        </w:rPr>
        <w:t>（</w:t>
      </w:r>
      <w:r>
        <w:rPr>
          <w:rFonts w:ascii="Times New Roman" w:hAnsi="Times New Roman" w:eastAsia="Times New Roman" w:cs="Times New Roman"/>
          <w:color w:val="1F2329"/>
        </w:rPr>
        <w:t>1</w:t>
      </w:r>
      <w:r>
        <w:rPr>
          <w:color w:val="1F2329"/>
        </w:rPr>
        <w:t>）参赛报告需要清晰展示算法的效果，</w:t>
      </w:r>
      <w:r>
        <w:rPr>
          <w:color w:val="1F2329"/>
          <w:spacing w:val="-1"/>
        </w:rPr>
        <w:t>包括使用合适的评估指标对模型进行量化评</w:t>
      </w:r>
      <w:r>
        <w:rPr>
          <w:color w:val="1F2329"/>
          <w:spacing w:val="-2"/>
        </w:rPr>
        <w:t>估，测试算法的准确性。</w:t>
      </w:r>
    </w:p>
    <w:p>
      <w:pPr>
        <w:pStyle w:val="BodyText"/>
        <w:ind w:right="18"/>
        <w:spacing w:before="219" w:line="233" w:lineRule="auto"/>
        <w:jc w:val="right"/>
        <w:rPr/>
      </w:pPr>
      <w:r>
        <w:rPr>
          <w:color w:val="1F2329"/>
        </w:rPr>
        <w:t>（</w:t>
      </w:r>
      <w:r>
        <w:rPr>
          <w:rFonts w:ascii="Times New Roman" w:hAnsi="Times New Roman" w:eastAsia="Times New Roman" w:cs="Times New Roman"/>
          <w:color w:val="1F2329"/>
        </w:rPr>
        <w:t>2</w:t>
      </w:r>
      <w:r>
        <w:rPr>
          <w:color w:val="1F2329"/>
        </w:rPr>
        <w:t>）参赛报告需要清晰展示算法在不同条件下的表现，以及对异</w:t>
      </w:r>
      <w:r>
        <w:rPr>
          <w:color w:val="1F2329"/>
          <w:spacing w:val="-1"/>
        </w:rPr>
        <w:t>常输入的处理能力，</w:t>
      </w:r>
    </w:p>
    <w:p>
      <w:pPr>
        <w:spacing w:line="233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3"/>
        <w:spacing w:before="137" w:line="219" w:lineRule="auto"/>
        <w:rPr/>
      </w:pPr>
      <w:r>
        <w:rPr>
          <w:color w:val="1F2329"/>
          <w:spacing w:val="-3"/>
        </w:rPr>
        <w:t>给出测试报告。</w:t>
      </w:r>
    </w:p>
    <w:p>
      <w:pPr>
        <w:pStyle w:val="BodyText"/>
        <w:ind w:left="448"/>
        <w:spacing w:before="218" w:line="233" w:lineRule="auto"/>
        <w:outlineLvl w:val="2"/>
        <w:rPr/>
      </w:pPr>
      <w:r>
        <w:rPr>
          <w:color w:val="1F2329"/>
          <w:spacing w:val="-1"/>
        </w:rPr>
        <w:t>（</w:t>
      </w:r>
      <w:r>
        <w:rPr>
          <w:rFonts w:ascii="Times New Roman" w:hAnsi="Times New Roman" w:eastAsia="Times New Roman" w:cs="Times New Roman"/>
          <w:color w:val="1F2329"/>
          <w:spacing w:val="-1"/>
        </w:rPr>
        <w:t>3</w:t>
      </w:r>
      <w:r>
        <w:rPr>
          <w:color w:val="1F2329"/>
          <w:spacing w:val="-1"/>
        </w:rPr>
        <w:t>）评估算法的运行时间和资源消耗，包括计算速度和内存使用情况。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78" w:line="233" w:lineRule="auto"/>
        <w:outlineLvl w:val="1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1F2329"/>
          <w:spacing w:val="-2"/>
        </w:rPr>
        <w:t>3</w:t>
      </w:r>
      <w:r>
        <w:rPr>
          <w:sz w:val="24"/>
          <w:szCs w:val="24"/>
          <w:b/>
          <w:bCs/>
          <w:color w:val="1F2329"/>
          <w:spacing w:val="-2"/>
        </w:rPr>
        <w:t>、文档可读性和用户指导性（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1F2329"/>
          <w:spacing w:val="-2"/>
        </w:rPr>
        <w:t>20</w:t>
      </w:r>
      <w:r>
        <w:rPr>
          <w:sz w:val="24"/>
          <w:szCs w:val="24"/>
          <w:b/>
          <w:bCs/>
          <w:color w:val="1F2329"/>
          <w:spacing w:val="-2"/>
        </w:rPr>
        <w:t>分）</w:t>
      </w:r>
    </w:p>
    <w:p>
      <w:pPr>
        <w:pStyle w:val="BodyText"/>
        <w:ind w:left="26" w:right="7" w:firstLine="422"/>
        <w:spacing w:before="176" w:line="348" w:lineRule="auto"/>
        <w:rPr/>
      </w:pPr>
      <w:r>
        <w:rPr>
          <w:color w:val="1F2329"/>
        </w:rPr>
        <w:t>（</w:t>
      </w:r>
      <w:r>
        <w:rPr>
          <w:rFonts w:ascii="Times New Roman" w:hAnsi="Times New Roman" w:eastAsia="Times New Roman" w:cs="Times New Roman"/>
          <w:color w:val="1F2329"/>
        </w:rPr>
        <w:t>1</w:t>
      </w:r>
      <w:r>
        <w:rPr>
          <w:color w:val="1F2329"/>
        </w:rPr>
        <w:t>）除参赛报告外，提交的算法、系统实现的源代码、可用</w:t>
      </w:r>
      <w:r>
        <w:rPr>
          <w:color w:val="1F2329"/>
          <w:spacing w:val="-1"/>
        </w:rPr>
        <w:t>于验证的原始数据集以及</w:t>
      </w:r>
      <w:r>
        <w:rPr>
          <w:color w:val="1F2329"/>
          <w:spacing w:val="-2"/>
        </w:rPr>
        <w:t>必要的算法、系统运行说明文档等附件的可</w:t>
      </w:r>
      <w:r>
        <w:rPr>
          <w:color w:val="1F2329"/>
          <w:spacing w:val="-3"/>
        </w:rPr>
        <w:t>读性强，逻辑连贯，论述层次清晰，语言表达简</w:t>
      </w:r>
      <w:r>
        <w:rPr>
          <w:color w:val="1F2329"/>
          <w:spacing w:val="-3"/>
        </w:rPr>
        <w:t>洁明了。</w:t>
      </w:r>
    </w:p>
    <w:p>
      <w:pPr>
        <w:pStyle w:val="BodyText"/>
        <w:ind w:left="21" w:right="7" w:firstLine="427"/>
        <w:spacing w:before="218" w:line="348" w:lineRule="auto"/>
        <w:rPr/>
      </w:pPr>
      <w:r>
        <w:rPr>
          <w:color w:val="1F2329"/>
        </w:rPr>
        <w:t>（</w:t>
      </w:r>
      <w:r>
        <w:rPr>
          <w:rFonts w:ascii="Times New Roman" w:hAnsi="Times New Roman" w:eastAsia="Times New Roman" w:cs="Times New Roman"/>
          <w:color w:val="1F2329"/>
        </w:rPr>
        <w:t>2</w:t>
      </w:r>
      <w:r>
        <w:rPr>
          <w:color w:val="1F2329"/>
        </w:rPr>
        <w:t>）参赛报告应详细解释算法的工作原理、使用方法以及可</w:t>
      </w:r>
      <w:r>
        <w:rPr>
          <w:color w:val="1F2329"/>
          <w:spacing w:val="-1"/>
        </w:rPr>
        <w:t>能的配置选项，确保用户</w:t>
      </w:r>
      <w:r>
        <w:rPr>
          <w:color w:val="1F2329"/>
          <w:spacing w:val="-2"/>
        </w:rPr>
        <w:t>能够无障碍地安装、配置和运行算法。并能为用户提供</w:t>
      </w:r>
      <w:r>
        <w:rPr>
          <w:color w:val="1F2329"/>
          <w:spacing w:val="-3"/>
        </w:rPr>
        <w:t>足够的背景信息和示例，帮助用户深</w:t>
      </w:r>
      <w:r>
        <w:rPr>
          <w:color w:val="1F2329"/>
          <w:spacing w:val="-2"/>
        </w:rPr>
        <w:t>入理解算法的应用场景。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8" w:line="234" w:lineRule="auto"/>
        <w:outlineLvl w:val="1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1F2329"/>
          <w:spacing w:val="-3"/>
        </w:rPr>
        <w:t>4</w:t>
      </w:r>
      <w:r>
        <w:rPr>
          <w:sz w:val="24"/>
          <w:szCs w:val="24"/>
          <w:b/>
          <w:bCs/>
          <w:color w:val="1F2329"/>
          <w:spacing w:val="-3"/>
        </w:rPr>
        <w:t>、结果展示形式的丰富性（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1F2329"/>
          <w:spacing w:val="-3"/>
        </w:rPr>
        <w:t>10</w:t>
      </w:r>
      <w:r>
        <w:rPr>
          <w:sz w:val="24"/>
          <w:szCs w:val="24"/>
          <w:b/>
          <w:bCs/>
          <w:color w:val="1F2329"/>
          <w:spacing w:val="-3"/>
        </w:rPr>
        <w:t>分）</w:t>
      </w:r>
    </w:p>
    <w:p>
      <w:pPr>
        <w:pStyle w:val="BodyText"/>
        <w:ind w:left="26" w:right="7" w:firstLine="414"/>
        <w:spacing w:before="176" w:line="413" w:lineRule="auto"/>
        <w:jc w:val="both"/>
        <w:rPr/>
      </w:pPr>
      <w:r>
        <w:rPr>
          <w:color w:val="1F2329"/>
          <w:spacing w:val="-3"/>
        </w:rPr>
        <w:t>评审将关注作品结果展示形式多样、创新，鼓励参赛团队使用多种方式来呈现结果。结</w:t>
      </w:r>
      <w:r>
        <w:rPr>
          <w:color w:val="1F2329"/>
          <w:spacing w:val="-3"/>
        </w:rPr>
        <w:t>果展示可以包括图表、动画、交互界面、软件系统等多种形式，以直观、生动地展现算法的</w:t>
      </w:r>
      <w:r>
        <w:rPr>
          <w:color w:val="1F2329"/>
          <w:spacing w:val="-8"/>
        </w:rPr>
        <w:t>效果和优势。展示形式应清晰易懂，能够突出关键信息，帮助评审人和用户更好地理解作品。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9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（出题单位：上海华证指数信息服务有限公司）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刘尚鑫</dc:creator>
  <dcterms:created xsi:type="dcterms:W3CDTF">2026-04-30T16:24:52Z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2026-04-30T16:28:06</vt:filetime>
  </property>
</Properties>
</file>