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360" w:lineRule="auto"/>
        <w:jc w:val="center"/>
      </w:pPr>
      <w:r>
        <w:rPr>
          <w:rFonts w:ascii="Arial" w:hAnsi="Arial" w:eastAsia="微软雅黑"/>
          <w:b/>
          <w:color w:val="1A237E"/>
          <w:sz w:val="56"/>
        </w:rPr>
        <w:t>ESG数据智能提取与分析系统</w:t>
      </w:r>
    </w:p>
    <w:p>
      <w:pPr>
        <w:spacing w:after="120" w:line="360" w:lineRule="auto"/>
        <w:jc w:val="center"/>
      </w:pPr>
      <w:r>
        <w:rPr>
          <w:rFonts w:ascii="Arial" w:hAnsi="Arial" w:eastAsia="微软雅黑"/>
          <w:b/>
          <w:color w:val="1565C0"/>
          <w:sz w:val="40"/>
        </w:rPr>
        <w:t>技术方案介绍</w:t>
      </w:r>
    </w:p>
    <w:p>
      <w:pPr>
        <w:spacing w:after="120" w:line="360" w:lineRule="auto"/>
      </w:pPr>
      <w:r>
        <w:rPr>
          <w:rFonts w:ascii="Arial" w:hAnsi="Arial" w:eastAsia="微软雅黑"/>
          <w:sz w:val="24"/>
        </w:rPr>
      </w:r>
    </w:p>
    <w:p>
      <w:pPr>
        <w:spacing w:after="120" w:line="360" w:lineRule="auto"/>
        <w:jc w:val="center"/>
      </w:pPr>
      <w:r>
        <w:rPr>
          <w:rFonts w:ascii="Arial" w:hAnsi="Arial" w:eastAsia="微软雅黑"/>
          <w:color w:val="666666"/>
          <w:sz w:val="26"/>
        </w:rPr>
        <w:t>——基于DeepSeek大模型的上市公司ESG报告智能分析平台——</w:t>
      </w:r>
    </w:p>
    <w:p>
      <w:pPr>
        <w:spacing w:after="120" w:line="360" w:lineRule="auto"/>
      </w:pPr>
      <w:r>
        <w:rPr>
          <w:rFonts w:ascii="Arial" w:hAnsi="Arial" w:eastAsia="微软雅黑"/>
          <w:sz w:val="24"/>
        </w:rPr>
      </w:r>
    </w:p>
    <w:p>
      <w:pPr>
        <w:spacing w:after="120" w:line="360" w:lineRule="auto"/>
        <w:jc w:val="center"/>
      </w:pPr>
      <w:r>
        <w:rPr>
          <w:rFonts w:ascii="Arial" w:hAnsi="Arial" w:eastAsia="微软雅黑"/>
          <w:color w:val="888888"/>
          <w:sz w:val="24"/>
        </w:rPr>
        <w:t>数据要素大赛 · ESG报告数据智能提取与分析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一、项目背景与痛点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二、系统核心能力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三、系统架构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四、AI智能助手 — 核心技术亮点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 xml:space="preserve">  4.1 工作原理：Function Calling 智能体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 xml:space="preserve">  4.2 八大本地数据工具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 xml:space="preserve">  4.3 联网增强能力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五、数据资产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 xml:space="preserve">  5.1 覆盖规模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 xml:space="preserve">  5.2 ESG指标体系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六、应用场景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七、技术栈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八、部署方式</w:t>
      </w:r>
    </w:p>
    <w:p>
      <w:pPr>
        <w:spacing w:after="160" w:line="360" w:lineRule="auto"/>
      </w:pPr>
      <w:r>
        <w:rPr>
          <w:rFonts w:ascii="Arial" w:hAnsi="Arial" w:eastAsia="微软雅黑"/>
          <w:sz w:val="24"/>
        </w:rPr>
        <w:t>九、总结与价值</w:t>
      </w:r>
    </w:p>
    <w:p>
      <w:r>
        <w:br w:type="page"/>
      </w:r>
    </w:p>
    <w:p>
      <w:pPr>
        <w:pStyle w:val="Heading1"/>
      </w:pPr>
      <w:r>
        <w:t>一、项目背景与痛点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随着国家“双碳”战略目标的推进和交易所ESG信息披露指引的陆续出台，上市公司ESG（环境、社会和治理）报告的披露质量与数据可用性日益受到监管机构、投资者和评级机构的关注。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然而，当前ESG数据分析面临三大痛点：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1. 数据获取难：ESG报告多为PDF非结构化文本，分散在各大交易所和公司官网，人工收集效率低下。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2. 指标提取慢：一份ESG报告动辄上百页，分析师需要逐页翻阅、手动摘录关键数据，单份报告耗时数小时。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3. 横向对比复杂：不同公司披露口径不一、指标命名各异，手工整理进行跨公司、跨行业对比极易出错。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本系统基于DeepSeek大语言模型，实现了从报告采集、AI智能提取、数据入库到自然语言交互分析的全流程自动化，将分析师从繁琐的数据搬运工作中解放出来，聚焦于高价值的洞察与决策。</w:t>
      </w:r>
    </w:p>
    <w:p>
      <w:pPr>
        <w:pStyle w:val="Heading1"/>
      </w:pPr>
      <w:r>
        <w:t>二、系统核心能力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能力模块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报告自动采集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从巨潮资讯网等渠道自动批量下载上市公司PDF格式ESG报告/可持续发展报告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PDF智能解析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OCR文字识别 + 表格自动提取，将PDF转换为结构化Markdown文本，保留表格数据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AI指标提取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DeepSeek大模型自动提取52个ESG指标（31个定量 + 21个定性），覆盖E/S/G三个维度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数据质量校验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自动校验数值合理性、单位一致性、指标覆盖率，每条数据标注置信度(high/medium/low)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ESG评分计算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基于提取数据自动计算E/S/G各维度得分及综合评分，支持行业排名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交互式可视化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Plotly交互式图表：ESG排名柱状图、直方图、3D分布图、行业对比图等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AI智能助手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自然语言驱动的ESG数据查询与分析，多轮对话，自动生成可视化图表</w:t>
            </w:r>
          </w:p>
        </w:tc>
      </w:tr>
    </w:tbl>
    <w:p/>
    <w:p>
      <w:pPr>
        <w:pStyle w:val="Heading1"/>
      </w:pPr>
      <w:r>
        <w:t>三、系统架构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系统采用分层架构设计，各层职责清晰、松耦合：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用户交互层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├─ Streamlit Web应用界面：完整AI功能，6大功能页面（首页概览、数据质量、公司详情、指标对比、ESG分析、AI智能助手）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├─ 自包含HTML离线版：双击即用，零安装，内置全部数据和交互功能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└─ AI智能助手对话界面：自然语言输入，智能回复 + 自动图表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智能体引擎层（核心层）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└─ ESG AI Agent：基于DeepSeek Function Calling，自动决策调用哪个工具、如何组合工具来回答问题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   ├─ 8个本地数据工具（公司查询、指标查询、评分排名、公司对比、行业分析、趋势分析、数据概览等）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   ├─ 知识库检索（ChromaDB向量数据库，存储已积累的ESG政策和新闻知识）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   ├─ 联网搜索（DuckDuckGo实时搜索最新ESG动态）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   └─ 网页抓取与自动索引（深度抓取有价值网页，存入知识库）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数据处理层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├─ PDF下载与解析：下载 → OCR → 表格提取 → Markdown输出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├─ AI指标提取：分层提取策略（先按E/S/G维度分块，再逐块提取，最后去重合并）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└─ 校验与评分：数值合理性校验 + 覆盖率统计 + ESG综合评分计算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数据存储层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├─ SQLite数据库：结构化存储公司、报告、指标值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├─ JSON文件：原始提取结果，支持离线查看和二次分析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└─ ChromaDB向量库：存储ESG知识文档的向量嵌入，支持语义检索</w:t>
      </w:r>
    </w:p>
    <w:p>
      <w:pPr>
        <w:pStyle w:val="Heading1"/>
      </w:pPr>
      <w:r>
        <w:t>四、AI智能助手 — 核心技术亮点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AI智能助手是本系统区别于传统BI数据分析工具的核心差异所在。它让用户用自然语言即可完成复杂的ESG数据查询与分析，无需学习SQL语法、无需理解数据表结构，实现了从「人找数据」到「数据找人」的范式转变。</w:t>
      </w:r>
    </w:p>
    <w:p>
      <w:pPr>
        <w:pStyle w:val="Heading2"/>
      </w:pPr>
      <w:r>
        <w:t>4.1 工作原理：Function Calling 智能体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智能助手的核心是一个基于DeepSeek大模型Function Calling能力的AI Agent。其工作流程如下：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2"/>
        </w:rPr>
        <w:t>第一步：用户输入自然语言问题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　　例：「比亚迪的ESG表现怎么样？」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2"/>
        </w:rPr>
        <w:t>第二步：大模型理解意图，决策工具调用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　　Agent分析用户意图 → 确定需要调用 get_company_data 工具查询比亚迪的ESG数据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2"/>
        </w:rPr>
        <w:t>第三步：工具执行，返回结构化数据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　　数据适配层查询本地数据库，返回比亚迪的全部ESG指标数据（定量+定性+评分）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2"/>
        </w:rPr>
        <w:t>第四步：大模型根据数据生成专业回答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　　将结构化数据转化为自然语言回答，包含具体数值、排名、简要分析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2"/>
        </w:rPr>
        <w:t>第五步：自动生成可视化图表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 xml:space="preserve">　　系统根据工具调用类型自动匹配图表模板（柱状图、折线图、对比图等）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2"/>
        </w:rPr>
        <w:t>关键技术特性：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多轮对话：支持上下文理解的连续追问，如「那美的呢？」可自动延续上一轮的对比语境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工具自动组合：复杂问题自动拆解为多步工具调用链（最多5轮迭代），如「ESG排名前10的公司，谁的环境得分最高」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模糊匹配：公司名或指标名输入不完整时（如只输入「美的」），自动返回匹配建议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数据绝不编造：缺失数据明确告知用户，不凭空生成</w:t>
      </w:r>
    </w:p>
    <w:p>
      <w:pPr>
        <w:pStyle w:val="Heading2"/>
      </w:pPr>
      <w:r>
        <w:t>4.2 八大本地数据工具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Agent内置8个专用工具，覆盖ESG分析全场景：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工具名称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功能说明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典型问法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list_companies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列出可查询的上市公司名单，支持行业筛选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「金融行业有哪些公司？」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get_indicators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查询52个ESG指标体系详情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「环境维度有哪些定量指标？」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get_company_data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获取指定公司的全部ESG数据与评分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「比亚迪的ESG表现怎么样？」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get_esg_scores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获取ESG综合评分及排名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「ESG得分最高的10家公司」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compare_companies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多家公司在指定指标上的横向对比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「对比美的和格力的碳排放」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get_industry_analysis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行业级别的ESG聚合分析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「新能源行业ESG表现如何？」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get_trend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查询某公司某指标的年份趋势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「格力碳排放历年怎么变化？」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get_data_overview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获取数据集整体概况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「目前覆盖了多少家公司？」</w:t>
            </w:r>
          </w:p>
        </w:tc>
      </w:tr>
    </w:tbl>
    <w:p/>
    <w:p>
      <w:pPr>
        <w:pStyle w:val="Heading2"/>
      </w:pPr>
      <w:r>
        <w:t>4.3 联网增强能力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除了本地ESG数据库，智能助手还具备联网搜索和知识库积累能力：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联网搜索：当用户询问最新ESG政策、行业新闻等超出本地数据范围的问题时，Agent自动通过搜索引擎获取最新信息并整合回答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知识库构建：搜索结果自动存入ChromaDB向量数据库，随着使用次数增加，知识库不断丰富，形成企业级ESG知识资产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网页深度抓取：对高价值网页自动抓取全文、清洗并索引，避免链接失效导致的知识丢失</w:t>
      </w:r>
    </w:p>
    <w:p>
      <w:pPr>
        <w:pStyle w:val="Heading1"/>
      </w:pPr>
      <w:r>
        <w:t>五、数据资产</w:t>
      </w:r>
    </w:p>
    <w:p>
      <w:pPr>
        <w:pStyle w:val="Heading2"/>
      </w:pPr>
      <w:r>
        <w:t>5.1 覆盖规模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指标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数值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覆盖A股上市公司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110+ 家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覆盖行业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15+ 个（金融、科技、医药、汽车、新能源、制造业、材料、房地产、交通运输、农业、传媒、通信、食品饮料等）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ESG指标总数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52个（31个定量 + 21个定性）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数据类型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定量数值 + 定性判断 + 原文摘要 + 置信度标注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数据年份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以2024–2026年为主</w:t>
            </w:r>
          </w:p>
        </w:tc>
      </w:tr>
    </w:tbl>
    <w:p/>
    <w:p>
      <w:pPr>
        <w:pStyle w:val="Heading2"/>
      </w:pPr>
      <w:r>
        <w:t>5.2 ESG指标体系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环境维度 (E) — 18个指标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包含指标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定量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13个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温室气体排放总量、范围1/范围2排放、排放强度、综合能源消耗、可再生能源比例、总用水量、废水排放量、废弃物总量、环保投入金额、氮氧化物/硫氧化物/颗粒物排放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定性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5个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气候变化应对策略、环境管理体系(ISO14001)、绿色产品与服务、生物多样性保护、循环经济实践</w:t>
            </w:r>
          </w:p>
        </w:tc>
      </w:tr>
    </w:tbl>
    <w:p/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社会维度 (S) — 19个指标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包含指标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定量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12个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员工总数、女性员工比例、女性高管比例、培训投入、人均培训时长、流失率、研发投入、研发占比、安全生产投入、工伤事故率、公益捐赠、纳税总额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定性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7个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员工权益保护、职业健康安全(ISO45001)、供应链ESG管理、产品安全质量、数据安全隐私、社区关系参与、员工多元化与包容</w:t>
            </w:r>
          </w:p>
        </w:tc>
      </w:tr>
    </w:tbl>
    <w:p/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治理维度 (G) — 15个指标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类型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包含指标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定量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7个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董事会规模、独立董事比例、女性董事人数、董事会会议次数、监事会规模、高管薪酬总额、审计委员会会议次数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定性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8个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微软雅黑"/>
                <w:sz w:val="20"/>
              </w:rPr>
              <w:t>ESG治理架构、反腐败与廉洁建设、商业道德合规、风险管理体系、投资者关系管理、利益相关方沟通、信息披露质量、税务透明度</w:t>
            </w:r>
          </w:p>
        </w:tc>
      </w:tr>
    </w:tbl>
    <w:p/>
    <w:p>
      <w:pPr>
        <w:pStyle w:val="Heading1"/>
      </w:pPr>
      <w:r>
        <w:t>六、应用场景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场景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投资研究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快速查询标的公司的ESG表现，横向对比同行业多家公司，辅助投资决策与组合构建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风险管理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识别持仓公司ESG风险敞口，监控ESG评级变化趋势，及时预警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监管合规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批量提取ESG报告关键指标，验证披露合规性，生成监管报送数据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行业研究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行业级别ESG数据聚合分析，识别行业趋势、最佳实践和领先企业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企业对标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企业自身ESG表现与同行横向对比，发现差距、制定改进目标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ESG评级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基于标准化指标体系自动打分排名，为内部ESG评级模型提供数据底座</w:t>
            </w:r>
          </w:p>
        </w:tc>
      </w:tr>
    </w:tbl>
    <w:p/>
    <w:p>
      <w:pPr>
        <w:pStyle w:val="Heading1"/>
      </w:pPr>
      <w:r>
        <w:t>七、技术栈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层级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sz w:val="20"/>
              </w:rPr>
              <w:t>使用技术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AI模型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DeepSeek 大语言模型（支持 Function Calling + JSON 结构化输出）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前端框架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Streamlit（Python Web应用框架）+ Plotly（交互式图表库）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数据处理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Python 3.10+, pandas, numpy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PDF解析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OCR 文字识别引擎 + 表格结构化提取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数据存储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SQLite（关系型数据库）+ JSON（原始结果）+ ChromaDB（向量知识库）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联网搜索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DuckDuckGo 搜索API + 网页抓取爬虫 + 自动索引管线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部署方式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微软雅黑"/>
                <w:sz w:val="20"/>
              </w:rPr>
              <w:t>本地运行 / Hugging Face Spaces 一键云端部署 / 自包含HTML离线版</w:t>
            </w:r>
          </w:p>
        </w:tc>
      </w:tr>
    </w:tbl>
    <w:p/>
    <w:p>
      <w:pPr>
        <w:pStyle w:val="Heading1"/>
      </w:pPr>
      <w:r>
        <w:t>八、部署方式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系统提供三种使用方式，适应不同场景需求：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方式一：Streamlit Web应用（完整AI版）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需要：Python 3.10+ + DeepSeek API Key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功能：包含全部7大页面 + AI智能助手 + 联网搜索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部署：支持本地运行或 Hugging Face Spaces 一键云端部署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适用：企业内部正式使用，需要AI智能分析能力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方式二：自包含HTML（离线版）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需要：仅浏览器，零安装、零配置、无需API Key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功能：6大功能页面（数据概览、ESG排名、公司查询、指标对比、行业分析、智能检索）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适用：赛题提交、演示展示、无网络环境使用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方式三：命令行批量处理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python run.py download    → 批量下载ESG报告PDF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python run.py preprocess  → PDF转结构化Markdown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python run.py extract     → AI提取52个ESG指标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python run.py validate    → 质量校验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python run.py db-import   → 导入SQLite数据库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• python run.py app         → 启动Web应用</w:t>
      </w:r>
    </w:p>
    <w:p>
      <w:pPr>
        <w:pStyle w:val="Heading1"/>
      </w:pPr>
      <w:r>
        <w:t>九、总结与价值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本系统将大语言模型与ESG数据分析深度结合，其核心价值体现在四个维度：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1. 效率提升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将人工阅读上百页报告、手动录入数据的数天工作量，压缩至分钟级自动完成。单份报告从下载到52项指标提取完毕，全程自动化。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2. 能力下沉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自然语言交互方式彻底降低了ESG数据分析的门槛。业务人员、投资经理无需任何编程或数据库知识，直接输入问题即可获取数据洞察。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3. 知识沉淀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联网搜索 + ChromaDB向量数据库，将每次查询涉及的政策法规、新闻动态、行业报告自动转化为结构化的企业知识资产，随使用不断增值。</w:t>
      </w:r>
    </w:p>
    <w:p>
      <w:pPr>
        <w:spacing w:after="120" w:line="360" w:lineRule="auto"/>
      </w:pPr>
      <w:r>
        <w:rPr>
          <w:rFonts w:ascii="Arial" w:hAnsi="Arial" w:eastAsia="微软雅黑"/>
          <w:b/>
          <w:sz w:val="24"/>
        </w:rPr>
        <w:t>4. 决策支撑</w:t>
      </w:r>
    </w:p>
    <w:p>
      <w:pPr>
        <w:spacing w:after="120" w:line="360" w:lineRule="auto"/>
      </w:pPr>
      <w:r>
        <w:rPr>
          <w:rFonts w:ascii="Arial" w:hAnsi="Arial" w:eastAsia="微软雅黑"/>
          <w:sz w:val="22"/>
        </w:rPr>
        <w:t>多维度横向对比（公司 vs 公司、公司 vs 行业、行业 vs 行业）+ 交互式可视化，为ESG投资、风险管理和企业对标提供坚实的数据底座。</w:t>
      </w:r>
    </w:p>
    <w:p>
      <w:pPr>
        <w:spacing w:after="120" w:line="360" w:lineRule="auto"/>
      </w:pPr>
      <w:r>
        <w:rPr>
          <w:rFonts w:ascii="Arial" w:hAnsi="Arial" w:eastAsia="微软雅黑"/>
          <w:sz w:val="16"/>
        </w:rPr>
      </w:r>
    </w:p>
    <w:p>
      <w:pPr>
        <w:spacing w:after="120" w:line="360" w:lineRule="auto"/>
        <w:jc w:val="center"/>
      </w:pPr>
      <w:r>
        <w:rPr>
          <w:rFonts w:ascii="Arial" w:hAnsi="Arial" w:eastAsia="微软雅黑"/>
          <w:color w:val="1A237E"/>
          <w:sz w:val="26"/>
        </w:rPr>
        <w:t>—— 让ESG数据触手可及，让分析洞察自然发生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565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B5E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