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80" w:before="0" w:line="360"/>
        <w:jc w:val="center"/>
      </w:pPr>
      <w:r>
        <w:rPr>
          <w:rFonts w:ascii="Times New Roman" w:cs="Times New Roman" w:eastAsia="Times New Roman" w:hAnsi="Times New Roman"/>
          <w:b/>
          <w:bCs/>
          <w:sz w:val="32"/>
          <w:szCs w:val="32"/>
        </w:rPr>
        <w:t xml:space="preserve">CHƯƠNG 1</w:t>
      </w:r>
    </w:p>
    <w:p>
      <w:pPr>
        <w:pStyle w:val="Heading1"/>
        <w:spacing w:after="280" w:before="0" w:line="360"/>
        <w:jc w:val="center"/>
      </w:pPr>
      <w:r>
        <w:rPr>
          <w:rFonts w:ascii="Times New Roman" w:cs="Times New Roman" w:eastAsia="Times New Roman" w:hAnsi="Times New Roman"/>
          <w:b/>
          <w:bCs/>
          <w:sz w:val="32"/>
          <w:szCs w:val="32"/>
        </w:rPr>
        <w:t xml:space="preserve">CƠ SỞ LÝ THUYẾT VÀ TỔNG QUAN NGHIÊN CỨU</w:t>
      </w:r>
    </w:p>
    <w:p>
      <w:pPr>
        <w:pStyle w:val="Heading2"/>
        <w:spacing w:after="160" w:before="280" w:line="360"/>
        <w:jc w:val="left"/>
      </w:pPr>
      <w:r>
        <w:rPr>
          <w:rFonts w:ascii="Times New Roman" w:cs="Times New Roman" w:eastAsia="Times New Roman" w:hAnsi="Times New Roman"/>
          <w:b/>
          <w:bCs/>
          <w:sz w:val="30"/>
          <w:szCs w:val="30"/>
        </w:rPr>
        <w:t xml:space="preserve">1.1. Phương tiện bay không người lái trong tác chiến hiện đại</w:t>
      </w:r>
    </w:p>
    <w:p>
      <w:pPr>
        <w:pStyle w:val="Heading3"/>
        <w:spacing w:after="160" w:before="280" w:line="360"/>
        <w:jc w:val="left"/>
      </w:pPr>
      <w:r>
        <w:rPr>
          <w:rFonts w:ascii="Times New Roman" w:cs="Times New Roman" w:eastAsia="Times New Roman" w:hAnsi="Times New Roman"/>
          <w:b/>
          <w:bCs/>
          <w:sz w:val="28"/>
          <w:szCs w:val="28"/>
        </w:rPr>
        <w:t xml:space="preserve">1.1.1. Khái niệm và phân loại theo nhiệm vụ</w:t>
      </w:r>
    </w:p>
    <w:p>
      <w:pPr>
        <w:spacing w:after="120" w:before="0" w:line="360"/>
        <w:ind w:firstLine="431"/>
        <w:jc w:val="both"/>
      </w:pPr>
      <w:r>
        <w:rPr>
          <w:rFonts w:ascii="Times New Roman" w:cs="Times New Roman" w:eastAsia="Times New Roman" w:hAnsi="Times New Roman"/>
          <w:sz w:val="26"/>
          <w:szCs w:val="26"/>
        </w:rPr>
        <w:t xml:space="preserve">Phương tiện bay không người lái (Unmanned Aerial Vehicle – UAV) là khí cụ bay không có người điều khiển trên khoang, được điều khiển từ xa hoặc bay tự hành theo chương trình nạp sẵn. UAV có thể mang các loại tải trọng khác nhau: khí tài quang điện tử, khí tài trinh sát vô tuyến, thiết bị thông tin liên lạc hoặc thiết bị tác chiến điện tử. Khi UAV mang vũ khí, nó được gọi là phương tiện bay chiến đấu không người lái (Unmanned Combat Aerial Vehicle – UCAV).</w:t>
      </w:r>
    </w:p>
    <w:p>
      <w:pPr>
        <w:spacing w:after="120" w:before="0" w:line="360"/>
        <w:ind w:firstLine="431"/>
        <w:jc w:val="both"/>
      </w:pPr>
      <w:r>
        <w:rPr>
          <w:rFonts w:ascii="Times New Roman" w:cs="Times New Roman" w:eastAsia="Times New Roman" w:hAnsi="Times New Roman"/>
          <w:sz w:val="26"/>
          <w:szCs w:val="26"/>
        </w:rPr>
        <w:t xml:space="preserve">Trong nhiệm vụ tiến công, UCAV được phân thành hai nhóm có phương thức sử dụng khác nhau về bản chất:</w:t>
      </w:r>
    </w:p>
    <w:p>
      <w:pPr>
        <w:spacing w:after="80" w:before="0" w:line="360"/>
        <w:ind w:firstLine="431"/>
        <w:jc w:val="both"/>
      </w:pPr>
      <w:r>
        <w:rPr>
          <w:rFonts w:ascii="Times New Roman" w:cs="Times New Roman" w:eastAsia="Times New Roman" w:hAnsi="Times New Roman"/>
          <w:b/>
          <w:bCs/>
          <w:sz w:val="26"/>
          <w:szCs w:val="26"/>
        </w:rPr>
        <w:t xml:space="preserve">Nhóm thứ nhất — UAV chiến đấu thu hồi. </w:t>
      </w:r>
      <w:r>
        <w:rPr>
          <w:rFonts w:ascii="Times New Roman" w:cs="Times New Roman" w:eastAsia="Times New Roman" w:hAnsi="Times New Roman"/>
          <w:sz w:val="26"/>
          <w:szCs w:val="26"/>
        </w:rPr>
        <w:t xml:space="preserve">Đây là phương tiện có kích thước tương đối lớn, mang một hoặc nhiều đạn dược. Sau khi phóng hết vũ khí, phương tiện quay về căn cứ để tiếp nạp và tái sử dụng. Bản thân khung thân không bị tiêu hao, nhưng hành trình bay phải bảo đảm cả chặng đi và chặng về.</w:t>
      </w:r>
    </w:p>
    <w:p>
      <w:pPr>
        <w:spacing w:after="120" w:before="0" w:line="360"/>
        <w:ind w:firstLine="431"/>
        <w:jc w:val="both"/>
      </w:pPr>
      <w:r>
        <w:rPr>
          <w:rFonts w:ascii="Times New Roman" w:cs="Times New Roman" w:eastAsia="Times New Roman" w:hAnsi="Times New Roman"/>
          <w:b/>
          <w:bCs/>
          <w:sz w:val="26"/>
          <w:szCs w:val="26"/>
        </w:rPr>
        <w:t xml:space="preserve">Nhóm thứ hai — UAV cảm tử. </w:t>
      </w:r>
      <w:r>
        <w:rPr>
          <w:rFonts w:ascii="Times New Roman" w:cs="Times New Roman" w:eastAsia="Times New Roman" w:hAnsi="Times New Roman"/>
          <w:sz w:val="26"/>
          <w:szCs w:val="26"/>
        </w:rPr>
        <w:t xml:space="preserve">Đây thực chất là một loại đạn có điều khiển, trong đó phần chiến đấu là bộ phận không tách rời của phương tiện. Phương tiện lao thẳng vào mục tiêu và bị tiêu hao cùng lần đánh đó. Hệ quả trực tiếp: mỗi chiếc chỉ tiến công được tối đa một mục tiêu, và hành trình bay chỉ tính một chiều.</w:t>
      </w:r>
    </w:p>
    <w:p>
      <w:pPr>
        <w:spacing w:after="120" w:before="100" w:line="360"/>
        <w:ind w:firstLine="431"/>
        <w:jc w:val="both"/>
      </w:pPr>
      <w:r>
        <w:rPr>
          <w:rFonts w:ascii="Times New Roman" w:cs="Times New Roman" w:eastAsia="Times New Roman" w:hAnsi="Times New Roman"/>
          <w:sz w:val="26"/>
          <w:szCs w:val="26"/>
        </w:rPr>
        <w:t xml:space="preserve">Sự phân biệt này không mang tính hình thức. Nó quyết định trực tiếp hai yếu tố trong mô hình toán học sẽ xây dựng ở Chương 2: điều kiện về tầm bay (một chiều hay khứ hồi) và giới hạn số lần xuất kích của mỗi phương tiện.</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1.1 — </w:t>
      </w:r>
      <w:r>
        <w:rPr>
          <w:rFonts w:ascii="Times New Roman" w:cs="Times New Roman" w:eastAsia="Times New Roman" w:hAnsi="Times New Roman"/>
          <w:i/>
          <w:iCs/>
          <w:color w:val="C00000"/>
          <w:sz w:val="24"/>
          <w:szCs w:val="24"/>
        </w:rPr>
        <w:t xml:space="preserve">Khung hình trích từ tư liệu về chuỗi tiêu diệt kết hợp trinh sát – hoả lực – UAV cảm tử: UAV trinh sát phát hiện pháo tự hành đối phương đang bắn, pháo binh bắn vào toạ độ đã xác định, sau đó UAV cảm tử được điều tới đánh bồi để phá huỷ hoàn toàn. Chọn khung hình thấy rõ cả phương tiện trinh sát lẫn thời điểm UAV cảm tử lao vào mục tiêu. Chú thích ảnh phải ghi rõ đây là tư liệu do một bên tham chiến công bố, chưa được kiểm chứng độc lập.</w:t>
      </w:r>
      <w:r>
        <w:rPr>
          <w:rFonts w:ascii="Times New Roman" w:cs="Times New Roman" w:eastAsia="Times New Roman" w:hAnsi="Times New Roman"/>
          <w:i/>
          <w:iCs/>
          <w:color w:val="C00000"/>
          <w:sz w:val="24"/>
          <w:szCs w:val="24"/>
        </w:rPr>
        <w:t xml:space="preserve">   ► Nguồn: Kênh truyền hình Zvezda dẫn nguồn Bộ Quốc phòng Liên bang Nga; VietnamNet đăng lại ngày 17/9/2026. Bản in dùng ảnh tĩnh trích từ video; bản trình chiếu phát trực tiếp đoạn video.</w:t>
      </w:r>
    </w:p>
    <w:p>
      <w:pPr>
        <w:pStyle w:val="Heading3"/>
        <w:spacing w:after="160" w:before="280" w:line="360"/>
        <w:jc w:val="left"/>
      </w:pPr>
      <w:r>
        <w:rPr>
          <w:rFonts w:ascii="Times New Roman" w:cs="Times New Roman" w:eastAsia="Times New Roman" w:hAnsi="Times New Roman"/>
          <w:b/>
          <w:bCs/>
          <w:sz w:val="28"/>
          <w:szCs w:val="28"/>
        </w:rPr>
        <w:t xml:space="preserve">1.1.2. Đặc điểm sử dụng UAV ở quy mô phân đội</w:t>
      </w:r>
    </w:p>
    <w:p>
      <w:pPr>
        <w:spacing w:after="120" w:before="0" w:line="360"/>
        <w:ind w:firstLine="431"/>
        <w:jc w:val="both"/>
      </w:pPr>
      <w:r>
        <w:rPr>
          <w:rFonts w:ascii="Times New Roman" w:cs="Times New Roman" w:eastAsia="Times New Roman" w:hAnsi="Times New Roman"/>
          <w:sz w:val="26"/>
          <w:szCs w:val="26"/>
        </w:rPr>
        <w:t xml:space="preserve">Ở quy mô phân đội, việc sử dụng UAV có ba đặc điểm chi phối bài toán lập kế hoạch.</w:t>
      </w:r>
    </w:p>
    <w:p>
      <w:pPr>
        <w:spacing w:after="80" w:before="0" w:line="360"/>
        <w:ind w:firstLine="431"/>
        <w:jc w:val="both"/>
      </w:pPr>
      <w:r>
        <w:rPr>
          <w:rFonts w:ascii="Times New Roman" w:cs="Times New Roman" w:eastAsia="Times New Roman" w:hAnsi="Times New Roman"/>
          <w:b/>
          <w:bCs/>
          <w:sz w:val="26"/>
          <w:szCs w:val="26"/>
        </w:rPr>
        <w:t xml:space="preserve">Một là, số lượng phương tiện rất hạn chế. </w:t>
      </w:r>
      <w:r>
        <w:rPr>
          <w:rFonts w:ascii="Times New Roman" w:cs="Times New Roman" w:eastAsia="Times New Roman" w:hAnsi="Times New Roman"/>
          <w:sz w:val="26"/>
          <w:szCs w:val="26"/>
        </w:rPr>
        <w:t xml:space="preserve">Một trung đội UAV thường chỉ được biên chế vài chục chiếc thuộc một số chủng loại. Trong điều kiện đó, mỗi quyết định điều động đều làm giảm lực lượng dành cho các mục tiêu còn lại.</w:t>
      </w:r>
    </w:p>
    <w:p>
      <w:pPr>
        <w:spacing w:after="80" w:before="0" w:line="360"/>
        <w:ind w:firstLine="431"/>
        <w:jc w:val="both"/>
      </w:pPr>
      <w:r>
        <w:rPr>
          <w:rFonts w:ascii="Times New Roman" w:cs="Times New Roman" w:eastAsia="Times New Roman" w:hAnsi="Times New Roman"/>
          <w:b/>
          <w:bCs/>
          <w:sz w:val="26"/>
          <w:szCs w:val="26"/>
        </w:rPr>
        <w:t xml:space="preserve">Hai là, lực lượng gồm nhiều chủng loại với phần chiến đấu chuyên dụng. </w:t>
      </w:r>
      <w:r>
        <w:rPr>
          <w:rFonts w:ascii="Times New Roman" w:cs="Times New Roman" w:eastAsia="Times New Roman" w:hAnsi="Times New Roman"/>
          <w:sz w:val="26"/>
          <w:szCs w:val="26"/>
        </w:rPr>
        <w:t xml:space="preserve">Đầu đạn nổ phá mảnh có hiệu quả cao với mục tiêu vỏ mỏng như bồn chứa nhiên liệu hay ăng-ten khí tài, nhưng gần như vô hiệu với công sự bê tông. Đầu đạn lõm chống tăng xuyên được giáp dày nhưng diện sát thương hẹp. Đầu đạn nổ phá hạng nặng phù hợp với công sự kiên cố. Do đó hiệu quả của một phương tiện phụ thuộc vào loại mục tiêu mà nó được giao — không có chủng loại nào tốt nhất với mọi mục tiêu.</w:t>
      </w:r>
    </w:p>
    <w:p>
      <w:pPr>
        <w:spacing w:after="120" w:before="0" w:line="360"/>
        <w:ind w:firstLine="431"/>
        <w:jc w:val="both"/>
      </w:pPr>
      <w:r>
        <w:rPr>
          <w:rFonts w:ascii="Times New Roman" w:cs="Times New Roman" w:eastAsia="Times New Roman" w:hAnsi="Times New Roman"/>
          <w:b/>
          <w:bCs/>
          <w:sz w:val="26"/>
          <w:szCs w:val="26"/>
        </w:rPr>
        <w:t xml:space="preserve">Ba là, lực lượng xuất kích từ nhiều vị trí phân tán. </w:t>
      </w:r>
      <w:r>
        <w:rPr>
          <w:rFonts w:ascii="Times New Roman" w:cs="Times New Roman" w:eastAsia="Times New Roman" w:hAnsi="Times New Roman"/>
          <w:sz w:val="26"/>
          <w:szCs w:val="26"/>
        </w:rPr>
        <w:t xml:space="preserve">Các tổ UAV được bố trí tách nhau để giảm nguy cơ bị tiêu diệt đồng loạt. Hệ quả là cự ly từ mỗi tổ tới mỗi mục tiêu khác nhau, kéo theo khác nhau cả về chi phí hành trình lẫn khả năng với tới trong tầm bay.</w:t>
      </w:r>
    </w:p>
    <w:p>
      <w:pPr>
        <w:pStyle w:val="Heading3"/>
        <w:spacing w:after="160" w:before="280" w:line="360"/>
        <w:jc w:val="left"/>
      </w:pPr>
      <w:r>
        <w:rPr>
          <w:rFonts w:ascii="Times New Roman" w:cs="Times New Roman" w:eastAsia="Times New Roman" w:hAnsi="Times New Roman"/>
          <w:b/>
          <w:bCs/>
          <w:sz w:val="28"/>
          <w:szCs w:val="28"/>
        </w:rPr>
        <w:t xml:space="preserve">1.1.3. Yêu cầu đặt ra đối với công tác lập kế hoạch</w:t>
      </w:r>
    </w:p>
    <w:p>
      <w:pPr>
        <w:spacing w:after="120" w:before="0" w:line="360"/>
        <w:ind w:firstLine="431"/>
        <w:jc w:val="both"/>
      </w:pPr>
      <w:r>
        <w:rPr>
          <w:rFonts w:ascii="Times New Roman" w:cs="Times New Roman" w:eastAsia="Times New Roman" w:hAnsi="Times New Roman"/>
          <w:sz w:val="26"/>
          <w:szCs w:val="26"/>
        </w:rPr>
        <w:t xml:space="preserve">Ba đặc điểm trên hợp lại tạo thành một bài toán phân bổ nguồn lực có cấu trúc rõ ràng: một tập phương tiện không đồng nhất, một tập mục tiêu không đồng nhất, và một ma trận hiệu quả gắn mỗi cặp phương tiện – mục tiêu với một giá trị. Nhiệm vụ của người chỉ huy là chọn phép ghép cặp tốt nhất trong điều kiện bị giới hạn về số lượng, hoả lực và tầm bay.</w:t>
      </w:r>
    </w:p>
    <w:p>
      <w:pPr>
        <w:spacing w:after="120" w:before="0" w:line="360"/>
        <w:ind w:firstLine="431"/>
        <w:jc w:val="both"/>
      </w:pPr>
      <w:r>
        <w:rPr>
          <w:rFonts w:ascii="Times New Roman" w:cs="Times New Roman" w:eastAsia="Times New Roman" w:hAnsi="Times New Roman"/>
          <w:sz w:val="26"/>
          <w:szCs w:val="26"/>
        </w:rPr>
        <w:t xml:space="preserve">Bài toán này đã được nghiên cứu trong vận trù học quân sự dưới tên gọi bài toán phân công vũ khí – mục tiêu, trình bày ở mục tiếp theo.</w:t>
      </w:r>
    </w:p>
    <w:p>
      <w:pPr>
        <w:pStyle w:val="Heading2"/>
        <w:spacing w:after="160" w:before="280" w:line="360"/>
        <w:jc w:val="left"/>
      </w:pPr>
      <w:r>
        <w:rPr>
          <w:rFonts w:ascii="Times New Roman" w:cs="Times New Roman" w:eastAsia="Times New Roman" w:hAnsi="Times New Roman"/>
          <w:b/>
          <w:bCs/>
          <w:sz w:val="30"/>
          <w:szCs w:val="30"/>
        </w:rPr>
        <w:t xml:space="preserve">1.2. Bài toán phân công vũ khí – mục tiêu</w:t>
      </w:r>
    </w:p>
    <w:p>
      <w:pPr>
        <w:pStyle w:val="Heading3"/>
        <w:spacing w:after="160" w:before="280" w:line="360"/>
        <w:jc w:val="left"/>
      </w:pPr>
      <w:r>
        <w:rPr>
          <w:rFonts w:ascii="Times New Roman" w:cs="Times New Roman" w:eastAsia="Times New Roman" w:hAnsi="Times New Roman"/>
          <w:b/>
          <w:bCs/>
          <w:sz w:val="28"/>
          <w:szCs w:val="28"/>
        </w:rPr>
        <w:t xml:space="preserve">1.2.1. Phát biểu tổng quát</w:t>
      </w:r>
    </w:p>
    <w:p>
      <w:pPr>
        <w:spacing w:after="120" w:before="0" w:line="360"/>
        <w:ind w:firstLine="431"/>
        <w:jc w:val="both"/>
      </w:pPr>
      <w:r>
        <w:rPr>
          <w:rFonts w:ascii="Times New Roman" w:cs="Times New Roman" w:eastAsia="Times New Roman" w:hAnsi="Times New Roman"/>
          <w:sz w:val="26"/>
          <w:szCs w:val="26"/>
        </w:rPr>
        <w:t xml:space="preserve">Bài toán phân công vũ khí – mục tiêu (Weapon–Target Assignment – WTA) được phát biểu như sau. Cho một tập phương tiện hoả lực và một tập mục tiêu. Mỗi mục tiêu j mang một giá trị vⱼ phản ánh tầm quan trọng quân sự của nó. Mỗi cặp (phương tiện i, mục tiêu j) được gán một xác suất tiêu diệt pᵢⱼ, là xác suất mục tiêu j bị vô hiệu hoá nếu phương tiện i tiến công nó một lần. Nhiệm vụ là phân công phương tiện cho mục tiêu sao cho hiệu quả tổng thể đạt lớn nhất.</w:t>
      </w:r>
    </w:p>
    <w:p>
      <w:pPr>
        <w:spacing w:after="120" w:before="0" w:line="360"/>
        <w:ind w:firstLine="431"/>
        <w:jc w:val="both"/>
      </w:pPr>
      <w:r>
        <w:rPr>
          <w:rFonts w:ascii="Times New Roman" w:cs="Times New Roman" w:eastAsia="Times New Roman" w:hAnsi="Times New Roman"/>
          <w:sz w:val="26"/>
          <w:szCs w:val="26"/>
        </w:rPr>
        <w:t xml:space="preserve">Giả thiết nền tảng của lớp bài toán này là các sự kiện tiêu diệt độc lập với nhau. Khi đó, nếu một nhóm phương tiện cùng tiến công mục tiêu j, xác suất mục tiêu ấy sống sót bằng tích các xác suất sống sót thành phần:</w:t>
      </w:r>
    </w:p>
    <w:p>
      <w:pPr>
        <w:spacing w:after="140" w:before="140" w:line="360"/>
        <w:jc w:val="center"/>
      </w:pPr>
      <w:r>
        <w:rPr>
          <w:rFonts w:ascii="Times New Roman" w:cs="Times New Roman" w:eastAsia="Times New Roman" w:hAnsi="Times New Roman"/>
          <w:i/>
          <w:iCs/>
          <w:sz w:val="26"/>
          <w:szCs w:val="26"/>
        </w:rPr>
        <w:t xml:space="preserve">S</w:t>
      </w:r>
      <w:r>
        <w:rPr>
          <w:rFonts w:ascii="Times New Roman" w:cs="Times New Roman" w:eastAsia="Times New Roman" w:hAnsi="Times New Roman"/>
          <w:i/>
          <w:iCs/>
          <w:sz w:val="26"/>
          <w:szCs w:val="26"/>
          <w:vertAlign w:val="subscript"/>
        </w:rPr>
        <w:t xml:space="preserve">j</w:t>
      </w:r>
      <w:r>
        <w:rPr>
          <w:rFonts w:ascii="Times New Roman" w:cs="Times New Roman" w:eastAsia="Times New Roman" w:hAnsi="Times New Roman"/>
          <w:sz w:val="26"/>
          <w:szCs w:val="26"/>
        </w:rPr>
        <w:t xml:space="preserve"> = </w:t>
      </w:r>
      <w:r>
        <w:rPr>
          <w:rFonts w:ascii="Times New Roman" w:cs="Times New Roman" w:eastAsia="Times New Roman" w:hAnsi="Times New Roman"/>
          <w:sz w:val="26"/>
          <w:szCs w:val="26"/>
        </w:rPr>
        <w:t xml:space="preserve">∏</w:t>
      </w:r>
      <w:r>
        <w:rPr>
          <w:rFonts w:ascii="Times New Roman" w:cs="Times New Roman" w:eastAsia="Times New Roman" w:hAnsi="Times New Roman"/>
          <w:sz w:val="26"/>
          <w:szCs w:val="26"/>
          <w:vertAlign w:val="subscript"/>
        </w:rPr>
        <w:t xml:space="preserve">i</w:t>
      </w:r>
      <w:r>
        <w:rPr>
          <w:rFonts w:ascii="Times New Roman" w:cs="Times New Roman" w:eastAsia="Times New Roman" w:hAnsi="Times New Roman"/>
          <w:sz w:val="26"/>
          <w:szCs w:val="26"/>
        </w:rPr>
        <w:t xml:space="preserve"> (1 − </w:t>
      </w:r>
      <w:r>
        <w:rPr>
          <w:rFonts w:ascii="Times New Roman" w:cs="Times New Roman" w:eastAsia="Times New Roman" w:hAnsi="Times New Roman"/>
          <w:i/>
          <w:iCs/>
          <w:sz w:val="26"/>
          <w:szCs w:val="26"/>
        </w:rPr>
        <w:t xml:space="preserve">p</w:t>
      </w:r>
      <w:r>
        <w:rPr>
          <w:rFonts w:ascii="Times New Roman" w:cs="Times New Roman" w:eastAsia="Times New Roman" w:hAnsi="Times New Roman"/>
          <w:i/>
          <w:iCs/>
          <w:sz w:val="26"/>
          <w:szCs w:val="26"/>
          <w:vertAlign w:val="subscript"/>
        </w:rPr>
        <w:t xml:space="preserve">ij</w:t>
      </w:r>
      <w:r>
        <w:rPr>
          <w:rFonts w:ascii="Times New Roman" w:cs="Times New Roman" w:eastAsia="Times New Roman" w:hAnsi="Times New Roman"/>
          <w:sz w:val="26"/>
          <w:szCs w:val="26"/>
        </w:rPr>
        <w:t xml:space="preserve">)</w:t>
      </w:r>
      <w:r>
        <w:rPr>
          <w:rFonts w:ascii="Times New Roman" w:cs="Times New Roman" w:eastAsia="Times New Roman" w:hAnsi="Times New Roman"/>
          <w:i/>
          <w:iCs/>
          <w:sz w:val="26"/>
          <w:szCs w:val="26"/>
          <w:vertAlign w:val="superscript"/>
        </w:rPr>
        <w:t xml:space="preserve">x</w:t>
      </w:r>
      <w:r>
        <w:rPr>
          <w:rFonts w:ascii="Times New Roman" w:cs="Times New Roman" w:eastAsia="Times New Roman" w:hAnsi="Times New Roman"/>
          <w:i/>
          <w:iCs/>
          <w:sz w:val="26"/>
          <w:szCs w:val="26"/>
          <w:vertAlign w:val="superscript"/>
        </w:rPr>
        <w:t xml:space="preserve">ij</w:t>
      </w:r>
    </w:p>
    <w:p>
      <w:pPr>
        <w:spacing w:after="120" w:before="0" w:line="360"/>
        <w:ind w:firstLine="431"/>
        <w:jc w:val="both"/>
      </w:pPr>
      <w:r>
        <w:rPr>
          <w:rFonts w:ascii="Times New Roman" w:cs="Times New Roman" w:eastAsia="Times New Roman" w:hAnsi="Times New Roman"/>
          <w:sz w:val="26"/>
          <w:szCs w:val="26"/>
        </w:rPr>
        <w:t xml:space="preserve">trong đó xᵢⱼ nhận giá trị 1 nếu phương tiện i được giao mục tiêu j và bằng 0 nếu ngược lại. Giá trị kỳ vọng tiêu diệt được của mục tiêu j khi đó bằng vⱼ(1 − Sⱼ).</w:t>
      </w:r>
    </w:p>
    <w:p>
      <w:pPr>
        <w:spacing w:after="120" w:before="0" w:line="360"/>
        <w:ind w:firstLine="431"/>
        <w:jc w:val="both"/>
      </w:pPr>
      <w:r>
        <w:rPr>
          <w:rFonts w:ascii="Times New Roman" w:cs="Times New Roman" w:eastAsia="Times New Roman" w:hAnsi="Times New Roman"/>
          <w:sz w:val="26"/>
          <w:szCs w:val="26"/>
        </w:rPr>
        <w:t xml:space="preserve">Chính công thức tích này tạo nên đặc điểm quan trọng nhất của bài toán: giá trị mà một phương tiện đóng góp cho một mục tiêu phụ thuộc vào những phương tiện nào đã được giao cho mục tiêu đó. Chiếc thứ hai đánh vào một mục tiêu đóng góp ít hơn chiếc thứ nhất, chiếc thứ ba ít hơn chiếc thứ hai. Đây gọi là quy luật hiệu quả biên giảm dần, và nó khiến bài toán không thể phân rã thành các quyết định độc lập.</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1.2 — </w:t>
      </w:r>
      <w:r>
        <w:rPr>
          <w:rFonts w:ascii="Times New Roman" w:cs="Times New Roman" w:eastAsia="Times New Roman" w:hAnsi="Times New Roman"/>
          <w:i/>
          <w:iCs/>
          <w:color w:val="C00000"/>
          <w:sz w:val="24"/>
          <w:szCs w:val="24"/>
        </w:rPr>
        <w:t xml:space="preserve">Sơ đồ khái lược bài toán phân công vũ khí – mục tiêu: cột trái là tập phương tiện, cột phải là tập mục tiêu, mỗi đường nối mang nhãn xác suất tiêu diệt pᵢⱼ. Sơ đồ tự vẽ bằng công cụ vẽ sơ đồ khối.</w:t>
      </w:r>
    </w:p>
    <w:p>
      <w:pPr>
        <w:spacing w:after="120" w:before="0" w:line="360"/>
        <w:ind w:firstLine="431"/>
        <w:jc w:val="both"/>
      </w:pPr>
      <w:r>
        <w:rPr>
          <w:rFonts w:ascii="Times New Roman" w:cs="Times New Roman" w:eastAsia="Times New Roman" w:hAnsi="Times New Roman"/>
          <w:sz w:val="26"/>
          <w:szCs w:val="26"/>
        </w:rPr>
        <w:t xml:space="preserve">Quy luật này thể hiện rất rõ qua một ví dụ số. Giả sử một phương tiện có xác suất tiêu diệt mục tiêu bằng 0,7. Mục tiêu chỉ sống sót khi toàn bộ các phương tiện được giao đều trượt, nên khi giao </w:t>
      </w:r>
      <w:r>
        <w:rPr>
          <w:rFonts w:ascii="Times New Roman" w:cs="Times New Roman" w:eastAsia="Times New Roman" w:hAnsi="Times New Roman"/>
          <w:i/>
          <w:iCs/>
          <w:sz w:val="26"/>
          <w:szCs w:val="26"/>
        </w:rPr>
        <w:t xml:space="preserve">k</w:t>
      </w:r>
      <w:r>
        <w:rPr>
          <w:rFonts w:ascii="Times New Roman" w:cs="Times New Roman" w:eastAsia="Times New Roman" w:hAnsi="Times New Roman"/>
          <w:sz w:val="26"/>
          <w:szCs w:val="26"/>
        </w:rPr>
        <w:t xml:space="preserve"> phương tiện cùng chủng loại, xác suất tiêu diệt là 1 − 0,3</w:t>
      </w:r>
      <w:r>
        <w:rPr>
          <w:rFonts w:ascii="Times New Roman" w:cs="Times New Roman" w:eastAsia="Times New Roman" w:hAnsi="Times New Roman"/>
          <w:i/>
          <w:iCs/>
          <w:sz w:val="26"/>
          <w:szCs w:val="26"/>
          <w:vertAlign w:val="superscript"/>
        </w:rPr>
        <w:t xml:space="preserve">k</w:t>
      </w:r>
      <w:r>
        <w:rPr>
          <w:rFonts w:ascii="Times New Roman" w:cs="Times New Roman" w:eastAsia="Times New Roman" w:hAnsi="Times New Roman"/>
          <w:sz w:val="26"/>
          <w:szCs w:val="26"/>
        </w:rPr>
        <w:t xml:space="preserve">.</w:t>
      </w:r>
    </w:p>
    <w:p>
      <w:pPr>
        <w:spacing w:after="80" w:before="120"/>
        <w:jc w:val="center"/>
      </w:pPr>
      <w:r>
        <w:rPr>
          <w:rFonts w:ascii="Times New Roman" w:cs="Times New Roman" w:eastAsia="Times New Roman" w:hAnsi="Times New Roman"/>
          <w:i/>
          <w:iCs/>
          <w:sz w:val="24"/>
          <w:szCs w:val="24"/>
        </w:rPr>
        <w:t xml:space="preserve">Bảng 1.1. Hiệu quả biên giảm dần khi tăng số phương tiện đánh cùng một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468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Số phương tiện</w:t>
            </w:r>
          </w:p>
        </w:tc>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Xác suất tiêu diệt</w:t>
            </w:r>
          </w:p>
        </w:tc>
        <w:tc>
          <w:tcPr>
            <w:tcW w:type="dxa" w:w="46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Phần đóng góp thêm của chiếc vừa bổ sung</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1</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70,00 %</w:t>
            </w:r>
          </w:p>
        </w:tc>
        <w:tc>
          <w:tcPr>
            <w:tcW w:type="dxa" w:w="46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+ 70,00</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2</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91,00 %</w:t>
            </w:r>
          </w:p>
        </w:tc>
        <w:tc>
          <w:tcPr>
            <w:tcW w:type="dxa" w:w="46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+ 21,00</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3</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97,30 %</w:t>
            </w:r>
          </w:p>
        </w:tc>
        <w:tc>
          <w:tcPr>
            <w:tcW w:type="dxa" w:w="46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+ 6,30</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4</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99,19 %</w:t>
            </w:r>
          </w:p>
        </w:tc>
        <w:tc>
          <w:tcPr>
            <w:tcW w:type="dxa" w:w="46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+ 1,89</w:t>
            </w:r>
          </w:p>
        </w:tc>
      </w:tr>
      <w:tr>
        <w:trPr>
          <w:cantSplit/>
          <w:tblHeader w:val="false"/>
        </w:trPr>
        <w:tc>
          <w:tcPr>
            <w:tcW w:type="dxa" w:w="19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5</w:t>
            </w:r>
          </w:p>
        </w:tc>
        <w:tc>
          <w:tcPr>
            <w:tcW w:type="dxa" w:w="234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99,76 %</w:t>
            </w:r>
          </w:p>
        </w:tc>
        <w:tc>
          <w:tcPr>
            <w:tcW w:type="dxa" w:w="4680"/>
            <w:tcMar>
              <w:top w:type="dxa" w:w="60"/>
              <w:left w:type="dxa" w:w="100"/>
              <w:bottom w:type="dxa" w:w="60"/>
              <w:right w:type="dxa" w:w="100"/>
            </w:tcMar>
          </w:tcPr>
          <w:p>
            <w:pPr>
              <w:spacing w:after="20" w:before="20" w:line="276"/>
              <w:jc w:val="center"/>
            </w:pPr>
            <w:r>
              <w:rPr>
                <w:rFonts w:ascii="Times New Roman" w:cs="Times New Roman" w:eastAsia="Times New Roman" w:hAnsi="Times New Roman"/>
                <w:b w:val="false"/>
                <w:bCs w:val="false"/>
                <w:sz w:val="24"/>
                <w:szCs w:val="24"/>
              </w:rPr>
              <w:t xml:space="preserve">+ 0,57</w:t>
            </w:r>
          </w:p>
        </w:tc>
      </w:tr>
    </w:tbl>
    <w:p>
      <w:pPr>
        <w:spacing w:after="120" w:before="120" w:line="360"/>
        <w:ind w:firstLine="431"/>
        <w:jc w:val="both"/>
      </w:pPr>
      <w:r>
        <w:rPr>
          <w:rFonts w:ascii="Times New Roman" w:cs="Times New Roman" w:eastAsia="Times New Roman" w:hAnsi="Times New Roman"/>
          <w:sz w:val="26"/>
          <w:szCs w:val="26"/>
        </w:rPr>
        <w:t xml:space="preserve">Chiếc thứ nhất đóng góp 70 điểm phần trăm, chiếc thứ hai chỉ còn 21, chiếc thứ ba còn 6,3. Nguyên nhân rất trực quan: chiếc thứ hai chỉ phát huy tác dụng trong 30 % số trường hợp mà chiếc thứ nhất đã trượt, chiếc thứ ba chỉ phát huy tác dụng trong 9 % số trường hợp cả hai chiếc trước đều trượt. Mỗi lần bổ sung một phương tiện, phần việc còn lại thu hẹp đúng bằng hệ số xác suất trượt, nên phần đóng góp cũng thu hẹp theo.</w:t>
      </w:r>
    </w:p>
    <w:p>
      <w:pPr>
        <w:spacing w:after="120" w:before="0" w:line="360"/>
        <w:ind w:firstLine="431"/>
        <w:jc w:val="both"/>
      </w:pPr>
      <w:r>
        <w:rPr>
          <w:rFonts w:ascii="Times New Roman" w:cs="Times New Roman" w:eastAsia="Times New Roman" w:hAnsi="Times New Roman"/>
          <w:sz w:val="26"/>
          <w:szCs w:val="26"/>
        </w:rPr>
        <w:t xml:space="preserve">Hệ quả trực tiếp là không tồn tại quy tắc phân công đơn giản. Tập trung toàn bộ lực lượng vào mục tiêu có giá trị cao nhất có thể là phương án tốt hoặc tệ tuỳ theo tương quan cụ thể giữa giá trị mục tiêu, xác suất tiêu diệt và ngưỡng hoả lực; điều này được minh hoạ bằng số liệu thực tế ở mục 2.4.1.</w:t>
      </w:r>
    </w:p>
    <w:p>
      <w:pPr>
        <w:pBdr>
          <w:top w:val="dashed" w:color="C00000" w:sz="4" w:space="6"/>
          <w:bottom w:val="dashed" w:color="C00000" w:sz="4" w:space="6"/>
          <w:left w:val="dashed" w:color="C00000" w:sz="4" w:space="6"/>
          <w:right w:val="dashed" w:color="C00000" w:sz="4" w:space="6"/>
        </w:pBdr>
        <w:spacing w:after="160" w:before="160" w:line="300"/>
        <w:ind w:left="288" w:right="288"/>
        <w:jc w:val="left"/>
      </w:pPr>
      <w:r>
        <w:rPr>
          <w:rFonts w:ascii="Times New Roman" w:cs="Times New Roman" w:eastAsia="Times New Roman" w:hAnsi="Times New Roman"/>
          <w:b/>
          <w:bCs/>
          <w:i/>
          <w:iCs/>
          <w:color w:val="C00000"/>
          <w:sz w:val="24"/>
          <w:szCs w:val="24"/>
        </w:rPr>
        <w:t xml:space="preserve">[ CẦN HÌNH ]  </w:t>
      </w:r>
      <w:r>
        <w:rPr>
          <w:rFonts w:ascii="Times New Roman" w:cs="Times New Roman" w:eastAsia="Times New Roman" w:hAnsi="Times New Roman"/>
          <w:b/>
          <w:bCs/>
          <w:i/>
          <w:iCs/>
          <w:color w:val="C00000"/>
          <w:sz w:val="24"/>
          <w:szCs w:val="24"/>
        </w:rPr>
        <w:t xml:space="preserve">Hình 1.3 — </w:t>
      </w:r>
      <w:r>
        <w:rPr>
          <w:rFonts w:ascii="Times New Roman" w:cs="Times New Roman" w:eastAsia="Times New Roman" w:hAnsi="Times New Roman"/>
          <w:i/>
          <w:iCs/>
          <w:color w:val="C00000"/>
          <w:sz w:val="24"/>
          <w:szCs w:val="24"/>
        </w:rPr>
        <w:t xml:space="preserve">Biểu đồ cột minh hoạ quy luật hiệu quả biên giảm dần, dựng từ Bảng 1.1. Trục hoành là số phương tiện từ 1 đến 5, trục tung là phần đóng góp thêm: 70,00 – 21,00 – 6,30 – 1,89 – 0,57. Biểu đồ tự dựng từ số liệu.</w:t>
      </w:r>
    </w:p>
    <w:p>
      <w:pPr>
        <w:pStyle w:val="Heading3"/>
        <w:spacing w:after="160" w:before="280" w:line="360"/>
        <w:jc w:val="left"/>
      </w:pPr>
      <w:r>
        <w:rPr>
          <w:rFonts w:ascii="Times New Roman" w:cs="Times New Roman" w:eastAsia="Times New Roman" w:hAnsi="Times New Roman"/>
          <w:b/>
          <w:bCs/>
          <w:sz w:val="28"/>
          <w:szCs w:val="28"/>
        </w:rPr>
        <w:t xml:space="preserve">1.2.2. Lịch sử nghiên cứu và độ khó của bài toán</w:t>
      </w:r>
    </w:p>
    <w:p>
      <w:pPr>
        <w:spacing w:after="120" w:before="0" w:line="360"/>
        <w:ind w:firstLine="431"/>
        <w:jc w:val="both"/>
      </w:pPr>
      <w:r>
        <w:rPr>
          <w:rFonts w:ascii="Times New Roman" w:cs="Times New Roman" w:eastAsia="Times New Roman" w:hAnsi="Times New Roman"/>
          <w:sz w:val="26"/>
          <w:szCs w:val="26"/>
        </w:rPr>
        <w:t xml:space="preserve">Bài toán WTA được Manne đặt nền móng từ năm 1958 trong nghiên cứu về phân công mục tiêu cho lực lượng tiến công đường không. Từ đó đến nay, đây là một trong những bài toán được nghiên cứu nhiều nhất của vận trù học quân sự.</w:t>
      </w:r>
    </w:p>
    <w:p>
      <w:pPr>
        <w:spacing w:after="120" w:before="0" w:line="360"/>
        <w:ind w:firstLine="431"/>
        <w:jc w:val="both"/>
      </w:pPr>
      <w:r>
        <w:rPr>
          <w:rFonts w:ascii="Times New Roman" w:cs="Times New Roman" w:eastAsia="Times New Roman" w:hAnsi="Times New Roman"/>
          <w:sz w:val="26"/>
          <w:szCs w:val="26"/>
        </w:rPr>
        <w:t xml:space="preserve">Năm 1986, Lloyd và Witsenhausen chứng minh bài toán phân công vũ khí là NP-đầy đủ. Kết quả này có ý nghĩa quyết định đối với hướng tiếp cận: không kỳ vọng tồn tại thuật toán chính xác có thời gian chạy tăng theo đa thức khi quy mô bài toán tăng. Nội dung chi tiết về lớp độ phức tạp này được trình bày ở mục 1.6.</w:t>
      </w:r>
    </w:p>
    <w:p>
      <w:pPr>
        <w:pStyle w:val="Heading3"/>
        <w:spacing w:after="160" w:before="280" w:line="360"/>
        <w:jc w:val="left"/>
      </w:pPr>
      <w:r>
        <w:rPr>
          <w:rFonts w:ascii="Times New Roman" w:cs="Times New Roman" w:eastAsia="Times New Roman" w:hAnsi="Times New Roman"/>
          <w:b/>
          <w:bCs/>
          <w:sz w:val="28"/>
          <w:szCs w:val="28"/>
        </w:rPr>
        <w:t xml:space="preserve">1.2.3. Các biến thể của bài toán</w:t>
      </w:r>
    </w:p>
    <w:p>
      <w:pPr>
        <w:spacing w:after="120" w:before="0" w:line="360"/>
        <w:ind w:firstLine="431"/>
        <w:jc w:val="both"/>
      </w:pPr>
      <w:r>
        <w:rPr>
          <w:rFonts w:ascii="Times New Roman" w:cs="Times New Roman" w:eastAsia="Times New Roman" w:hAnsi="Times New Roman"/>
          <w:sz w:val="26"/>
          <w:szCs w:val="26"/>
        </w:rPr>
        <w:t xml:space="preserve">Lớp bài toán WTA có nhiều biến thể, phân theo ba tiêu chí chính.</w:t>
      </w:r>
    </w:p>
    <w:p>
      <w:pPr>
        <w:spacing w:after="80" w:before="120"/>
        <w:jc w:val="center"/>
      </w:pPr>
      <w:r>
        <w:rPr>
          <w:rFonts w:ascii="Times New Roman" w:cs="Times New Roman" w:eastAsia="Times New Roman" w:hAnsi="Times New Roman"/>
          <w:i/>
          <w:iCs/>
          <w:sz w:val="24"/>
          <w:szCs w:val="24"/>
        </w:rPr>
        <w:t xml:space="preserve">Bảng 1.2. Các biến thể của bài toán phân công vũ khí – mục tiêu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5040"/>
      </w:tblGrid>
      <w:tr>
        <w:trPr>
          <w:cantSplit/>
          <w:tblHeader/>
        </w:trPr>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Tiêu chí phân loại</w:t>
            </w:r>
          </w:p>
        </w:tc>
        <w:tc>
          <w:tcPr>
            <w:tcW w:type="dxa" w:w="198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Các biến thể</w:t>
            </w:r>
          </w:p>
        </w:tc>
        <w:tc>
          <w:tcPr>
            <w:tcW w:type="dxa" w:w="50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Đặc điểm</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Theo yếu tố thời gian</w:t>
            </w:r>
          </w:p>
        </w:tc>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Tĩnh (static)</w:t>
            </w:r>
          </w:p>
        </w:tc>
        <w:tc>
          <w:tcPr>
            <w:tcW w:type="dxa" w:w="50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Toàn bộ phương án được quyết định một lần, trước khi triển khai. Không có thông tin phản hồi.</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
            </w:r>
          </w:p>
        </w:tc>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Động (dynamic)</w:t>
            </w:r>
          </w:p>
        </w:tc>
        <w:tc>
          <w:tcPr>
            <w:tcW w:type="dxa" w:w="50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Phân công theo nhiều đợt; kết quả đợt trước được quan sát và dùng để điều chỉnh đợt sau.</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Theo ràng buộc nguồn lực</w:t>
            </w:r>
          </w:p>
        </w:tc>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Không ràng buộc</w:t>
            </w:r>
          </w:p>
        </w:tc>
        <w:tc>
          <w:tcPr>
            <w:tcW w:type="dxa" w:w="50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Chỉ giới hạn số lượng phương tiện.</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
            </w:r>
          </w:p>
        </w:tc>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Có ràng buộc</w:t>
            </w:r>
          </w:p>
        </w:tc>
        <w:tc>
          <w:tcPr>
            <w:tcW w:type="dxa" w:w="50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Thêm giới hạn về ngân sách, hoả lực tối thiểu, tầm bay, thời gian.</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Theo hướng ưu tiên</w:t>
            </w:r>
          </w:p>
        </w:tc>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Hướng mục tiêu</w:t>
            </w:r>
          </w:p>
        </w:tc>
        <w:tc>
          <w:tcPr>
            <w:tcW w:type="dxa" w:w="50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Cực đại giá trị tiêu diệt được của đối phương.</w:t>
            </w:r>
          </w:p>
        </w:tc>
      </w:tr>
      <w:tr>
        <w:trPr>
          <w:cantSplit/>
          <w:tblHeader w:val="false"/>
        </w:trPr>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
            </w:r>
          </w:p>
        </w:tc>
        <w:tc>
          <w:tcPr>
            <w:tcW w:type="dxa" w:w="198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Hướng bảo toàn lực lượng</w:t>
            </w:r>
          </w:p>
        </w:tc>
        <w:tc>
          <w:tcPr>
            <w:tcW w:type="dxa" w:w="50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Cực tiểu tổn thất của ta với mức tiêu diệt yêu cầu cho trước.</w:t>
            </w:r>
          </w:p>
        </w:tc>
      </w:tr>
    </w:tbl>
    <w:p>
      <w:pPr>
        <w:spacing w:after="120" w:before="120" w:line="360"/>
        <w:ind w:firstLine="431"/>
        <w:jc w:val="both"/>
      </w:pPr>
      <w:r>
        <w:rPr>
          <w:rFonts w:ascii="Times New Roman" w:cs="Times New Roman" w:eastAsia="Times New Roman" w:hAnsi="Times New Roman"/>
          <w:sz w:val="26"/>
          <w:szCs w:val="26"/>
        </w:rPr>
        <w:t xml:space="preserve">Đề tài này xét biến thể tĩnh, có ràng buộc nguồn lực, hướng mục tiêu. Lựa chọn biến thể tĩnh xuất phát từ thực tế tác chiến: trong một đợt tiến công đồng loạt bằng UAV, toàn bộ lực lượng xuất kích gần như cùng lúc và không có đủ thời gian để quan sát kết quả rồi điều chỉnh. Lựa chọn hướng mục tiêu và lý do không chọn hướng ngược lại được bàn ở mục 2.3.</w:t>
      </w:r>
    </w:p>
    <w:p>
      <w:pPr>
        <w:spacing w:after="120" w:before="0" w:line="360"/>
        <w:ind w:firstLine="431"/>
        <w:jc w:val="both"/>
      </w:pPr>
      <w:r>
        <w:rPr>
          <w:rFonts w:ascii="Times New Roman" w:cs="Times New Roman" w:eastAsia="Times New Roman" w:hAnsi="Times New Roman"/>
          <w:sz w:val="26"/>
          <w:szCs w:val="26"/>
        </w:rPr>
        <w:t xml:space="preserve">So với dạng WTA cổ điển, bài toán trong đề tài có thêm một yếu tố: ràng buộc không gian. Phương tiện phải bay được tới mục tiêu trong tầm hoạt động, và cự ly bay được xác định trên đồ thị hành lang bay chứ không phải theo đường thẳng. Yếu tố này gắn bài toán WTA với bài toán tìm đường đi ngắn nhất trình bày ở mục 1.5.</w:t>
      </w:r>
    </w:p>
    <w:p>
      <w:pPr>
        <w:pStyle w:val="Heading2"/>
        <w:spacing w:after="160" w:before="280" w:line="360"/>
        <w:jc w:val="left"/>
      </w:pPr>
      <w:r>
        <w:rPr>
          <w:rFonts w:ascii="Times New Roman" w:cs="Times New Roman" w:eastAsia="Times New Roman" w:hAnsi="Times New Roman"/>
          <w:b/>
          <w:bCs/>
          <w:sz w:val="30"/>
          <w:szCs w:val="30"/>
        </w:rPr>
        <w:t xml:space="preserve">1.3. Tiêu chuẩn hiệu quả</w:t>
      </w:r>
    </w:p>
    <w:p>
      <w:pPr>
        <w:pStyle w:val="Heading3"/>
        <w:spacing w:after="160" w:before="280" w:line="360"/>
        <w:jc w:val="left"/>
      </w:pPr>
      <w:r>
        <w:rPr>
          <w:rFonts w:ascii="Times New Roman" w:cs="Times New Roman" w:eastAsia="Times New Roman" w:hAnsi="Times New Roman"/>
          <w:b/>
          <w:bCs/>
          <w:sz w:val="28"/>
          <w:szCs w:val="28"/>
        </w:rPr>
        <w:t xml:space="preserve">1.3.1. Khái niệm</w:t>
      </w:r>
    </w:p>
    <w:p>
      <w:pPr>
        <w:spacing w:after="120" w:before="0" w:line="360"/>
        <w:ind w:firstLine="431"/>
        <w:jc w:val="both"/>
      </w:pPr>
      <w:r>
        <w:rPr>
          <w:rFonts w:ascii="Times New Roman" w:cs="Times New Roman" w:eastAsia="Times New Roman" w:hAnsi="Times New Roman"/>
          <w:sz w:val="26"/>
          <w:szCs w:val="26"/>
        </w:rPr>
        <w:t xml:space="preserve">Tiêu chuẩn hiệu quả (Measure of Effectiveness – MOE) là đại lượng dùng để đo mức độ đạt được mục đích của nhiệm vụ. Nói cách khác, đó là con số trả lời câu hỏi: phương án này tốt hơn phương án kia ở chỗ nào, và hơn bao nhiêu.</w:t>
      </w:r>
    </w:p>
    <w:p>
      <w:pPr>
        <w:spacing w:after="120" w:before="0" w:line="360"/>
        <w:ind w:firstLine="431"/>
        <w:jc w:val="both"/>
      </w:pPr>
      <w:r>
        <w:rPr>
          <w:rFonts w:ascii="Times New Roman" w:cs="Times New Roman" w:eastAsia="Times New Roman" w:hAnsi="Times New Roman"/>
          <w:sz w:val="26"/>
          <w:szCs w:val="26"/>
        </w:rPr>
        <w:t xml:space="preserve">Cần phân biệt tiêu chuẩn hiệu quả với chỉ tiêu kỹ thuật (Measure of Performance – MOP). Chỉ tiêu kỹ thuật mô tả đặc tính của phương tiện: tầm bay, tốc độ, lượng thuốc nổ mang theo, độ chính xác dẫn đường. Tiêu chuẩn hiệu quả mô tả kết quả của nhiệm vụ: bao nhiêu phần giá trị mục tiêu địch bị tiêu diệt, mất bao lâu, tổn thất của ta là bao nhiêu. Một phương tiện có chỉ tiêu kỹ thuật cao chưa chắc mang lại hiệu quả cao nếu được giao nhiệm vụ không phù hợp — đó chính là lý do phải có bài toán phân công.</w:t>
      </w:r>
    </w:p>
    <w:p>
      <w:pPr>
        <w:spacing w:after="120" w:before="0" w:line="360"/>
        <w:ind w:firstLine="431"/>
        <w:jc w:val="both"/>
      </w:pPr>
      <w:r>
        <w:rPr>
          <w:rFonts w:ascii="Times New Roman" w:cs="Times New Roman" w:eastAsia="Times New Roman" w:hAnsi="Times New Roman"/>
          <w:sz w:val="26"/>
          <w:szCs w:val="26"/>
        </w:rPr>
        <w:t xml:space="preserve">Việc xác định tiêu chuẩn hiệu quả là bước đầu tiên và quan trọng nhất khi mô hình hoá một nhiệm vụ tác chiến. Mọi bước sau — chọn biến quyết định, viết hàm mục tiêu, chọn thuật toán — đều phụ thuộc vào bước này. Chọn sai tiêu chuẩn hiệu quả thì mô hình dù chặt chẽ đến đâu cũng cho ra phương án không dùng được.</w:t>
      </w:r>
    </w:p>
    <w:p>
      <w:pPr>
        <w:pStyle w:val="Heading3"/>
        <w:spacing w:after="160" w:before="280" w:line="360"/>
        <w:jc w:val="left"/>
      </w:pPr>
      <w:r>
        <w:rPr>
          <w:rFonts w:ascii="Times New Roman" w:cs="Times New Roman" w:eastAsia="Times New Roman" w:hAnsi="Times New Roman"/>
          <w:b/>
          <w:bCs/>
          <w:sz w:val="28"/>
          <w:szCs w:val="28"/>
        </w:rPr>
        <w:t xml:space="preserve">1.3.2. Các tiêu chuẩn thường dùng trong nhiệm vụ tiến công</w:t>
      </w:r>
    </w:p>
    <w:p>
      <w:pPr>
        <w:spacing w:after="80" w:before="120"/>
        <w:jc w:val="center"/>
      </w:pPr>
      <w:r>
        <w:rPr>
          <w:rFonts w:ascii="Times New Roman" w:cs="Times New Roman" w:eastAsia="Times New Roman" w:hAnsi="Times New Roman"/>
          <w:i/>
          <w:iCs/>
          <w:sz w:val="24"/>
          <w:szCs w:val="24"/>
        </w:rPr>
        <w:t xml:space="preserve">Bảng 1.3. Một số tiêu chuẩn hiệu quả trong nhiệm vụ tiến công bằng UAV</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40"/>
        <w:gridCol w:w="3600"/>
        <w:gridCol w:w="3060"/>
      </w:tblGrid>
      <w:tr>
        <w:trPr>
          <w:cantSplit/>
          <w:tblHeader/>
        </w:trPr>
        <w:tc>
          <w:tcPr>
            <w:tcW w:type="dxa" w:w="234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Tiêu chuẩn hiệu quả</w:t>
            </w:r>
          </w:p>
        </w:tc>
        <w:tc>
          <w:tcPr>
            <w:tcW w:type="dxa" w:w="360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Ý nghĩa</w:t>
            </w:r>
          </w:p>
        </w:tc>
        <w:tc>
          <w:tcPr>
            <w:tcW w:type="dxa" w:w="3060"/>
            <w:shd w:fill="E8EDF3" w:val="clear"/>
            <w:tcMar>
              <w:top w:type="dxa" w:w="60"/>
              <w:left w:type="dxa" w:w="100"/>
              <w:bottom w:type="dxa" w:w="60"/>
              <w:right w:type="dxa" w:w="100"/>
            </w:tcMar>
          </w:tcPr>
          <w:p>
            <w:pPr>
              <w:spacing w:after="20" w:before="20" w:line="276"/>
              <w:jc w:val="center"/>
            </w:pPr>
            <w:r>
              <w:rPr>
                <w:rFonts w:ascii="Times New Roman" w:cs="Times New Roman" w:eastAsia="Times New Roman" w:hAnsi="Times New Roman"/>
                <w:b/>
                <w:bCs/>
                <w:sz w:val="24"/>
                <w:szCs w:val="24"/>
              </w:rPr>
              <w:t xml:space="preserve">Phù hợp khi</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Xác suất tiêu diệt một mục tiêu</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Khả năng vô hiệu hoá một mục tiêu cụ thể</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Nhiệm vụ chỉ có một mục tiêu duy nhất</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Tổng giá trị kỳ vọng tiêu diệt được</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Tổng giá trị quân sự của các mục tiêu bị vô hiệu hoá, tính theo kỳ vọng</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Nhiều mục tiêu có tầm quan trọng khác nhau</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Số mục tiêu bị vô hiệu hoá</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Đếm số mục tiêu đạt ngưỡng tiêu diệt</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Các mục tiêu có giá trị xấp xỉ nhau</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Thời gian hoàn thành nhiệm vụ</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Thời gian từ khi xuất kích tới khi đánh xong mục tiêu cuối</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Mục tiêu có thể cơ động hoặc ẩn nấp</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Khả năng sống sót của phương tiện</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Xác suất phương tiện tới được mục tiêu mà không bị bắn hạ</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Phương tiện đắt tiền, đối phương có phòng không mạnh</w:t>
            </w:r>
          </w:p>
        </w:tc>
      </w:tr>
      <w:tr>
        <w:trPr>
          <w:cantSplit/>
          <w:tblHeader w:val="false"/>
        </w:trPr>
        <w:tc>
          <w:tcPr>
            <w:tcW w:type="dxa" w:w="234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Chi phí trên một đơn vị giá trị tiêu diệt</w:t>
            </w:r>
          </w:p>
        </w:tc>
        <w:tc>
          <w:tcPr>
            <w:tcW w:type="dxa" w:w="360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Nguồn lực phải bỏ ra để tiêu diệt một đơn vị giá trị mục tiêu</w:t>
            </w:r>
          </w:p>
        </w:tc>
        <w:tc>
          <w:tcPr>
            <w:tcW w:type="dxa" w:w="3060"/>
            <w:tcMar>
              <w:top w:type="dxa" w:w="60"/>
              <w:left w:type="dxa" w:w="100"/>
              <w:bottom w:type="dxa" w:w="60"/>
              <w:right w:type="dxa" w:w="100"/>
            </w:tcMar>
          </w:tcPr>
          <w:p>
            <w:pPr>
              <w:spacing w:after="20" w:before="20" w:line="276"/>
              <w:jc w:val="left"/>
            </w:pPr>
            <w:r>
              <w:rPr>
                <w:rFonts w:ascii="Times New Roman" w:cs="Times New Roman" w:eastAsia="Times New Roman" w:hAnsi="Times New Roman"/>
                <w:sz w:val="24"/>
                <w:szCs w:val="24"/>
              </w:rPr>
              <w:t xml:space="preserve">Cần so sánh hiệu quả kinh tế giữa các phương án</w:t>
            </w:r>
          </w:p>
        </w:tc>
      </w:tr>
    </w:tbl>
    <w:p>
      <w:pPr>
        <w:pStyle w:val="Heading3"/>
        <w:spacing w:after="160" w:before="280" w:line="360"/>
        <w:jc w:val="left"/>
      </w:pPr>
      <w:r>
        <w:rPr>
          <w:rFonts w:ascii="Times New Roman" w:cs="Times New Roman" w:eastAsia="Times New Roman" w:hAnsi="Times New Roman"/>
          <w:b/>
          <w:bCs/>
          <w:sz w:val="28"/>
          <w:szCs w:val="28"/>
        </w:rPr>
        <w:t xml:space="preserve">1.3.3. Tiêu chí lựa chọn tiêu chuẩn hiệu quả</w:t>
      </w:r>
    </w:p>
    <w:p>
      <w:pPr>
        <w:spacing w:after="120" w:before="0" w:line="360"/>
        <w:ind w:firstLine="431"/>
        <w:jc w:val="both"/>
      </w:pPr>
      <w:r>
        <w:rPr>
          <w:rFonts w:ascii="Times New Roman" w:cs="Times New Roman" w:eastAsia="Times New Roman" w:hAnsi="Times New Roman"/>
          <w:sz w:val="26"/>
          <w:szCs w:val="26"/>
        </w:rPr>
        <w:t xml:space="preserve">Một tiêu chuẩn hiệu quả dùng được phải thoả mãn bốn yêu cầu.</w:t>
      </w:r>
    </w:p>
    <w:p>
      <w:pPr>
        <w:spacing w:after="80" w:before="0" w:line="360"/>
        <w:ind w:firstLine="431"/>
        <w:jc w:val="both"/>
      </w:pPr>
      <w:r>
        <w:rPr>
          <w:rFonts w:ascii="Times New Roman" w:cs="Times New Roman" w:eastAsia="Times New Roman" w:hAnsi="Times New Roman"/>
          <w:b/>
          <w:bCs/>
          <w:sz w:val="26"/>
          <w:szCs w:val="26"/>
        </w:rPr>
        <w:t xml:space="preserve">Phản ánh đúng mục đích nhiệm vụ. </w:t>
      </w:r>
      <w:r>
        <w:rPr>
          <w:rFonts w:ascii="Times New Roman" w:cs="Times New Roman" w:eastAsia="Times New Roman" w:hAnsi="Times New Roman"/>
          <w:sz w:val="26"/>
          <w:szCs w:val="26"/>
        </w:rPr>
        <w:t xml:space="preserve">Nếu nhiệm vụ là tiêu diệt hệ thống mục tiêu trọng yếu thì tiêu chuẩn phải tính đến giá trị khác nhau giữa các mục tiêu, không thể chỉ đếm số lượng.</w:t>
      </w:r>
    </w:p>
    <w:p>
      <w:pPr>
        <w:spacing w:after="80" w:before="0" w:line="360"/>
        <w:ind w:firstLine="431"/>
        <w:jc w:val="both"/>
      </w:pPr>
      <w:r>
        <w:rPr>
          <w:rFonts w:ascii="Times New Roman" w:cs="Times New Roman" w:eastAsia="Times New Roman" w:hAnsi="Times New Roman"/>
          <w:b/>
          <w:bCs/>
          <w:sz w:val="26"/>
          <w:szCs w:val="26"/>
        </w:rPr>
        <w:t xml:space="preserve">Tính được từ dữ liệu sẵn có. </w:t>
      </w:r>
      <w:r>
        <w:rPr>
          <w:rFonts w:ascii="Times New Roman" w:cs="Times New Roman" w:eastAsia="Times New Roman" w:hAnsi="Times New Roman"/>
          <w:sz w:val="26"/>
          <w:szCs w:val="26"/>
        </w:rPr>
        <w:t xml:space="preserve">Tiêu chuẩn hay đến mấy mà đòi hỏi số liệu cơ quan tham mưu không cung cấp được thì không dùng được.</w:t>
      </w:r>
    </w:p>
    <w:p>
      <w:pPr>
        <w:spacing w:after="80" w:before="0" w:line="360"/>
        <w:ind w:firstLine="431"/>
        <w:jc w:val="both"/>
      </w:pPr>
      <w:r>
        <w:rPr>
          <w:rFonts w:ascii="Times New Roman" w:cs="Times New Roman" w:eastAsia="Times New Roman" w:hAnsi="Times New Roman"/>
          <w:b/>
          <w:bCs/>
          <w:sz w:val="26"/>
          <w:szCs w:val="26"/>
        </w:rPr>
        <w:t xml:space="preserve">Phân biệt được các phương án. </w:t>
      </w:r>
      <w:r>
        <w:rPr>
          <w:rFonts w:ascii="Times New Roman" w:cs="Times New Roman" w:eastAsia="Times New Roman" w:hAnsi="Times New Roman"/>
          <w:sz w:val="26"/>
          <w:szCs w:val="26"/>
        </w:rPr>
        <w:t xml:space="preserve">Nếu mọi phương án khả thi đều cho cùng một giá trị thì tiêu chuẩn đó vô dụng.</w:t>
      </w:r>
    </w:p>
    <w:p>
      <w:pPr>
        <w:spacing w:after="80" w:before="0" w:line="360"/>
        <w:ind w:firstLine="431"/>
        <w:jc w:val="both"/>
      </w:pPr>
      <w:r>
        <w:rPr>
          <w:rFonts w:ascii="Times New Roman" w:cs="Times New Roman" w:eastAsia="Times New Roman" w:hAnsi="Times New Roman"/>
          <w:b/>
          <w:bCs/>
          <w:sz w:val="26"/>
          <w:szCs w:val="26"/>
        </w:rPr>
        <w:t xml:space="preserve">Đơn trị. </w:t>
      </w:r>
      <w:r>
        <w:rPr>
          <w:rFonts w:ascii="Times New Roman" w:cs="Times New Roman" w:eastAsia="Times New Roman" w:hAnsi="Times New Roman"/>
          <w:sz w:val="26"/>
          <w:szCs w:val="26"/>
        </w:rPr>
        <w:t xml:space="preserve">Bài toán tối ưu cần một hàm mục tiêu duy nhất. Khi có nhiều tiêu chuẩn cùng lúc, phải quy về một tiêu chuẩn chính và chuyển các tiêu chuẩn còn lại thành ràng buộc.</w:t>
      </w:r>
    </w:p>
    <w:p>
      <w:pPr>
        <w:pStyle w:val="Heading3"/>
        <w:spacing w:after="160" w:before="280" w:line="360"/>
        <w:jc w:val="left"/>
      </w:pPr>
      <w:r>
        <w:rPr>
          <w:rFonts w:ascii="Times New Roman" w:cs="Times New Roman" w:eastAsia="Times New Roman" w:hAnsi="Times New Roman"/>
          <w:b/>
          <w:bCs/>
          <w:sz w:val="28"/>
          <w:szCs w:val="28"/>
        </w:rPr>
        <w:t xml:space="preserve">1.3.4. Quan hệ giữa tiêu chuẩn hiệu quả và ràng buộc</w:t>
      </w:r>
    </w:p>
    <w:p>
      <w:pPr>
        <w:spacing w:after="120" w:before="0" w:line="360"/>
        <w:ind w:firstLine="431"/>
        <w:jc w:val="both"/>
      </w:pPr>
      <w:r>
        <w:rPr>
          <w:rFonts w:ascii="Times New Roman" w:cs="Times New Roman" w:eastAsia="Times New Roman" w:hAnsi="Times New Roman"/>
          <w:sz w:val="26"/>
          <w:szCs w:val="26"/>
        </w:rPr>
        <w:t xml:space="preserve">Yêu cầu thứ tư ở trên dẫn tới một nhận xét có ý nghĩa thực tiễn: cùng một đại lượng có thể đóng vai trò hàm mục tiêu trong cách đặt bài toán này và đóng vai trò ràng buộc trong cách đặt bài toán khác.</w:t>
      </w:r>
    </w:p>
    <w:p>
      <w:pPr>
        <w:spacing w:after="120" w:before="0" w:line="360"/>
        <w:ind w:firstLine="431"/>
        <w:jc w:val="both"/>
      </w:pPr>
      <w:r>
        <w:rPr>
          <w:rFonts w:ascii="Times New Roman" w:cs="Times New Roman" w:eastAsia="Times New Roman" w:hAnsi="Times New Roman"/>
          <w:sz w:val="26"/>
          <w:szCs w:val="26"/>
        </w:rPr>
        <w:t xml:space="preserve">Washburn và Kress minh hoạ điều này khi xét nhiệm vụ trinh sát của UAV. Với cùng một tình huống, hai cách đặt bài toán đều hợp lý: cực tiểu thời gian bay với điều kiện khả năng sống sót không thấp hơn một ngưỡng cho trước, hoặc cực đại khả năng sống sót với điều kiện thời gian bay không vượt quá một giới hạn cho trước. Hai cách đặt cho hai tuyến bay khác nhau trên cùng một bộ số liệu.</w:t>
      </w:r>
    </w:p>
    <w:p>
      <w:pPr>
        <w:spacing w:after="120" w:before="0" w:line="360"/>
        <w:ind w:firstLine="431"/>
        <w:jc w:val="both"/>
      </w:pPr>
      <w:r>
        <w:rPr>
          <w:rFonts w:ascii="Times New Roman" w:cs="Times New Roman" w:eastAsia="Times New Roman" w:hAnsi="Times New Roman"/>
          <w:sz w:val="26"/>
          <w:szCs w:val="26"/>
        </w:rPr>
        <w:t xml:space="preserve">Điều này cho thấy việc chọn đại lượng nào làm mục tiêu và đại lượng nào làm ràng buộc không phải là quyết định của người xây dựng mô hình, mà là quyết định của người chỉ huy, xuất phát từ ý định chiến đấu. Khi nhiệm vụ đòi hỏi đánh nhanh, thời gian là mục tiêu và mức độ an toàn là ràng buộc. Khi phương tiện khan hiếm, bảo toàn lực lượng là mục tiêu và mức độ tiêu diệt là ràng buộc.</w:t>
      </w:r>
    </w:p>
    <w:p>
      <w:pPr>
        <w:spacing w:after="120" w:before="0" w:line="360"/>
        <w:ind w:firstLine="431"/>
        <w:jc w:val="both"/>
      </w:pPr>
      <w:r>
        <w:rPr>
          <w:rFonts w:ascii="Times New Roman" w:cs="Times New Roman" w:eastAsia="Times New Roman" w:hAnsi="Times New Roman"/>
          <w:sz w:val="26"/>
          <w:szCs w:val="26"/>
        </w:rPr>
        <w:t xml:space="preserve">Đề tài vận dụng nhận xét này ở mục 2.3, khi trình bày dạng đối ngẫu của mô hình và lý do lựa chọn hướng cực đại giá trị kỳ vọng tiêu diệt.</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2026-09-21T08:25:28.904Z</dcterms:created>
  <dcterms:modified xsi:type="dcterms:W3CDTF">2026-09-21T08:25:28.904Z</dcterms:modified>
</cp:coreProperties>
</file>

<file path=docProps/custom.xml><?xml version="1.0" encoding="utf-8"?>
<Properties xmlns="http://schemas.openxmlformats.org/officeDocument/2006/custom-properties" xmlns:vt="http://schemas.openxmlformats.org/officeDocument/2006/docPropsVTypes"/>
</file>