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before="280" w:line="360"/>
        <w:jc w:val="left"/>
      </w:pPr>
      <w:r>
        <w:rPr>
          <w:rFonts w:ascii="Times New Roman" w:cs="Times New Roman" w:eastAsia="Times New Roman" w:hAnsi="Times New Roman"/>
          <w:b/>
          <w:bCs/>
          <w:sz w:val="30"/>
          <w:szCs w:val="30"/>
        </w:rPr>
        <w:t xml:space="preserve">1.4. Tổng quan các nghiên cứu liên quan</w:t>
      </w:r>
    </w:p>
    <w:p>
      <w:pPr>
        <w:spacing w:after="120" w:before="0" w:line="360"/>
        <w:ind w:firstLine="431"/>
        <w:jc w:val="both"/>
      </w:pPr>
      <w:r>
        <w:rPr>
          <w:rFonts w:ascii="Times New Roman" w:cs="Times New Roman" w:eastAsia="Times New Roman" w:hAnsi="Times New Roman"/>
          <w:sz w:val="26"/>
          <w:szCs w:val="26"/>
        </w:rPr>
        <w:t xml:space="preserve">Các nghiên cứu về tối ưu sử dụng UAV có thể quy về ba hướng. Hướng thứ nhất giải bài toán đường bay cho phương tiện đã biết đích đến. Hướng thứ hai giải bài toán phân công phương tiện cho mục tiêu mà không xét đường bay. Hướng thứ ba nghiên cứu phối hợp số lượng lớn phương tiện. Đề tài này nằm ở giao của ba hướng đó.</w:t>
      </w:r>
    </w:p>
    <w:p>
      <w:pPr>
        <w:pStyle w:val="Heading3"/>
        <w:spacing w:after="160" w:before="280" w:line="360"/>
        <w:jc w:val="left"/>
      </w:pPr>
      <w:r>
        <w:rPr>
          <w:rFonts w:ascii="Times New Roman" w:cs="Times New Roman" w:eastAsia="Times New Roman" w:hAnsi="Times New Roman"/>
          <w:b/>
          <w:bCs/>
          <w:sz w:val="28"/>
          <w:szCs w:val="28"/>
        </w:rPr>
        <w:t xml:space="preserve">1.4.1. Lập kế hoạch đường bay và tối ưu hành trình</w:t>
      </w:r>
    </w:p>
    <w:p>
      <w:pPr>
        <w:spacing w:after="120" w:before="0" w:line="360"/>
        <w:ind w:firstLine="431"/>
        <w:jc w:val="both"/>
      </w:pPr>
      <w:r>
        <w:rPr>
          <w:rFonts w:ascii="Times New Roman" w:cs="Times New Roman" w:eastAsia="Times New Roman" w:hAnsi="Times New Roman"/>
          <w:sz w:val="26"/>
          <w:szCs w:val="26"/>
        </w:rPr>
        <w:t xml:space="preserve">Lập kế hoạch đường bay là bài toán nền tảng, xuất hiện trong hầu hết ứng dụng UAV cả dân sự lẫn quân sự. Nội dung bài toán là xác định quỹ đạo khả thi từ điểm xuất phát tới đích, cực tiểu chiều dài đường bay hoặc năng lượng tiêu thụ, đồng thời tuân thủ các ràng buộc về động lực học phương tiện, vùng cấm bay và chướng ngại vật.</w:t>
      </w:r>
    </w:p>
    <w:p>
      <w:pPr>
        <w:spacing w:after="120" w:before="0" w:line="360"/>
        <w:ind w:firstLine="431"/>
        <w:jc w:val="both"/>
      </w:pPr>
      <w:r>
        <w:rPr>
          <w:rFonts w:ascii="Times New Roman" w:cs="Times New Roman" w:eastAsia="Times New Roman" w:hAnsi="Times New Roman"/>
          <w:sz w:val="26"/>
          <w:szCs w:val="26"/>
        </w:rPr>
        <w:t xml:space="preserve">Theo khảo sát tổng hợp của Sheltami và cộng sự (2026) trên tạp chí Arabian Journal for Science and Engineering, các phương pháp giải bài toán này được phân thành bốn nhóm: nhóm phương pháp cổ điển chiếm khoảng 30% số công trình, nhóm siêu khám phá khoảng 29%, nhóm dựa trên trí tuệ nhân tạo khoảng 18%, và nhóm lai ghép khoảng 23%. Nhóm cổ điển gồm các thuật toán tìm đường trên đồ thị như Dijkstra và A*, phương pháp trường thế năng nhân tạo, phương pháp phân hoạch ô. Nhóm siêu khám phá gồm thuật toán di truyền, tối ưu bầy đàn, tối ưu đàn kiến.</w:t>
      </w:r>
    </w:p>
    <w:p>
      <w:pPr>
        <w:spacing w:after="120" w:before="0" w:line="360"/>
        <w:ind w:firstLine="431"/>
        <w:jc w:val="both"/>
      </w:pPr>
      <w:r>
        <w:rPr>
          <w:rFonts w:ascii="Times New Roman" w:cs="Times New Roman" w:eastAsia="Times New Roman" w:hAnsi="Times New Roman"/>
          <w:sz w:val="26"/>
          <w:szCs w:val="26"/>
        </w:rPr>
        <w:t xml:space="preserve">Đặc điểm chung của hướng nghiên cứu này là đích đến được cho trước. Bài toán chỉ trả lời câu hỏi bay đường nào, không trả lời câu hỏi bay tới đâu. Với nhiệm vụ tiến công nhiều mục tiêu bằng nhiều phương tiện, việc quyết định phương tiện nào đánh mục tiêu nào mới là quyết định chi phối, còn đường bay là hệ quả.</w:t>
      </w:r>
    </w:p>
    <w:p>
      <w:pPr>
        <w:pStyle w:val="Heading3"/>
        <w:spacing w:after="160" w:before="280" w:line="360"/>
        <w:jc w:val="left"/>
      </w:pPr>
      <w:r>
        <w:rPr>
          <w:rFonts w:ascii="Times New Roman" w:cs="Times New Roman" w:eastAsia="Times New Roman" w:hAnsi="Times New Roman"/>
          <w:b/>
          <w:bCs/>
          <w:sz w:val="28"/>
          <w:szCs w:val="28"/>
        </w:rPr>
        <w:t xml:space="preserve">1.4.2. Bài toán phân công vũ khí – mục tiêu</w:t>
      </w:r>
    </w:p>
    <w:p>
      <w:pPr>
        <w:spacing w:after="120" w:before="0" w:line="360"/>
        <w:ind w:firstLine="431"/>
        <w:jc w:val="both"/>
      </w:pPr>
      <w:r>
        <w:rPr>
          <w:rFonts w:ascii="Times New Roman" w:cs="Times New Roman" w:eastAsia="Times New Roman" w:hAnsi="Times New Roman"/>
          <w:sz w:val="26"/>
          <w:szCs w:val="26"/>
        </w:rPr>
        <w:t xml:space="preserve">Đây là hướng nghiên cứu có lịch sử dài nhất. Manne (1958) là công trình đầu tiên đặt bài toán phân công mục tiêu dưới dạng một bài toán tối ưu, đăng trên tạp chí Operations Research. Lloyd và Witsenhausen (1986) chứng minh bài toán phân công vũ khí thuộc lớp NP-đầy đủ, qua đó xác lập giới hạn lý thuyết cho mọi phương pháp giải chính xác.</w:t>
      </w:r>
    </w:p>
    <w:p>
      <w:pPr>
        <w:spacing w:after="120" w:before="0" w:line="360"/>
        <w:ind w:firstLine="431"/>
        <w:jc w:val="both"/>
      </w:pPr>
      <w:r>
        <w:rPr>
          <w:rFonts w:ascii="Times New Roman" w:cs="Times New Roman" w:eastAsia="Times New Roman" w:hAnsi="Times New Roman"/>
          <w:sz w:val="26"/>
          <w:szCs w:val="26"/>
        </w:rPr>
        <w:t xml:space="preserve">Ahuja và cộng sự (2007) xây dựng cả thuật toán chính xác lẫn thuật toán khám phá cho bài toán phân công vũ khí – mục tiêu tĩnh, sử dụng kỹ thuật quy hoạch nguyên kết hợp cận dưới mạng. Nghiên cứu này cho thấy nghiệm tối ưu tuyệt đối chỉ giải được ở quy mô vừa phải, còn ở quy mô lớn phải chấp nhận nghiệm xấp xỉ.</w:t>
      </w:r>
    </w:p>
    <w:p>
      <w:pPr>
        <w:spacing w:after="120" w:before="0" w:line="360"/>
        <w:ind w:firstLine="431"/>
        <w:jc w:val="both"/>
      </w:pPr>
      <w:r>
        <w:rPr>
          <w:rFonts w:ascii="Times New Roman" w:cs="Times New Roman" w:eastAsia="Times New Roman" w:hAnsi="Times New Roman"/>
          <w:sz w:val="26"/>
          <w:szCs w:val="26"/>
        </w:rPr>
        <w:t xml:space="preserve">Khảo sát tổng hợp gần đây nhất của Li, Wu và Wang (2024) trên tạp chí Engineering Applications of Artificial Intelligence phân loại bài toán phân công vũ khí – mục tiêu thành bốn dạng theo mức độ phức tạp của tình huống tác chiến, và phân loại phương pháp giải thành bốn nhóm: thuật toán chính xác, thuật toán khám phá, thuật toán siêu khám phá, và phương pháp học máy. Khảo sát này ghi nhận xu hướng chung là các công trình quy mô lớn gần như hoàn toàn dựa vào nhóm siêu khám phá và học máy.</w:t>
      </w:r>
    </w:p>
    <w:p>
      <w:pPr>
        <w:spacing w:after="120" w:before="0" w:line="360"/>
        <w:ind w:firstLine="431"/>
        <w:jc w:val="both"/>
      </w:pPr>
      <w:r>
        <w:rPr>
          <w:rFonts w:ascii="Times New Roman" w:cs="Times New Roman" w:eastAsia="Times New Roman" w:hAnsi="Times New Roman"/>
          <w:sz w:val="26"/>
          <w:szCs w:val="26"/>
        </w:rPr>
        <w:t xml:space="preserve">Hạn chế chung của hướng nghiên cứu này là cự ly giữa phương tiện và mục tiêu hoặc không được xét, hoặc được lấy theo đường thẳng. Điều đó phù hợp với hoả lực mặt đất như pháo binh hay tên lửa, nơi đường đạn gần như thẳng, nhưng không phù hợp với UAV bay ở độ cao thấp trong địa hình chia cắt, nơi phương tiện phải men theo các hành lang khả thi.</w:t>
      </w:r>
    </w:p>
    <w:p>
      <w:pPr>
        <w:pStyle w:val="Heading3"/>
        <w:spacing w:after="160" w:before="280" w:line="360"/>
        <w:jc w:val="left"/>
      </w:pPr>
      <w:r>
        <w:rPr>
          <w:rFonts w:ascii="Times New Roman" w:cs="Times New Roman" w:eastAsia="Times New Roman" w:hAnsi="Times New Roman"/>
          <w:b/>
          <w:bCs/>
          <w:sz w:val="28"/>
          <w:szCs w:val="28"/>
        </w:rPr>
        <w:t xml:space="preserve">1.4.3. Phối hợp nhiều phương tiện và tác chiến bầy đàn</w:t>
      </w:r>
    </w:p>
    <w:p>
      <w:pPr>
        <w:spacing w:after="120" w:before="0" w:line="360"/>
        <w:ind w:firstLine="431"/>
        <w:jc w:val="both"/>
      </w:pPr>
      <w:r>
        <w:rPr>
          <w:rFonts w:ascii="Times New Roman" w:cs="Times New Roman" w:eastAsia="Times New Roman" w:hAnsi="Times New Roman"/>
          <w:sz w:val="26"/>
          <w:szCs w:val="26"/>
        </w:rPr>
        <w:t xml:space="preserve">Hướng nghiên cứu thứ ba tập trung vào bài toán phân công nhiệm vụ cho tập hợp lớn phương tiện hoạt động phối hợp. Li và cộng sự (2024) trong khảo sát đăng trên CAAI Artificial Intelligence Research đã hệ thống hoá các phương pháp trí tuệ nhân tạo dùng cho phân công nhiệm vụ trong đội hình UAV không đồng nhất, cùng các yêu cầu đặt ra về mô hình hoá và về khả năng xử lý thời gian thực.</w:t>
      </w:r>
    </w:p>
    <w:p>
      <w:pPr>
        <w:spacing w:after="120" w:before="0" w:line="360"/>
        <w:ind w:firstLine="431"/>
        <w:jc w:val="both"/>
      </w:pPr>
      <w:r>
        <w:rPr>
          <w:rFonts w:ascii="Times New Roman" w:cs="Times New Roman" w:eastAsia="Times New Roman" w:hAnsi="Times New Roman"/>
          <w:sz w:val="26"/>
          <w:szCs w:val="26"/>
        </w:rPr>
        <w:t xml:space="preserve">Các nghiên cứu theo hướng này thường giả định số lượng phương tiện lớn, quan tâm nhiều tới cơ chế điều khiển phân tán, duy trì đội hình, tránh va chạm trên không và bảo đảm liên lạc. Giả định về sự dồi dào phương tiện làm cho vấn đề chi phí cơ hội của từng quyết định phân công không được đặt ra gay gắt.</w:t>
      </w:r>
    </w:p>
    <w:p>
      <w:pPr>
        <w:pStyle w:val="Heading3"/>
        <w:spacing w:after="160" w:before="280" w:line="360"/>
        <w:jc w:val="left"/>
      </w:pPr>
      <w:r>
        <w:rPr>
          <w:rFonts w:ascii="Times New Roman" w:cs="Times New Roman" w:eastAsia="Times New Roman" w:hAnsi="Times New Roman"/>
          <w:b/>
          <w:bCs/>
          <w:sz w:val="28"/>
          <w:szCs w:val="28"/>
        </w:rPr>
        <w:t xml:space="preserve">1.4.4. Khoảng trống nghiên cứu và hướng tiếp cận của đề tài</w:t>
      </w:r>
    </w:p>
    <w:p>
      <w:pPr>
        <w:spacing w:after="120" w:before="0" w:line="360"/>
        <w:ind w:firstLine="431"/>
        <w:jc w:val="both"/>
      </w:pPr>
      <w:r>
        <w:rPr>
          <w:rFonts w:ascii="Times New Roman" w:cs="Times New Roman" w:eastAsia="Times New Roman" w:hAnsi="Times New Roman"/>
          <w:sz w:val="26"/>
          <w:szCs w:val="26"/>
        </w:rPr>
        <w:t xml:space="preserve">Đối chiếu ba hướng trên với bài toán đặt ra ở mục 1.1.3, có thể thấy bốn khoảng trống.</w:t>
      </w:r>
    </w:p>
    <w:p>
      <w:pPr>
        <w:spacing w:after="80" w:before="120"/>
        <w:jc w:val="center"/>
      </w:pPr>
      <w:r>
        <w:rPr>
          <w:rFonts w:ascii="Times New Roman" w:cs="Times New Roman" w:eastAsia="Times New Roman" w:hAnsi="Times New Roman"/>
          <w:i/>
          <w:iCs/>
          <w:sz w:val="24"/>
          <w:szCs w:val="24"/>
        </w:rPr>
        <w:t xml:space="preserve">Bảng 1.4. Khoảng trống nghiên cứu và cách đề tài xử lý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cantSplit/>
          <w:tblHeader/>
        </w:trPr>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Khoảng trống</w:t>
            </w:r>
          </w:p>
        </w:tc>
        <w:tc>
          <w:tcPr>
            <w:tcW w:type="dxa" w:w="36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Hiện trạng nghiên cứu</w:t>
            </w:r>
          </w:p>
        </w:tc>
        <w:tc>
          <w:tcPr>
            <w:tcW w:type="dxa" w:w="36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Cách đề tài xử lý</w:t>
            </w:r>
          </w:p>
        </w:tc>
      </w:tr>
      <w:tr>
        <w:trPr>
          <w:cantSplit/>
          <w:tblHeader w:val="false"/>
        </w:trPr>
        <w:tc>
          <w:tcPr>
            <w:tcW w:type="dxa" w:w="18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Quy mô lực lượng</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Hướng bầy đàn giả định phương tiện dồi dào; chi phí cơ hội của mỗi quyết định không đáng kể</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Đặt bài toán ở quy mô phân đội với lực lượng khan hiếm, nơi mỗi quyết định điều động đều làm giảm khả năng tiến công các mục tiêu còn lại</w:t>
            </w:r>
          </w:p>
        </w:tc>
      </w:tr>
      <w:tr>
        <w:trPr>
          <w:cantSplit/>
          <w:tblHeader w:val="false"/>
        </w:trPr>
        <w:tc>
          <w:tcPr>
            <w:tcW w:type="dxa" w:w="18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Ràng buộc không gian</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Các mô hình phân công vũ khí – mục tiêu không xét cự ly, hoặc lấy cự ly theo đường thẳng</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Cự ly được tính bằng đường đi ngắn nhất trên đồ thị hành lang bay, từ đó suy ra điều kiện khả dụng theo tầm bay và chi phí hành trình</w:t>
            </w:r>
          </w:p>
        </w:tc>
      </w:tr>
      <w:tr>
        <w:trPr>
          <w:cantSplit/>
          <w:tblHeader w:val="false"/>
        </w:trPr>
        <w:tc>
          <w:tcPr>
            <w:tcW w:type="dxa" w:w="18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Xử lý khi nguồn lực không đủ</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Phần lớn mô hình mặc định mọi mục tiêu đều được tiến công, dẫn tới vô nghiệm khi hoả lực hoặc ngân sách thiếu</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Bổ sung biến quyết định chọn mục tiêu, cho phép mô hình chủ động loại bỏ mục tiêu và luôn có nghiệm chấp nhận được</w:t>
            </w:r>
          </w:p>
        </w:tc>
      </w:tr>
      <w:tr>
        <w:trPr>
          <w:cantSplit/>
          <w:tblHeader w:val="false"/>
        </w:trPr>
        <w:tc>
          <w:tcPr>
            <w:tcW w:type="dxa" w:w="18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Đánh giá chất lượng nghiệm</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Các công trình dùng thuật toán siêu khám phá thường chỉ so sánh tương đối giữa các thuật toán, không đối chiếu với nghiệm tối ưu thực sự</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Xây dựng thuật toán đối chứng cho nghiệm tối ưu tuyệt đối ở quy mô kiểm thử, làm chuẩn định lượng đánh giá sai lệch của thuật toán di truyền</w:t>
            </w:r>
          </w:p>
        </w:tc>
      </w:tr>
    </w:tbl>
    <w:p>
      <w:pPr>
        <w:spacing w:after="120" w:before="120" w:line="360"/>
        <w:ind w:firstLine="431"/>
        <w:jc w:val="both"/>
      </w:pPr>
      <w:r>
        <w:rPr>
          <w:rFonts w:ascii="Times New Roman" w:cs="Times New Roman" w:eastAsia="Times New Roman" w:hAnsi="Times New Roman"/>
          <w:sz w:val="26"/>
          <w:szCs w:val="26"/>
        </w:rPr>
        <w:t xml:space="preserve">Khoảng trống thứ tư đáng chú ý nhất. Ở quy mô phân đội, số phương án tuy rất lớn nhưng cấu trúc bài toán cho phép tính được nghiệm tối ưu tuyệt đối bằng một thuật toán chuyên biệt. Khi đã có nghiệm tối ưu, câu hỏi đặt ra không còn là thuật toán nào tốt hơn thuật toán nào, mà là thuật toán đang dùng cách nghiệm đúng bao xa. Đây là điểm mà đề tài đóng góp, trình bày ở mục 3.4.</w:t>
      </w:r>
    </w:p>
    <w:p>
      <w:pPr>
        <w:pStyle w:val="Heading2"/>
        <w:spacing w:after="160" w:before="280" w:line="360"/>
        <w:jc w:val="left"/>
      </w:pPr>
      <w:r>
        <w:rPr>
          <w:rFonts w:ascii="Times New Roman" w:cs="Times New Roman" w:eastAsia="Times New Roman" w:hAnsi="Times New Roman"/>
          <w:b/>
          <w:bCs/>
          <w:sz w:val="30"/>
          <w:szCs w:val="30"/>
        </w:rPr>
        <w:t xml:space="preserve">1.5. Lý thuyết đồ thị và bài toán đường đi ngắn nhất</w:t>
      </w:r>
    </w:p>
    <w:p>
      <w:pPr>
        <w:pStyle w:val="Heading3"/>
        <w:spacing w:after="160" w:before="280" w:line="360"/>
        <w:jc w:val="left"/>
      </w:pPr>
      <w:r>
        <w:rPr>
          <w:rFonts w:ascii="Times New Roman" w:cs="Times New Roman" w:eastAsia="Times New Roman" w:hAnsi="Times New Roman"/>
          <w:b/>
          <w:bCs/>
          <w:sz w:val="28"/>
          <w:szCs w:val="28"/>
        </w:rPr>
        <w:t xml:space="preserve">1.5.1. Các khái niệm cơ bản</w:t>
      </w:r>
    </w:p>
    <w:p>
      <w:pPr>
        <w:spacing w:after="120" w:before="0" w:line="360"/>
        <w:ind w:firstLine="431"/>
        <w:jc w:val="both"/>
      </w:pPr>
      <w:r>
        <w:rPr>
          <w:rFonts w:ascii="Times New Roman" w:cs="Times New Roman" w:eastAsia="Times New Roman" w:hAnsi="Times New Roman"/>
          <w:sz w:val="26"/>
          <w:szCs w:val="26"/>
        </w:rPr>
        <w:t xml:space="preserve">Đồ thị là cấu trúc toán học gồm hai tập hợp, ký hiệu G = (V, E). Tập V gồm các phần tử gọi là đỉnh. Tập E gồm các cặp đỉnh, mỗi cặp gọi là một cạnh, biểu diễn quan hệ kề nhau giữa hai đỉnh.</w:t>
      </w:r>
    </w:p>
    <w:p>
      <w:pPr>
        <w:spacing w:after="120" w:before="0" w:line="360"/>
        <w:ind w:firstLine="431"/>
        <w:jc w:val="both"/>
      </w:pPr>
      <w:r>
        <w:rPr>
          <w:rFonts w:ascii="Times New Roman" w:cs="Times New Roman" w:eastAsia="Times New Roman" w:hAnsi="Times New Roman"/>
          <w:sz w:val="26"/>
          <w:szCs w:val="26"/>
        </w:rPr>
        <w:t xml:space="preserve">Đồ thị được gọi là vô hướng nếu cạnh nối hai đỉnh không phân biệt chiều, tức đi được từ đỉnh này sang đỉnh kia và ngược lại. Đồ thị có trọng số là đồ thị mà mỗi cạnh được gán một số thực không âm, gọi là trọng số của cạnh, biểu thị chi phí hoặc khoảng cách khi di chuyển qua cạnh đó.</w:t>
      </w:r>
    </w:p>
    <w:p>
      <w:pPr>
        <w:spacing w:after="120" w:before="0" w:line="360"/>
        <w:ind w:firstLine="431"/>
        <w:jc w:val="both"/>
      </w:pPr>
      <w:r>
        <w:rPr>
          <w:rFonts w:ascii="Times New Roman" w:cs="Times New Roman" w:eastAsia="Times New Roman" w:hAnsi="Times New Roman"/>
          <w:sz w:val="26"/>
          <w:szCs w:val="26"/>
        </w:rPr>
        <w:t xml:space="preserve">Đường đi từ đỉnh u tới đỉnh v là dãy đỉnh liên tiếp bắt đầu từ u, kết thúc ở v, trong đó hai đỉnh liền kề bất kỳ trong dãy đều được nối bởi một cạnh. Độ dài của đường đi bằng tổng trọng số các cạnh trên đường đi ấy. Đường đi ngắn nhất từ u tới v là đường đi có độ dài nhỏ nhất trong số mọi đường đi từ u tới v.</w:t>
      </w:r>
    </w:p>
    <w:p>
      <w:pPr>
        <w:pStyle w:val="Heading3"/>
        <w:spacing w:after="160" w:before="280" w:line="360"/>
        <w:jc w:val="left"/>
      </w:pPr>
      <w:r>
        <w:rPr>
          <w:rFonts w:ascii="Times New Roman" w:cs="Times New Roman" w:eastAsia="Times New Roman" w:hAnsi="Times New Roman"/>
          <w:b/>
          <w:bCs/>
          <w:sz w:val="28"/>
          <w:szCs w:val="28"/>
        </w:rPr>
        <w:t xml:space="preserve">1.5.2. Mô hình hoá không gian tác chiến bằng đồ thị</w:t>
      </w:r>
    </w:p>
    <w:p>
      <w:pPr>
        <w:spacing w:after="120" w:before="0" w:line="360"/>
        <w:ind w:firstLine="431"/>
        <w:jc w:val="both"/>
      </w:pPr>
      <w:r>
        <w:rPr>
          <w:rFonts w:ascii="Times New Roman" w:cs="Times New Roman" w:eastAsia="Times New Roman" w:hAnsi="Times New Roman"/>
          <w:sz w:val="26"/>
          <w:szCs w:val="26"/>
        </w:rPr>
        <w:t xml:space="preserve">Không gian tác chiến là môi trường liên tục ba chiều, trong khi đồ thị là cấu trúc rời rạc. Việc chuyển từ môi trường liên tục sang đồ thị được thực hiện bằng cách chọn một tập hữu hạn điểm chuyển hướng và nối những điểm có thể bay trực tiếp giữa chúng.</w:t>
      </w:r>
    </w:p>
    <w:p>
      <w:pPr>
        <w:spacing w:after="120" w:before="0" w:line="360"/>
        <w:ind w:firstLine="431"/>
        <w:jc w:val="both"/>
      </w:pPr>
      <w:r>
        <w:rPr>
          <w:rFonts w:ascii="Times New Roman" w:cs="Times New Roman" w:eastAsia="Times New Roman" w:hAnsi="Times New Roman"/>
          <w:sz w:val="26"/>
          <w:szCs w:val="26"/>
        </w:rPr>
        <w:t xml:space="preserve">Cụ thể, tập đỉnh V gồm ba loại: các điểm chuyển hướng trên hành lang bay, các vị trí căn cứ xuất phát của đơn vị, và các vị trí mục tiêu đã được trinh sát xác định. Tập cạnh E gồm những đoạn hành lang mà phương tiện bay được trực tiếp giữa hai đỉnh, với trọng số bằng cự ly thực tế giữa hai đỉnh đó.</w:t>
      </w:r>
    </w:p>
    <w:p>
      <w:pPr>
        <w:spacing w:after="120" w:before="0" w:line="360"/>
        <w:ind w:firstLine="431"/>
        <w:jc w:val="both"/>
      </w:pPr>
      <w:r>
        <w:rPr>
          <w:rFonts w:ascii="Times New Roman" w:cs="Times New Roman" w:eastAsia="Times New Roman" w:hAnsi="Times New Roman"/>
          <w:sz w:val="26"/>
          <w:szCs w:val="26"/>
        </w:rPr>
        <w:t xml:space="preserve">Cách mô hình hoá này mang lại một khả năng mà cự ly đường thẳng không có: biểu diễn được các vùng phương tiện không được phép hoặc không nên bay qua. Vùng cấm bay, khu vực có hoả lực phòng không dày đặc, dải địa hình che khuất sóng điều khiển — tất cả đều được thể hiện bằng cách loại bỏ các cạnh tương ứng khỏi tập E. Khi đó đường đi ngắn nhất trên đồ thị phản ánh đúng hành trình mà phương tiện thực sự phải bay, chứ không phải khoảng cách hình học giữa hai điểm.</w:t>
      </w:r>
    </w:p>
    <w:p>
      <w:pPr>
        <w:spacing w:after="120" w:before="0" w:line="360"/>
        <w:ind w:firstLine="431"/>
        <w:jc w:val="both"/>
      </w:pPr>
      <w:r>
        <w:rPr>
          <w:rFonts w:ascii="Times New Roman" w:cs="Times New Roman" w:eastAsia="Times New Roman" w:hAnsi="Times New Roman"/>
          <w:sz w:val="26"/>
          <w:szCs w:val="26"/>
        </w:rPr>
        <w:t xml:space="preserve">Hệ quả thực tiễn là quan trọng. Một mục tiêu có thể nằm gần căn cứ theo đường chim bay nhưng lại vượt quá tầm bay của phương tiện khi tính theo hành trình thực. Người lập kế hoạch dùng thước kẻ trên bản đồ sẽ kết luận sai rằng phương tiện tới được, và chiếc UAV ấy sẽ hết nhiên liệu trước khi tới mục tiêu.</w:t>
      </w:r>
    </w:p>
    <w:p>
      <w:pPr>
        <w:pStyle w:val="Heading3"/>
        <w:spacing w:after="160" w:before="280" w:line="360"/>
        <w:jc w:val="left"/>
      </w:pPr>
      <w:r>
        <w:rPr>
          <w:rFonts w:ascii="Times New Roman" w:cs="Times New Roman" w:eastAsia="Times New Roman" w:hAnsi="Times New Roman"/>
          <w:b/>
          <w:bCs/>
          <w:sz w:val="28"/>
          <w:szCs w:val="28"/>
        </w:rPr>
        <w:t xml:space="preserve">1.5.3. Thuật toán Dijkstra</w:t>
      </w:r>
    </w:p>
    <w:p>
      <w:pPr>
        <w:spacing w:after="120" w:before="0" w:line="360"/>
        <w:ind w:firstLine="431"/>
        <w:jc w:val="both"/>
      </w:pPr>
      <w:r>
        <w:rPr>
          <w:rFonts w:ascii="Times New Roman" w:cs="Times New Roman" w:eastAsia="Times New Roman" w:hAnsi="Times New Roman"/>
          <w:sz w:val="26"/>
          <w:szCs w:val="26"/>
        </w:rPr>
        <w:t xml:space="preserve">Thuật toán Dijkstra, do Edsger W. Dijkstra công bố năm 1959, giải bài toán tìm đường đi ngắn nhất từ một đỉnh nguồn tới tất cả các đỉnh còn lại trên đồ thị có trọng số không âm.</w:t>
      </w:r>
    </w:p>
    <w:p>
      <w:pPr>
        <w:spacing w:after="120" w:before="0" w:line="360"/>
        <w:ind w:firstLine="431"/>
        <w:jc w:val="both"/>
      </w:pPr>
      <w:r>
        <w:rPr>
          <w:rFonts w:ascii="Times New Roman" w:cs="Times New Roman" w:eastAsia="Times New Roman" w:hAnsi="Times New Roman"/>
          <w:sz w:val="26"/>
          <w:szCs w:val="26"/>
        </w:rPr>
        <w:t xml:space="preserve">Tư tưởng của thuật toán là mở rộng dần tập đỉnh đã biết chắc chắn đường đi ngắn nhất. Thuật toán duy trì với mỗi đỉnh v một nhãn d(v) là độ dài đường đi ngắn nhất tạm thời từ nguồn tới v. Ban đầu nhãn của đỉnh nguồn bằng 0, nhãn mọi đỉnh khác bằng vô cùng. Ở mỗi bước, thuật toán chọn đỉnh chưa xét có nhãn nhỏ nhất, coi nhãn đó là chính thức, rồi dùng đỉnh vừa chọn để cập nhật nhãn các đỉnh kề:</w:t>
      </w:r>
    </w:p>
    <w:p>
      <w:pPr>
        <w:tabs>
          <w:tab w:val="right" w:pos="8800"/>
        </w:tabs>
        <w:spacing w:after="140" w:before="140" w:line="360"/>
        <w:ind w:left="1440"/>
        <w:jc w:val="left"/>
      </w:pPr>
      <w:r>
        <w:rPr>
          <w:rFonts w:ascii="Times New Roman" w:cs="Times New Roman" w:eastAsia="Times New Roman" w:hAnsi="Times New Roman"/>
          <w:i/>
          <w:iCs/>
          <w:sz w:val="26"/>
          <w:szCs w:val="26"/>
        </w:rPr>
        <w:t xml:space="preserve">d</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v</w:t>
      </w:r>
      <w:r>
        <w:rPr>
          <w:rFonts w:ascii="Times New Roman" w:cs="Times New Roman" w:eastAsia="Times New Roman" w:hAnsi="Times New Roman"/>
          <w:sz w:val="26"/>
          <w:szCs w:val="26"/>
        </w:rPr>
        <w:t xml:space="preserve">) = min{ </w:t>
      </w:r>
      <w:r>
        <w:rPr>
          <w:rFonts w:ascii="Times New Roman" w:cs="Times New Roman" w:eastAsia="Times New Roman" w:hAnsi="Times New Roman"/>
          <w:i/>
          <w:iCs/>
          <w:sz w:val="26"/>
          <w:szCs w:val="26"/>
        </w:rPr>
        <w:t xml:space="preserve">d</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v</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d</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u</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w</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u</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v</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(1.1)</w:t>
      </w:r>
    </w:p>
    <w:p>
      <w:pPr>
        <w:spacing w:after="120" w:before="0" w:line="360"/>
        <w:ind w:firstLine="431"/>
        <w:jc w:val="both"/>
      </w:pPr>
      <w:r>
        <w:rPr>
          <w:rFonts w:ascii="Times New Roman" w:cs="Times New Roman" w:eastAsia="Times New Roman" w:hAnsi="Times New Roman"/>
          <w:sz w:val="26"/>
          <w:szCs w:val="26"/>
        </w:rPr>
        <w:t xml:space="preserve">trong đó w(u, v) là trọng số cạnh nối u và v. Quá trình lặp lại cho tới khi mọi đỉnh đều có nhãn chính thức.</w:t>
      </w:r>
    </w:p>
    <w:p>
      <w:pPr>
        <w:spacing w:after="120" w:before="0" w:line="360"/>
        <w:ind w:firstLine="431"/>
        <w:jc w:val="both"/>
      </w:pPr>
      <w:r>
        <w:rPr>
          <w:rFonts w:ascii="Times New Roman" w:cs="Times New Roman" w:eastAsia="Times New Roman" w:hAnsi="Times New Roman"/>
          <w:sz w:val="26"/>
          <w:szCs w:val="26"/>
        </w:rPr>
        <w:t xml:space="preserve">Tính đúng đắn của thuật toán dựa trên điều kiện trọng số không âm: khi một đỉnh được chọn vì có nhãn nhỏ nhất, không thể tồn tại đường đi nào khác tới nó ngắn hơn, vì mọi đường đi khác đều phải đi qua một đỉnh có nhãn lớn hơn rồi cộng thêm trọng số không âm. Điều kiện này luôn thoả mãn trong bài toán của đề tài, vì trọng số cạnh là cự ly bay, luôn dương.</w:t>
      </w:r>
    </w:p>
    <w:p>
      <w:pPr>
        <w:spacing w:after="80" w:before="120"/>
        <w:jc w:val="center"/>
      </w:pPr>
      <w:r>
        <w:rPr>
          <w:rFonts w:ascii="Times New Roman" w:cs="Times New Roman" w:eastAsia="Times New Roman" w:hAnsi="Times New Roman"/>
          <w:i/>
          <w:iCs/>
          <w:sz w:val="24"/>
          <w:szCs w:val="24"/>
        </w:rPr>
        <w:t xml:space="preserve">Bảng 1.5. Độ phức tạp của thuật toán Dijkstra theo cấu trúc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cantSplit/>
          <w:tblHeader/>
        </w:trPr>
        <w:tc>
          <w:tcPr>
            <w:tcW w:type="dxa" w:w="54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Cấu trúc dữ liệu chọn đỉnh nhãn nhỏ nhất</w:t>
            </w:r>
          </w:p>
        </w:tc>
        <w:tc>
          <w:tcPr>
            <w:tcW w:type="dxa" w:w="36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Độ phức tạp thời gian</w:t>
            </w:r>
          </w:p>
        </w:tc>
      </w:tr>
      <w:tr>
        <w:trPr>
          <w:cantSplit/>
          <w:tblHeader w:val="false"/>
        </w:trPr>
        <w:tc>
          <w:tcPr>
            <w:tcW w:type="dxa" w:w="54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Duyệt tuyến tính trên mảng</w:t>
            </w:r>
          </w:p>
        </w:tc>
        <w:tc>
          <w:tcPr>
            <w:tcW w:type="dxa" w:w="3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O(|V|²)</w:t>
            </w:r>
          </w:p>
        </w:tc>
      </w:tr>
      <w:tr>
        <w:trPr>
          <w:cantSplit/>
          <w:tblHeader w:val="false"/>
        </w:trPr>
        <w:tc>
          <w:tcPr>
            <w:tcW w:type="dxa" w:w="54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Hàng đợi ưu tiên dạng đống nhị phân</w:t>
            </w:r>
          </w:p>
        </w:tc>
        <w:tc>
          <w:tcPr>
            <w:tcW w:type="dxa" w:w="3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O((|V| + |E|) log |V|)</w:t>
            </w:r>
          </w:p>
        </w:tc>
      </w:tr>
      <w:tr>
        <w:trPr>
          <w:cantSplit/>
          <w:tblHeader w:val="false"/>
        </w:trPr>
        <w:tc>
          <w:tcPr>
            <w:tcW w:type="dxa" w:w="54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Đống Fibonacci</w:t>
            </w:r>
          </w:p>
        </w:tc>
        <w:tc>
          <w:tcPr>
            <w:tcW w:type="dxa" w:w="3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O(|E| + |V| log |V|)</w:t>
            </w:r>
          </w:p>
        </w:tc>
      </w:tr>
    </w:tbl>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1.4 — </w:t>
      </w:r>
      <w:r>
        <w:rPr>
          <w:rFonts w:ascii="Times New Roman" w:cs="Times New Roman" w:eastAsia="Times New Roman" w:hAnsi="Times New Roman"/>
          <w:i/>
          <w:iCs/>
          <w:color w:val="C00000"/>
          <w:sz w:val="24"/>
          <w:szCs w:val="24"/>
        </w:rPr>
        <w:t xml:space="preserve">Minh hoạ các bước của thuật toán Dijkstra trên một đồ thị nhỏ khoảng sáu đỉnh: đánh dấu đỉnh đã xét, nhãn cự ly tạm thời tại mỗi bước, và tuyến ngắn nhất tìm được. Sơ đồ tự vẽ.</w:t>
      </w:r>
    </w:p>
    <w:p>
      <w:pPr>
        <w:pStyle w:val="Heading3"/>
        <w:spacing w:after="160" w:before="280" w:line="360"/>
        <w:jc w:val="left"/>
      </w:pPr>
      <w:r>
        <w:rPr>
          <w:rFonts w:ascii="Times New Roman" w:cs="Times New Roman" w:eastAsia="Times New Roman" w:hAnsi="Times New Roman"/>
          <w:b/>
          <w:bCs/>
          <w:sz w:val="28"/>
          <w:szCs w:val="28"/>
        </w:rPr>
        <w:t xml:space="preserve">1.5.4. Vận dụng trong đề tài</w:t>
      </w:r>
    </w:p>
    <w:p>
      <w:pPr>
        <w:spacing w:after="120" w:before="0" w:line="360"/>
        <w:ind w:firstLine="431"/>
        <w:jc w:val="both"/>
      </w:pPr>
      <w:r>
        <w:rPr>
          <w:rFonts w:ascii="Times New Roman" w:cs="Times New Roman" w:eastAsia="Times New Roman" w:hAnsi="Times New Roman"/>
          <w:sz w:val="26"/>
          <w:szCs w:val="26"/>
        </w:rPr>
        <w:t xml:space="preserve">Trong đề tài, thuật toán Dijkstra được chạy một lần từ mỗi đỉnh căn cứ tới toàn bộ đỉnh mục tiêu, trước khi thuật toán tối ưu khởi động. Kết quả thu được là ma trận cự ly, từ đó tính ra hai đại lượng đầu vào cho mô hình: điều kiện khả dụng theo tầm bay và chi phí hành trình của mỗi cặp phương tiện – mục tiêu.</w:t>
      </w:r>
    </w:p>
    <w:p>
      <w:pPr>
        <w:spacing w:after="120" w:before="0" w:line="360"/>
        <w:ind w:firstLine="431"/>
        <w:jc w:val="both"/>
      </w:pPr>
      <w:r>
        <w:rPr>
          <w:rFonts w:ascii="Times New Roman" w:cs="Times New Roman" w:eastAsia="Times New Roman" w:hAnsi="Times New Roman"/>
          <w:sz w:val="26"/>
          <w:szCs w:val="26"/>
        </w:rPr>
        <w:t xml:space="preserve">Cách làm này có hai lợi ích. Thứ nhất, toàn bộ chi phí tìm đường chỉ phải trả một lần, thay vì lặp lại trong mỗi lần đánh giá phương án của thuật toán tối ưu — điều này quan trọng vì thuật toán di truyền phải đánh giá hàng chục nghìn phương án. Thứ hai, ràng buộc tầm bay vốn có bản chất hình học được chuyển thành một ràng buộc tuyến tính đơn giản trên biến nhị phân, giữ cho mô hình toán học ở mục 2.3 không bị phức tạp thêm.</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2026-09-21T05:00:59.347Z</dcterms:created>
  <dcterms:modified xsi:type="dcterms:W3CDTF">2026-09-21T05:00:59.347Z</dcterms:modified>
</cp:coreProperties>
</file>

<file path=docProps/custom.xml><?xml version="1.0" encoding="utf-8"?>
<Properties xmlns="http://schemas.openxmlformats.org/officeDocument/2006/custom-properties" xmlns:vt="http://schemas.openxmlformats.org/officeDocument/2006/docPropsVTypes"/>
</file>