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80" w:before="0" w:line="360"/>
        <w:jc w:val="center"/>
      </w:pPr>
      <w:r>
        <w:rPr>
          <w:rFonts w:ascii="Times New Roman" w:cs="Times New Roman" w:eastAsia="Times New Roman" w:hAnsi="Times New Roman"/>
          <w:b/>
          <w:bCs/>
          <w:sz w:val="32"/>
          <w:szCs w:val="32"/>
        </w:rPr>
        <w:t xml:space="preserve">CHƯƠNG 2</w:t>
      </w:r>
    </w:p>
    <w:p>
      <w:pPr>
        <w:pStyle w:val="Heading1"/>
        <w:spacing w:after="280" w:before="0" w:line="360"/>
        <w:jc w:val="center"/>
      </w:pPr>
      <w:r>
        <w:rPr>
          <w:rFonts w:ascii="Times New Roman" w:cs="Times New Roman" w:eastAsia="Times New Roman" w:hAnsi="Times New Roman"/>
          <w:b/>
          <w:bCs/>
          <w:sz w:val="32"/>
          <w:szCs w:val="32"/>
        </w:rPr>
        <w:t xml:space="preserve">XÂY DỰNG MÔ HÌNH BÀI TOÁN</w:t>
      </w:r>
    </w:p>
    <w:p>
      <w:pPr>
        <w:pStyle w:val="Heading2"/>
        <w:spacing w:after="160" w:before="280" w:line="360"/>
        <w:jc w:val="left"/>
      </w:pPr>
      <w:r>
        <w:rPr>
          <w:rFonts w:ascii="Times New Roman" w:cs="Times New Roman" w:eastAsia="Times New Roman" w:hAnsi="Times New Roman"/>
          <w:b/>
          <w:bCs/>
          <w:sz w:val="30"/>
          <w:szCs w:val="30"/>
        </w:rPr>
        <w:t xml:space="preserve">2.1. Tình huống chiến thuật</w:t>
      </w:r>
    </w:p>
    <w:p>
      <w:pPr>
        <w:pStyle w:val="Heading3"/>
        <w:spacing w:after="160" w:before="280" w:line="360"/>
        <w:jc w:val="left"/>
      </w:pPr>
      <w:r>
        <w:rPr>
          <w:rFonts w:ascii="Times New Roman" w:cs="Times New Roman" w:eastAsia="Times New Roman" w:hAnsi="Times New Roman"/>
          <w:b/>
          <w:bCs/>
          <w:sz w:val="28"/>
          <w:szCs w:val="28"/>
        </w:rPr>
        <w:t xml:space="preserve">2.1.1. Địa bàn và tình hình địch</w:t>
      </w:r>
    </w:p>
    <w:p>
      <w:pPr>
        <w:spacing w:after="120" w:before="0" w:line="360"/>
        <w:ind w:firstLine="431"/>
        <w:jc w:val="both"/>
      </w:pPr>
      <w:r>
        <w:rPr>
          <w:rFonts w:ascii="Times New Roman" w:cs="Times New Roman" w:eastAsia="Times New Roman" w:hAnsi="Times New Roman"/>
          <w:sz w:val="26"/>
          <w:szCs w:val="26"/>
        </w:rPr>
        <w:t xml:space="preserve">Địa bàn tác chiến là khu vực rừng núi thuộc tỉnh Đắk Lắk, địa bàn chiến lược ở Tây Nguyên. Đặc điểm địa hình là núi cao xen kẽ thung lũng hẹp, chia cắt mạnh, thảm thực vật rậm.</w:t>
      </w:r>
    </w:p>
    <w:p>
      <w:pPr>
        <w:spacing w:after="120" w:before="0" w:line="360"/>
        <w:ind w:firstLine="431"/>
        <w:jc w:val="both"/>
      </w:pPr>
      <w:r>
        <w:rPr>
          <w:rFonts w:ascii="Times New Roman" w:cs="Times New Roman" w:eastAsia="Times New Roman" w:hAnsi="Times New Roman"/>
          <w:sz w:val="26"/>
          <w:szCs w:val="26"/>
        </w:rPr>
        <w:t xml:space="preserve">Đặc điểm địa hình này chi phối bài toán theo hai hướng ngược nhau. Về phía đối phương, nó tạo điều kiện thuận lợi để thiết lập căn cứ phân tán, nguỵ trang và cơ động. Về phía ta, nó buộc phương tiện bay không thể bay thẳng tới mục tiêu mà phải men theo các thung lũng và tuyến khả thi, đồng thời làm giảm cự ly liên lạc điều khiển ở những nơi địa hình che khuất. Đây chính là căn cứ thực tế cho việc mô hình hoá không gian tác chiến thành đồ thị và xác định cự ly bay bằng thuật toán đường đi ngắn nhất, như đã trình bày ở mục 1.5.2.</w:t>
      </w:r>
    </w:p>
    <w:p>
      <w:pPr>
        <w:spacing w:after="120" w:before="80" w:line="360"/>
        <w:ind w:left="431"/>
        <w:jc w:val="both"/>
      </w:pPr>
      <w:r>
        <w:rPr>
          <w:rFonts w:ascii="Times New Roman" w:cs="Times New Roman" w:eastAsia="Times New Roman" w:hAnsi="Times New Roman"/>
          <w:b/>
          <w:bCs/>
          <w:color w:val="B03030"/>
          <w:sz w:val="26"/>
          <w:szCs w:val="26"/>
        </w:rPr>
        <w:t xml:space="preserve">[ CẦN BỔ SUNG ] </w:t>
      </w:r>
      <w:r>
        <w:rPr>
          <w:rFonts w:ascii="Times New Roman" w:cs="Times New Roman" w:eastAsia="Times New Roman" w:hAnsi="Times New Roman"/>
          <w:i/>
          <w:iCs/>
          <w:color w:val="B03030"/>
          <w:sz w:val="26"/>
          <w:szCs w:val="26"/>
        </w:rPr>
        <w:t xml:space="preserve">Bổ sung tên địa danh cụ thể trong khu vực tác chiến; phạm vi khu vực theo toạ độ hoặc theo địa vật; đặc điểm khí tượng ảnh hưởng tới hoạt động bay.</w:t>
      </w:r>
    </w:p>
    <w:p>
      <w:pPr>
        <w:spacing w:after="120" w:before="0" w:line="360"/>
        <w:ind w:firstLine="431"/>
        <w:jc w:val="both"/>
      </w:pPr>
      <w:r>
        <w:rPr>
          <w:rFonts w:ascii="Times New Roman" w:cs="Times New Roman" w:eastAsia="Times New Roman" w:hAnsi="Times New Roman"/>
          <w:sz w:val="26"/>
          <w:szCs w:val="26"/>
        </w:rPr>
        <w:t xml:space="preserve">Về tình hình địch, các lực lượng phản động và đối tượng khủng bố lợi dụng địa hình rừng núi thiết lập một hệ thống căn cứ gồm sáu mục tiêu đã được trinh sát xác định. Hệ thống này được bố trí phân tán trên chiều sâu khoảng hai mươi ki-lô-mét, gồm cơ quan chỉ huy, các khí tài trinh sát điện tử, cơ sở bảo đảm hậu cần và lực lượng phòng không bảo vệ.</w:t>
      </w:r>
    </w:p>
    <w:p>
      <w:pPr>
        <w:spacing w:after="80" w:before="120"/>
        <w:jc w:val="center"/>
      </w:pPr>
      <w:r>
        <w:rPr>
          <w:rFonts w:ascii="Times New Roman" w:cs="Times New Roman" w:eastAsia="Times New Roman" w:hAnsi="Times New Roman"/>
          <w:i/>
          <w:iCs/>
          <w:sz w:val="24"/>
          <w:szCs w:val="24"/>
        </w:rPr>
        <w:t xml:space="preserve">Bảng 2.1. Hệ thống mục tiêu địch đã được trinh sát xác định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79"/>
        <w:gridCol w:w="862"/>
        <w:gridCol w:w="2394"/>
        <w:gridCol w:w="2681"/>
        <w:gridCol w:w="1628"/>
        <w:gridCol w:w="957"/>
      </w:tblGrid>
      <w:tr>
        <w:trPr>
          <w:cantSplit/>
          <w:tblHeader/>
        </w:trPr>
        <w:tc>
          <w:tcPr>
            <w:tcW w:type="dxa" w:w="479"/>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TT</w:t>
            </w:r>
          </w:p>
        </w:tc>
        <w:tc>
          <w:tcPr>
            <w:tcW w:type="dxa" w:w="862"/>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Ký hiệu</w:t>
            </w:r>
          </w:p>
        </w:tc>
        <w:tc>
          <w:tcPr>
            <w:tcW w:type="dxa" w:w="2394"/>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Tên mục tiêu</w:t>
            </w:r>
          </w:p>
        </w:tc>
        <w:tc>
          <w:tcPr>
            <w:tcW w:type="dxa" w:w="2681"/>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Tính chất công trình</w:t>
            </w:r>
          </w:p>
        </w:tc>
        <w:tc>
          <w:tcPr>
            <w:tcW w:type="dxa" w:w="1628"/>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Cự ly gần nhất (km)</w:t>
            </w:r>
          </w:p>
        </w:tc>
        <w:tc>
          <w:tcPr>
            <w:tcW w:type="dxa" w:w="957"/>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Ưu tiên</w:t>
            </w:r>
          </w:p>
        </w:tc>
      </w:tr>
      <w:tr>
        <w:trPr>
          <w:cantSplit/>
          <w:tblHeader w:val="false"/>
        </w:trPr>
        <w:tc>
          <w:tcPr>
            <w:tcW w:type="dxa" w:w="47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862"/>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T02</w:t>
            </w:r>
          </w:p>
        </w:tc>
        <w:tc>
          <w:tcPr>
            <w:tcW w:type="dxa" w:w="2394"/>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Sở chỉ huy địch</w:t>
            </w:r>
          </w:p>
        </w:tc>
        <w:tc>
          <w:tcPr>
            <w:tcW w:type="dxa" w:w="2681"/>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Công sự kiên cố, có hầm ngầm</w:t>
            </w:r>
          </w:p>
        </w:tc>
        <w:tc>
          <w:tcPr>
            <w:tcW w:type="dxa" w:w="1628"/>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20,1</w:t>
            </w:r>
          </w:p>
        </w:tc>
        <w:tc>
          <w:tcPr>
            <w:tcW w:type="dxa" w:w="957"/>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r>
      <w:tr>
        <w:trPr>
          <w:cantSplit/>
          <w:tblHeader w:val="false"/>
        </w:trPr>
        <w:tc>
          <w:tcPr>
            <w:tcW w:type="dxa" w:w="47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862"/>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T06</w:t>
            </w:r>
          </w:p>
        </w:tc>
        <w:tc>
          <w:tcPr>
            <w:tcW w:type="dxa" w:w="2394"/>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Trận địa phòng không</w:t>
            </w:r>
          </w:p>
        </w:tc>
        <w:tc>
          <w:tcPr>
            <w:tcW w:type="dxa" w:w="2681"/>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Xe bệ phóng, giáp nhẹ</w:t>
            </w:r>
          </w:p>
        </w:tc>
        <w:tc>
          <w:tcPr>
            <w:tcW w:type="dxa" w:w="1628"/>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8,6</w:t>
            </w:r>
          </w:p>
        </w:tc>
        <w:tc>
          <w:tcPr>
            <w:tcW w:type="dxa" w:w="957"/>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r>
      <w:tr>
        <w:trPr>
          <w:cantSplit/>
          <w:tblHeader w:val="false"/>
        </w:trPr>
        <w:tc>
          <w:tcPr>
            <w:tcW w:type="dxa" w:w="47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w:t>
            </w:r>
          </w:p>
        </w:tc>
        <w:tc>
          <w:tcPr>
            <w:tcW w:type="dxa" w:w="862"/>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T01</w:t>
            </w:r>
          </w:p>
        </w:tc>
        <w:tc>
          <w:tcPr>
            <w:tcW w:type="dxa" w:w="2394"/>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Đài rada chính</w:t>
            </w:r>
          </w:p>
        </w:tc>
        <w:tc>
          <w:tcPr>
            <w:tcW w:type="dxa" w:w="2681"/>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Khí tài điện tử, ăng-ten vỏ mỏng</w:t>
            </w:r>
          </w:p>
        </w:tc>
        <w:tc>
          <w:tcPr>
            <w:tcW w:type="dxa" w:w="1628"/>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19,2</w:t>
            </w:r>
          </w:p>
        </w:tc>
        <w:tc>
          <w:tcPr>
            <w:tcW w:type="dxa" w:w="957"/>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r>
      <w:tr>
        <w:trPr>
          <w:cantSplit/>
          <w:tblHeader w:val="false"/>
        </w:trPr>
        <w:tc>
          <w:tcPr>
            <w:tcW w:type="dxa" w:w="47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w:t>
            </w:r>
          </w:p>
        </w:tc>
        <w:tc>
          <w:tcPr>
            <w:tcW w:type="dxa" w:w="862"/>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T04</w:t>
            </w:r>
          </w:p>
        </w:tc>
        <w:tc>
          <w:tcPr>
            <w:tcW w:type="dxa" w:w="2394"/>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Trạm tác chiến điện tử</w:t>
            </w:r>
          </w:p>
        </w:tc>
        <w:tc>
          <w:tcPr>
            <w:tcW w:type="dxa" w:w="2681"/>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Khí tài điện tử trên xe</w:t>
            </w:r>
          </w:p>
        </w:tc>
        <w:tc>
          <w:tcPr>
            <w:tcW w:type="dxa" w:w="1628"/>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26,7</w:t>
            </w:r>
          </w:p>
        </w:tc>
        <w:tc>
          <w:tcPr>
            <w:tcW w:type="dxa" w:w="957"/>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r>
      <w:tr>
        <w:trPr>
          <w:cantSplit/>
          <w:tblHeader w:val="false"/>
        </w:trPr>
        <w:tc>
          <w:tcPr>
            <w:tcW w:type="dxa" w:w="47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w:t>
            </w:r>
          </w:p>
        </w:tc>
        <w:tc>
          <w:tcPr>
            <w:tcW w:type="dxa" w:w="862"/>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T05</w:t>
            </w:r>
          </w:p>
        </w:tc>
        <w:tc>
          <w:tcPr>
            <w:tcW w:type="dxa" w:w="2394"/>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Kho nhiên liệu</w:t>
            </w:r>
          </w:p>
        </w:tc>
        <w:tc>
          <w:tcPr>
            <w:tcW w:type="dxa" w:w="2681"/>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Bồn chứa vỏ mỏng, dễ cháy</w:t>
            </w:r>
          </w:p>
        </w:tc>
        <w:tc>
          <w:tcPr>
            <w:tcW w:type="dxa" w:w="1628"/>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27,1</w:t>
            </w:r>
          </w:p>
        </w:tc>
        <w:tc>
          <w:tcPr>
            <w:tcW w:type="dxa" w:w="957"/>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r>
      <w:tr>
        <w:trPr>
          <w:cantSplit/>
          <w:tblHeader w:val="false"/>
        </w:trPr>
        <w:tc>
          <w:tcPr>
            <w:tcW w:type="dxa" w:w="47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w:t>
            </w:r>
          </w:p>
        </w:tc>
        <w:tc>
          <w:tcPr>
            <w:tcW w:type="dxa" w:w="862"/>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T03</w:t>
            </w:r>
          </w:p>
        </w:tc>
        <w:tc>
          <w:tcPr>
            <w:tcW w:type="dxa" w:w="2394"/>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Đài rada dự phòng</w:t>
            </w:r>
          </w:p>
        </w:tc>
        <w:tc>
          <w:tcPr>
            <w:tcW w:type="dxa" w:w="2681"/>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Khí tài điện tử, quy mô nhỏ</w:t>
            </w:r>
          </w:p>
        </w:tc>
        <w:tc>
          <w:tcPr>
            <w:tcW w:type="dxa" w:w="1628"/>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19,1</w:t>
            </w:r>
          </w:p>
        </w:tc>
        <w:tc>
          <w:tcPr>
            <w:tcW w:type="dxa" w:w="957"/>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w:t>
            </w:r>
          </w:p>
        </w:tc>
      </w:tr>
    </w:tbl>
    <w:p>
      <w:pPr>
        <w:spacing w:after="120" w:before="120" w:line="360"/>
        <w:ind w:firstLine="431"/>
        <w:jc w:val="both"/>
      </w:pPr>
      <w:r>
        <w:rPr>
          <w:rFonts w:ascii="Times New Roman" w:cs="Times New Roman" w:eastAsia="Times New Roman" w:hAnsi="Times New Roman"/>
          <w:sz w:val="26"/>
          <w:szCs w:val="26"/>
        </w:rPr>
        <w:t xml:space="preserve">Hai đặc điểm của thế bố trí này có ý nghĩa quyết định với bài toán. Thứ nhất, các mục tiêu thuộc bốn loại công trình khác nhau — công sự kiên cố, khí tài điện tử, xe bệ phóng và bồn chứa vỏ mỏng — nên hiệu quả của từng loại đầu đạn với từng mục tiêu rất khác nhau. Thứ hai, hai mục tiêu quan trọng là Trạm tác chiến điện tử và Kho nhiên liệu nằm ở chiều sâu gần hai mươi bảy ki-lô-mét, vượt tầm hoạt động của các phương tiện tầm ngắn.</w:t>
      </w:r>
    </w:p>
    <w:p>
      <w:pPr>
        <w:spacing w:after="120" w:before="0" w:line="360"/>
        <w:ind w:firstLine="431"/>
        <w:jc w:val="both"/>
      </w:pPr>
      <w:r>
        <w:rPr>
          <w:rFonts w:ascii="Times New Roman" w:cs="Times New Roman" w:eastAsia="Times New Roman" w:hAnsi="Times New Roman"/>
          <w:sz w:val="26"/>
          <w:szCs w:val="26"/>
        </w:rPr>
        <w:t xml:space="preserve">Trận địa phòng không của địch là hoả lực tầm thấp, bố trí bảo vệ cụm mục tiêu. Sự hiện diện của nó làm cho mỗi ki-lô-mét bay trong khu vực đều mang rủi ro tổn thất, và rủi ro này được đưa vào mô hình qua hệ số chi phí hành trình, trình bày ở mục 2.3.2.</w:t>
      </w:r>
    </w:p>
    <w:p>
      <w:pPr>
        <w:spacing w:after="120" w:before="80" w:line="360"/>
        <w:ind w:left="431"/>
        <w:jc w:val="both"/>
      </w:pPr>
      <w:r>
        <w:rPr>
          <w:rFonts w:ascii="Times New Roman" w:cs="Times New Roman" w:eastAsia="Times New Roman" w:hAnsi="Times New Roman"/>
          <w:b/>
          <w:bCs/>
          <w:color w:val="B03030"/>
          <w:sz w:val="26"/>
          <w:szCs w:val="26"/>
        </w:rPr>
        <w:t xml:space="preserve">[ CẦN BỔ SUNG ] </w:t>
      </w:r>
      <w:r>
        <w:rPr>
          <w:rFonts w:ascii="Times New Roman" w:cs="Times New Roman" w:eastAsia="Times New Roman" w:hAnsi="Times New Roman"/>
          <w:i/>
          <w:iCs/>
          <w:color w:val="B03030"/>
          <w:sz w:val="26"/>
          <w:szCs w:val="26"/>
        </w:rPr>
        <w:t xml:space="preserve">Bổ sung: phiên hiệu hoặc tên gọi các tổ chức địch; quân số ước tính; trang bị chủ yếu; quy luật hoạt động; nguồn tin trinh sát và thời điểm xác định mục tiêu.</w:t>
      </w:r>
    </w:p>
    <w:p>
      <w:pPr>
        <w:pBdr>
          <w:top w:val="dashed" w:color="C00000" w:sz="4" w:space="6"/>
          <w:bottom w:val="dashed" w:color="C00000" w:sz="4" w:space="6"/>
          <w:left w:val="dashed" w:color="C00000" w:sz="4" w:space="6"/>
          <w:right w:val="dashed" w:color="C00000" w:sz="4" w:space="6"/>
        </w:pBdr>
        <w:spacing w:after="160" w:before="160" w:line="300"/>
        <w:ind w:left="288" w:right="288"/>
        <w:jc w:val="left"/>
      </w:pPr>
      <w:r>
        <w:rPr>
          <w:rFonts w:ascii="Times New Roman" w:cs="Times New Roman" w:eastAsia="Times New Roman" w:hAnsi="Times New Roman"/>
          <w:b/>
          <w:bCs/>
          <w:i/>
          <w:iCs/>
          <w:color w:val="C00000"/>
          <w:sz w:val="24"/>
          <w:szCs w:val="24"/>
        </w:rPr>
        <w:t xml:space="preserve">[ CẦN HÌNH ]  </w:t>
      </w:r>
      <w:r>
        <w:rPr>
          <w:rFonts w:ascii="Times New Roman" w:cs="Times New Roman" w:eastAsia="Times New Roman" w:hAnsi="Times New Roman"/>
          <w:b/>
          <w:bCs/>
          <w:i/>
          <w:iCs/>
          <w:color w:val="C00000"/>
          <w:sz w:val="24"/>
          <w:szCs w:val="24"/>
        </w:rPr>
        <w:t xml:space="preserve">Hình 2.1 — </w:t>
      </w:r>
      <w:r>
        <w:rPr>
          <w:rFonts w:ascii="Times New Roman" w:cs="Times New Roman" w:eastAsia="Times New Roman" w:hAnsi="Times New Roman"/>
          <w:i/>
          <w:iCs/>
          <w:color w:val="C00000"/>
          <w:sz w:val="24"/>
          <w:szCs w:val="24"/>
        </w:rPr>
        <w:t xml:space="preserve">Sơ đồ tình huống chiến thuật: bản đồ khái lược địa bàn tác chiến, bố trí sáu mục tiêu địch, vị trí ba tổ UAV của ta, hướng tiến công chung. Dựng từ dữ liệu QGIS đã có trong thư mục Map_img, ký hiệu quân sự vẽ chồng lên nền địa hình.</w:t>
      </w:r>
    </w:p>
    <w:p>
      <w:pPr>
        <w:pStyle w:val="Heading3"/>
        <w:spacing w:after="160" w:before="280" w:line="360"/>
        <w:jc w:val="left"/>
      </w:pPr>
      <w:r>
        <w:rPr>
          <w:rFonts w:ascii="Times New Roman" w:cs="Times New Roman" w:eastAsia="Times New Roman" w:hAnsi="Times New Roman"/>
          <w:b/>
          <w:bCs/>
          <w:sz w:val="28"/>
          <w:szCs w:val="28"/>
        </w:rPr>
        <w:t xml:space="preserve">2.1.2. Tình hình ta và nhiệm vụ được giao</w:t>
      </w:r>
    </w:p>
    <w:p>
      <w:pPr>
        <w:spacing w:after="120" w:before="0" w:line="360"/>
        <w:ind w:firstLine="431"/>
        <w:jc w:val="both"/>
      </w:pPr>
      <w:r>
        <w:rPr>
          <w:rFonts w:ascii="Times New Roman" w:cs="Times New Roman" w:eastAsia="Times New Roman" w:hAnsi="Times New Roman"/>
          <w:sz w:val="26"/>
          <w:szCs w:val="26"/>
        </w:rPr>
        <w:t xml:space="preserve">Trung đoàn X được giao nhiệm vụ chủ trì, phối hợp với lực lượng bộ đội địa phương tiến hành chiến dịch tiêu diệt hệ thống căn cứ nói trên. Theo biên chế tăng cường, Trung đoàn được bổ sung một trung đội UAV gồm ba tổ, đóng quân tại ba vị trí phân tán ở phía đông khu vực tác chiến.</w:t>
      </w:r>
    </w:p>
    <w:p>
      <w:pPr>
        <w:spacing w:after="120" w:before="0" w:line="360"/>
        <w:ind w:firstLine="431"/>
        <w:jc w:val="both"/>
      </w:pPr>
      <w:r>
        <w:rPr>
          <w:rFonts w:ascii="Times New Roman" w:cs="Times New Roman" w:eastAsia="Times New Roman" w:hAnsi="Times New Roman"/>
          <w:sz w:val="26"/>
          <w:szCs w:val="26"/>
        </w:rPr>
        <w:t xml:space="preserve">Trung đội được biên chế mười lăm phương tiện thuộc sáu chủng loại, chia thành hai nhóm theo phương thức sử dụng: UAV cảm tử bay một chiều và tiêu hao cùng lần đánh, UAV chiến đấu phải bảo đảm hành trình khứ hồi.</w:t>
      </w:r>
    </w:p>
    <w:p>
      <w:pPr>
        <w:spacing w:after="80" w:before="120"/>
        <w:jc w:val="center"/>
      </w:pPr>
      <w:r>
        <w:rPr>
          <w:rFonts w:ascii="Times New Roman" w:cs="Times New Roman" w:eastAsia="Times New Roman" w:hAnsi="Times New Roman"/>
          <w:i/>
          <w:iCs/>
          <w:sz w:val="24"/>
          <w:szCs w:val="24"/>
        </w:rPr>
        <w:t xml:space="preserve">Bảng 2.2. Biên chế trung đội UAV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990"/>
        <w:gridCol w:w="1440"/>
        <w:gridCol w:w="2880"/>
        <w:gridCol w:w="1080"/>
        <w:gridCol w:w="1710"/>
      </w:tblGrid>
      <w:tr>
        <w:trPr>
          <w:cantSplit/>
          <w:tblHeader/>
        </w:trPr>
        <w:tc>
          <w:tcPr>
            <w:tcW w:type="dxa" w:w="9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Tổ</w:t>
            </w:r>
          </w:p>
        </w:tc>
        <w:tc>
          <w:tcPr>
            <w:tcW w:type="dxa" w:w="99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Ký hiệu</w:t>
            </w:r>
          </w:p>
        </w:tc>
        <w:tc>
          <w:tcPr>
            <w:tcW w:type="dxa" w:w="14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Phương thức</w:t>
            </w:r>
          </w:p>
        </w:tc>
        <w:tc>
          <w:tcPr>
            <w:tcW w:type="dxa" w:w="28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Phần chiến đấu</w:t>
            </w:r>
          </w:p>
        </w:tc>
        <w:tc>
          <w:tcPr>
            <w:tcW w:type="dxa" w:w="10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Số lượng</w:t>
            </w:r>
          </w:p>
        </w:tc>
        <w:tc>
          <w:tcPr>
            <w:tcW w:type="dxa" w:w="171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Tầm bay (km)</w:t>
            </w:r>
          </w:p>
        </w:tc>
      </w:tr>
      <w:tr>
        <w:trPr>
          <w:cantSplit/>
          <w:tblHeader w:val="false"/>
        </w:trPr>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Tổ 1</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B11</w:t>
            </w:r>
          </w:p>
        </w:tc>
        <w:tc>
          <w:tcPr>
            <w:tcW w:type="dxa" w:w="14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Cảm tử</w:t>
            </w:r>
          </w:p>
        </w:tc>
        <w:tc>
          <w:tcPr>
            <w:tcW w:type="dxa" w:w="28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Đầu nổ phá mảnh</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21</w:t>
            </w:r>
          </w:p>
        </w:tc>
      </w:tr>
      <w:tr>
        <w:trPr>
          <w:cantSplit/>
          <w:tblHeader w:val="false"/>
        </w:trPr>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C11</w:t>
            </w:r>
          </w:p>
        </w:tc>
        <w:tc>
          <w:tcPr>
            <w:tcW w:type="dxa" w:w="14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Chiến đấu</w:t>
            </w:r>
          </w:p>
        </w:tc>
        <w:tc>
          <w:tcPr>
            <w:tcW w:type="dxa" w:w="28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Tên lửa không đối đất</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44</w:t>
            </w:r>
          </w:p>
        </w:tc>
      </w:tr>
      <w:tr>
        <w:trPr>
          <w:cantSplit/>
          <w:tblHeader w:val="false"/>
        </w:trPr>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Tổ 2</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B21</w:t>
            </w:r>
          </w:p>
        </w:tc>
        <w:tc>
          <w:tcPr>
            <w:tcW w:type="dxa" w:w="14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Cảm tử</w:t>
            </w:r>
          </w:p>
        </w:tc>
        <w:tc>
          <w:tcPr>
            <w:tcW w:type="dxa" w:w="28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Đầu đạn chống tăng</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24</w:t>
            </w:r>
          </w:p>
        </w:tc>
      </w:tr>
      <w:tr>
        <w:trPr>
          <w:cantSplit/>
          <w:tblHeader w:val="false"/>
        </w:trPr>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C21</w:t>
            </w:r>
          </w:p>
        </w:tc>
        <w:tc>
          <w:tcPr>
            <w:tcW w:type="dxa" w:w="14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Chiến đấu</w:t>
            </w:r>
          </w:p>
        </w:tc>
        <w:tc>
          <w:tcPr>
            <w:tcW w:type="dxa" w:w="28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Tên lửa không đối đất</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56</w:t>
            </w:r>
          </w:p>
        </w:tc>
      </w:tr>
      <w:tr>
        <w:trPr>
          <w:cantSplit/>
          <w:tblHeader w:val="false"/>
        </w:trPr>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Tổ 3</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B31</w:t>
            </w:r>
          </w:p>
        </w:tc>
        <w:tc>
          <w:tcPr>
            <w:tcW w:type="dxa" w:w="14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Cảm tử</w:t>
            </w:r>
          </w:p>
        </w:tc>
        <w:tc>
          <w:tcPr>
            <w:tcW w:type="dxa" w:w="28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Đầu đạn nổ phá</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w:t>
            </w:r>
          </w:p>
        </w:tc>
      </w:tr>
      <w:tr>
        <w:trPr>
          <w:cantSplit/>
          <w:tblHeader w:val="false"/>
        </w:trPr>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C31</w:t>
            </w:r>
          </w:p>
        </w:tc>
        <w:tc>
          <w:tcPr>
            <w:tcW w:type="dxa" w:w="14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Chiến đấu</w:t>
            </w:r>
          </w:p>
        </w:tc>
        <w:tc>
          <w:tcPr>
            <w:tcW w:type="dxa" w:w="28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Tên lửa AGM-114</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60</w:t>
            </w:r>
          </w:p>
        </w:tc>
      </w:tr>
    </w:tbl>
    <w:p>
      <w:pPr>
        <w:spacing w:after="120" w:before="100" w:line="360"/>
        <w:ind w:firstLine="431"/>
        <w:jc w:val="both"/>
      </w:pPr>
      <w:r>
        <w:rPr>
          <w:rFonts w:ascii="Times New Roman" w:cs="Times New Roman" w:eastAsia="Times New Roman" w:hAnsi="Times New Roman"/>
          <w:sz w:val="26"/>
          <w:szCs w:val="26"/>
        </w:rPr>
        <w:t xml:space="preserve">Cần lưu ý rằng tầm bay ghi trong bảng là cự ly hoạt động tối đa. Với UAV chiến đấu phải quay về, cự ly tới mục tiêu chỉ được bằng một nửa con số đó. Chẳng hạn C11 có tầm bay 44 km nhưng chỉ đánh được mục tiêu cách không quá 22 km.</w:t>
      </w:r>
    </w:p>
    <w:p>
      <w:pPr>
        <w:spacing w:after="120" w:before="80" w:line="360"/>
        <w:ind w:left="431"/>
        <w:jc w:val="both"/>
      </w:pPr>
      <w:r>
        <w:rPr>
          <w:rFonts w:ascii="Times New Roman" w:cs="Times New Roman" w:eastAsia="Times New Roman" w:hAnsi="Times New Roman"/>
          <w:b/>
          <w:bCs/>
          <w:color w:val="B03030"/>
          <w:sz w:val="26"/>
          <w:szCs w:val="26"/>
        </w:rPr>
        <w:t xml:space="preserve">[ CẦN BỔ SUNG ] </w:t>
      </w:r>
      <w:r>
        <w:rPr>
          <w:rFonts w:ascii="Times New Roman" w:cs="Times New Roman" w:eastAsia="Times New Roman" w:hAnsi="Times New Roman"/>
          <w:i/>
          <w:iCs/>
          <w:color w:val="B03030"/>
          <w:sz w:val="26"/>
          <w:szCs w:val="26"/>
        </w:rPr>
        <w:t xml:space="preserve">Bổ sung: phiên hiệu thực của đơn vị; nhiệm vụ cụ thể của các cơ quan trung đoàn; lực lượng phối thuộc; công tác bảo đảm.</w:t>
      </w:r>
    </w:p>
    <w:p>
      <w:pPr>
        <w:pStyle w:val="Heading3"/>
        <w:spacing w:after="160" w:before="280" w:line="360"/>
        <w:jc w:val="left"/>
      </w:pPr>
      <w:r>
        <w:rPr>
          <w:rFonts w:ascii="Times New Roman" w:cs="Times New Roman" w:eastAsia="Times New Roman" w:hAnsi="Times New Roman"/>
          <w:b/>
          <w:bCs/>
          <w:sz w:val="28"/>
          <w:szCs w:val="28"/>
        </w:rPr>
        <w:t xml:space="preserve">2.1.3. Ý định chiến đấu</w:t>
      </w:r>
    </w:p>
    <w:p>
      <w:pPr>
        <w:spacing w:after="120" w:before="0" w:line="360"/>
        <w:ind w:firstLine="431"/>
        <w:jc w:val="both"/>
      </w:pPr>
      <w:r>
        <w:rPr>
          <w:rFonts w:ascii="Times New Roman" w:cs="Times New Roman" w:eastAsia="Times New Roman" w:hAnsi="Times New Roman"/>
          <w:sz w:val="26"/>
          <w:szCs w:val="26"/>
        </w:rPr>
        <w:t xml:space="preserve">Mục đích tiến công là tiêu diệt tối đa giá trị hệ thống mục tiêu trọng yếu của địch trong một đợt đánh, tạo điều kiện cho lực lượng mặt đất phát triển tiến công.</w:t>
      </w:r>
    </w:p>
    <w:p>
      <w:pPr>
        <w:spacing w:after="120" w:before="0" w:line="360"/>
        <w:ind w:firstLine="431"/>
        <w:jc w:val="both"/>
      </w:pPr>
      <w:r>
        <w:rPr>
          <w:rFonts w:ascii="Times New Roman" w:cs="Times New Roman" w:eastAsia="Times New Roman" w:hAnsi="Times New Roman"/>
          <w:sz w:val="26"/>
          <w:szCs w:val="26"/>
        </w:rPr>
        <w:t xml:space="preserve">Phương thức tác chiến là sử dụng toàn bộ đội hình UAV tiến công đồng loạt từ ba hướng, trong một đợt duy nhất. Lựa chọn đánh đồng loạt thay vì đánh nhiều đợt xuất phát từ hai lý do: bảo đảm bất ngờ, không cho địch kịp sơ tán khí tài hoặc kích hoạt hoả lực phòng không; và trong khung thời gian một đợt tiến công, phương tiện không kịp quay về tiếp nạp để đánh đợt hai.</w:t>
      </w:r>
    </w:p>
    <w:p>
      <w:pPr>
        <w:spacing w:after="120" w:before="0" w:line="360"/>
        <w:ind w:firstLine="431"/>
        <w:jc w:val="both"/>
      </w:pPr>
      <w:r>
        <w:rPr>
          <w:rFonts w:ascii="Times New Roman" w:cs="Times New Roman" w:eastAsia="Times New Roman" w:hAnsi="Times New Roman"/>
          <w:sz w:val="26"/>
          <w:szCs w:val="26"/>
        </w:rPr>
        <w:t xml:space="preserve">Nguyên tắc sử dụng lực lượng là tận dụng ưu thế của từng loại phần chiến đấu đối với từng loại mục tiêu, đồng thời tập trung hoả lực bảo đảm xác suất tiêu diệt cao cho các mục tiêu có giá trị lớn, chấp nhận bỏ qua mục tiêu giá trị thấp nếu nguồn lực không đủ.</w:t>
      </w:r>
    </w:p>
    <w:p>
      <w:pPr>
        <w:spacing w:after="120" w:before="80" w:line="360"/>
        <w:ind w:left="431"/>
        <w:jc w:val="both"/>
      </w:pPr>
      <w:r>
        <w:rPr>
          <w:rFonts w:ascii="Times New Roman" w:cs="Times New Roman" w:eastAsia="Times New Roman" w:hAnsi="Times New Roman"/>
          <w:b/>
          <w:bCs/>
          <w:color w:val="B03030"/>
          <w:sz w:val="26"/>
          <w:szCs w:val="26"/>
        </w:rPr>
        <w:t xml:space="preserve">[ CẦN BỔ SUNG ] </w:t>
      </w:r>
      <w:r>
        <w:rPr>
          <w:rFonts w:ascii="Times New Roman" w:cs="Times New Roman" w:eastAsia="Times New Roman" w:hAnsi="Times New Roman"/>
          <w:i/>
          <w:iCs/>
          <w:color w:val="B03030"/>
          <w:sz w:val="26"/>
          <w:szCs w:val="26"/>
        </w:rPr>
        <w:t xml:space="preserve">Bổ sung: thời gian nổ súng; hiệp đồng với các lực lượng khác; phương án xử trí tình huống.</w:t>
      </w:r>
    </w:p>
    <w:p>
      <w:pPr>
        <w:pStyle w:val="Heading3"/>
        <w:spacing w:after="160" w:before="280" w:line="360"/>
        <w:jc w:val="left"/>
      </w:pPr>
      <w:r>
        <w:rPr>
          <w:rFonts w:ascii="Times New Roman" w:cs="Times New Roman" w:eastAsia="Times New Roman" w:hAnsi="Times New Roman"/>
          <w:b/>
          <w:bCs/>
          <w:sz w:val="28"/>
          <w:szCs w:val="28"/>
        </w:rPr>
        <w:t xml:space="preserve">2.1.4. Nhiệm vụ của trung đội UAV</w:t>
      </w:r>
    </w:p>
    <w:p>
      <w:pPr>
        <w:spacing w:after="120" w:before="0" w:line="360"/>
        <w:ind w:firstLine="431"/>
        <w:jc w:val="both"/>
      </w:pPr>
      <w:r>
        <w:rPr>
          <w:rFonts w:ascii="Times New Roman" w:cs="Times New Roman" w:eastAsia="Times New Roman" w:hAnsi="Times New Roman"/>
          <w:sz w:val="26"/>
          <w:szCs w:val="26"/>
        </w:rPr>
        <w:t xml:space="preserve">Từ hệ thống mục tiêu đã xác định, trung đội phải xây dựng kế hoạch phân công cụ thể: xác định rõ phương tiện nào tiến công mục tiêu nào, tuyến bay tương ứng của từng phương tiện, và dự kiến kết quả tiêu diệt.</w:t>
      </w:r>
    </w:p>
    <w:p>
      <w:pPr>
        <w:spacing w:after="120" w:before="0" w:line="360"/>
        <w:ind w:firstLine="431"/>
        <w:jc w:val="both"/>
      </w:pPr>
      <w:r>
        <w:rPr>
          <w:rFonts w:ascii="Times New Roman" w:cs="Times New Roman" w:eastAsia="Times New Roman" w:hAnsi="Times New Roman"/>
          <w:sz w:val="26"/>
          <w:szCs w:val="26"/>
        </w:rPr>
        <w:t xml:space="preserve">Điểm khiến nhiệm vụ này trở thành một bài toán tối ưu chứ không phải phân công theo kinh nghiệm nằm ở ba yếu tố cùng lúc. Một là nguồn lực khan hiếm: mười lăm phương tiện cho sáu mục tiêu có tổng yêu cầu hoả lực gần bằng toàn bộ khả năng của trung đội, nên mỗi quyết định điều động đều có chi phí cơ hội. Hai là hiệu quả không đồng nhất: mỗi loại phần chiến đấu mạnh với loại mục tiêu này và yếu với loại khác, nên phép ghép cặp quyết định kết quả. Ba là ràng buộc không gian: hai mục tiêu ở chiều sâu chỉ một số phương tiện với tới được, thu hẹp đáng kể tập phương án khả thi.</w:t>
      </w:r>
    </w:p>
    <w:p>
      <w:pPr>
        <w:spacing w:after="120" w:before="0" w:line="360"/>
        <w:ind w:firstLine="431"/>
        <w:jc w:val="both"/>
      </w:pPr>
      <w:r>
        <w:rPr>
          <w:rFonts w:ascii="Times New Roman" w:cs="Times New Roman" w:eastAsia="Times New Roman" w:hAnsi="Times New Roman"/>
          <w:sz w:val="26"/>
          <w:szCs w:val="26"/>
        </w:rPr>
        <w:t xml:space="preserve">Ba yếu tố này hợp lại tạo ra một không gian phương án quá lớn để duyệt hết và quá phức tạp để phán đoán bằng kinh nghiệm. Nội dung các mục tiếp theo là chuyển nhiệm vụ trên thành bài toán toán học và xây dựng phương pháp giải.</w:t>
      </w:r>
    </w:p>
    <w:p>
      <w:pPr>
        <w:pStyle w:val="Heading2"/>
        <w:spacing w:after="160" w:before="280" w:line="360"/>
        <w:jc w:val="left"/>
      </w:pPr>
      <w:r>
        <w:rPr>
          <w:rFonts w:ascii="Times New Roman" w:cs="Times New Roman" w:eastAsia="Times New Roman" w:hAnsi="Times New Roman"/>
          <w:b/>
          <w:bCs/>
          <w:sz w:val="30"/>
          <w:szCs w:val="30"/>
        </w:rPr>
        <w:t xml:space="preserve">2.2. Phát biểu bài toán</w:t>
      </w:r>
    </w:p>
    <w:p>
      <w:pPr>
        <w:pStyle w:val="Heading3"/>
        <w:spacing w:after="160" w:before="280" w:line="360"/>
        <w:jc w:val="left"/>
      </w:pPr>
      <w:r>
        <w:rPr>
          <w:rFonts w:ascii="Times New Roman" w:cs="Times New Roman" w:eastAsia="Times New Roman" w:hAnsi="Times New Roman"/>
          <w:b/>
          <w:bCs/>
          <w:sz w:val="28"/>
          <w:szCs w:val="28"/>
        </w:rPr>
        <w:t xml:space="preserve">2.2.1. Yêu cầu đặt ra đối với người chỉ huy</w:t>
      </w:r>
    </w:p>
    <w:p>
      <w:pPr>
        <w:spacing w:after="120" w:before="0" w:line="360"/>
        <w:ind w:firstLine="431"/>
        <w:jc w:val="both"/>
      </w:pPr>
      <w:r>
        <w:rPr>
          <w:rFonts w:ascii="Times New Roman" w:cs="Times New Roman" w:eastAsia="Times New Roman" w:hAnsi="Times New Roman"/>
          <w:sz w:val="26"/>
          <w:szCs w:val="26"/>
        </w:rPr>
        <w:t xml:space="preserve">Trừu tượng hoá tình huống ở mục 2.1, nhiệm vụ đặt ra cho người chỉ huy trung đội UAV được phát biểu như sau.</w:t>
      </w:r>
    </w:p>
    <w:p>
      <w:pPr>
        <w:spacing w:after="120" w:before="0" w:line="360"/>
        <w:ind w:firstLine="431"/>
        <w:jc w:val="both"/>
      </w:pPr>
      <w:r>
        <w:rPr>
          <w:rFonts w:ascii="Times New Roman" w:cs="Times New Roman" w:eastAsia="Times New Roman" w:hAnsi="Times New Roman"/>
          <w:sz w:val="26"/>
          <w:szCs w:val="26"/>
        </w:rPr>
        <w:t xml:space="preserve">Bên ta có một lực lượng gồm nhiều phương tiện thuộc các chủng loại khác nhau. Mỗi phương tiện được đặc trưng bởi phần chiến đấu mang theo, lượng thuốc nổ, tầm hoạt động, phương thức sử dụng một chiều hay khứ hồi, chi phí một lần xuất kích, và vị trí xuất phát.</w:t>
      </w:r>
    </w:p>
    <w:p>
      <w:pPr>
        <w:spacing w:after="120" w:before="0" w:line="360"/>
        <w:ind w:firstLine="431"/>
        <w:jc w:val="both"/>
      </w:pPr>
      <w:r>
        <w:rPr>
          <w:rFonts w:ascii="Times New Roman" w:cs="Times New Roman" w:eastAsia="Times New Roman" w:hAnsi="Times New Roman"/>
          <w:sz w:val="26"/>
          <w:szCs w:val="26"/>
        </w:rPr>
        <w:t xml:space="preserve">Bên địch có một hệ thống mục tiêu đã được trinh sát xác định. Mỗi mục tiêu được đặc trưng bởi vị trí, giá trị quân sự, lượng thuốc nổ tối thiểu cần thiết để vô hiệu hoá, và độ ưu tiên.</w:t>
      </w:r>
    </w:p>
    <w:p>
      <w:pPr>
        <w:spacing w:after="120" w:before="0" w:line="360"/>
        <w:ind w:firstLine="431"/>
        <w:jc w:val="both"/>
      </w:pPr>
      <w:r>
        <w:rPr>
          <w:rFonts w:ascii="Times New Roman" w:cs="Times New Roman" w:eastAsia="Times New Roman" w:hAnsi="Times New Roman"/>
          <w:sz w:val="26"/>
          <w:szCs w:val="26"/>
        </w:rPr>
        <w:t xml:space="preserve">Mỗi cặp phương tiện – mục tiêu có một xác suất tiêu diệt phản ánh mức độ phù hợp của phần chiến đấu với loại công trình, và một cự ly bay xác định trên đồ thị hành lang bay.</w:t>
      </w:r>
    </w:p>
    <w:p>
      <w:pPr>
        <w:spacing w:after="120" w:before="0" w:line="360"/>
        <w:ind w:firstLine="431"/>
        <w:jc w:val="both"/>
      </w:pPr>
      <w:r>
        <w:rPr>
          <w:rFonts w:ascii="Times New Roman" w:cs="Times New Roman" w:eastAsia="Times New Roman" w:hAnsi="Times New Roman"/>
          <w:sz w:val="26"/>
          <w:szCs w:val="26"/>
        </w:rPr>
        <w:t xml:space="preserve">Yêu cầu: quyết định phương tiện nào tiến công mục tiêu nào, và mục tiêu nào đưa vào kế hoạch, sao cho hiệu quả tiến công đạt lớn nhất, đồng thời không vượt quá ngân sách chiến dịch được cấp, mỗi phương tiện chỉ xuất kích một lần, mục tiêu được chọn đánh phải nhận đủ lượng thuốc nổ yêu cầu, và chỉ giao nhiệm vụ trong phạm vi tầm hoạt động.</w:t>
      </w:r>
    </w:p>
    <w:p>
      <w:pPr>
        <w:pStyle w:val="Heading3"/>
        <w:spacing w:after="160" w:before="280" w:line="360"/>
        <w:jc w:val="left"/>
      </w:pPr>
      <w:r>
        <w:rPr>
          <w:rFonts w:ascii="Times New Roman" w:cs="Times New Roman" w:eastAsia="Times New Roman" w:hAnsi="Times New Roman"/>
          <w:b/>
          <w:bCs/>
          <w:sz w:val="28"/>
          <w:szCs w:val="28"/>
        </w:rPr>
        <w:t xml:space="preserve">2.2.2. Lựa chọn tiêu chuẩn hiệu quả</w:t>
      </w:r>
    </w:p>
    <w:p>
      <w:pPr>
        <w:spacing w:after="120" w:before="0" w:line="360"/>
        <w:ind w:firstLine="431"/>
        <w:jc w:val="both"/>
      </w:pPr>
      <w:r>
        <w:rPr>
          <w:rFonts w:ascii="Times New Roman" w:cs="Times New Roman" w:eastAsia="Times New Roman" w:hAnsi="Times New Roman"/>
          <w:sz w:val="26"/>
          <w:szCs w:val="26"/>
        </w:rPr>
        <w:t xml:space="preserve">Theo bốn tiêu chí nêu ở mục 1.3.3, các tiêu chuẩn hiệu quả khả dĩ được xem xét như sau.</w:t>
      </w:r>
    </w:p>
    <w:p>
      <w:pPr>
        <w:spacing w:after="80" w:before="120"/>
        <w:jc w:val="center"/>
      </w:pPr>
      <w:r>
        <w:rPr>
          <w:rFonts w:ascii="Times New Roman" w:cs="Times New Roman" w:eastAsia="Times New Roman" w:hAnsi="Times New Roman"/>
          <w:i/>
          <w:iCs/>
          <w:sz w:val="24"/>
          <w:szCs w:val="24"/>
        </w:rPr>
        <w:t xml:space="preserve">Bảng 2.3. Đánh giá các tiêu chuẩn hiệu quả cho nhiệm vụ đang xét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160"/>
      </w:tblGrid>
      <w:tr>
        <w:trPr>
          <w:cantSplit/>
          <w:tblHeader/>
        </w:trPr>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Tiêu chuẩn hiệu quả</w:t>
            </w:r>
          </w:p>
        </w:tc>
        <w:tc>
          <w:tcPr>
            <w:tcW w:type="dxa" w:w="46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Nhận xét</w:t>
            </w:r>
          </w:p>
        </w:tc>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Kết luận</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Số mục tiêu bị vô hiệu hoá</w:t>
            </w:r>
          </w:p>
        </w:tc>
        <w:tc>
          <w:tcPr>
            <w:tcW w:type="dxa" w:w="46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Sáu mục tiêu có giá trị chênh nhau hơn ba lần (từ 300 đến 1000). Đếm số lượng coi Sở chỉ huy địch ngang với Đài rada dự phòng — không phản ánh đúng mục đích nhiệm vụ.</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Loại</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Thời gian hoàn thành</w:t>
            </w:r>
          </w:p>
        </w:tc>
        <w:tc>
          <w:tcPr>
            <w:tcW w:type="dxa" w:w="46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Hệ thống mục tiêu là công trình cố định, không cơ động. Đội hình lại tiến công đồng loạt nên thời gian gần như nhau giữa các phương án — không phân biệt được phương án.</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Loại</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Khả năng sống sót của phương tiện</w:t>
            </w:r>
          </w:p>
        </w:tc>
        <w:tc>
          <w:tcPr>
            <w:tcW w:type="dxa" w:w="46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Phần lớn lực lượng là UAV cảm tử, vốn bị tiêu hao theo thiết kế. Bảo toàn phương tiện không phải mục đích của đợt đánh.</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Loại, nhưng đưa yếu tố rủi ro vào chi phí hành trình</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Chi phí trên một đơn vị giá trị tiêu diệt</w:t>
            </w:r>
          </w:p>
        </w:tc>
        <w:tc>
          <w:tcPr>
            <w:tcW w:type="dxa" w:w="46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Là tỉ số, không đơn trị theo nghĩa cực trị: phương án chỉ đánh một mục tiêu rẻ có thể cho tỉ số rất tốt nhưng bỏ sót toàn bộ hệ thống mục tiêu.</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Loại, nhưng giữ chi phí làm ràng buộc</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Tổng giá trị kỳ vọng tiêu diệt được</w:t>
            </w:r>
          </w:p>
        </w:tc>
        <w:tc>
          <w:tcPr>
            <w:tcW w:type="dxa" w:w="46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Tính được từ giá trị mục tiêu và xác suất tiêu diệt — đều là số liệu cơ quan tham mưu cung cấp. Phân biệt rõ các phương án. Phản ánh đúng mục đích tiêu diệt tối đa giá trị hệ thống mục tiêu.</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CHỌN</w:t>
            </w:r>
          </w:p>
        </w:tc>
      </w:tr>
    </w:tbl>
    <w:p>
      <w:pPr>
        <w:spacing w:after="120" w:before="120" w:line="360"/>
        <w:ind w:firstLine="431"/>
        <w:jc w:val="both"/>
      </w:pPr>
      <w:r>
        <w:rPr>
          <w:rFonts w:ascii="Times New Roman" w:cs="Times New Roman" w:eastAsia="Times New Roman" w:hAnsi="Times New Roman"/>
          <w:sz w:val="26"/>
          <w:szCs w:val="26"/>
        </w:rPr>
        <w:t xml:space="preserve">Như vậy tiêu chuẩn hiệu quả được chọn là tổng giá trị kỳ vọng của các mục tiêu bị tiêu diệt. Hai tiêu chuẩn bị loại nhưng không bị bỏ đi: yếu tố rủi ro tổn thất được đưa vào hệ số chi phí hành trình, còn chi phí được giữ lại dưới dạng ràng buộc ngân sách. Đây chính là vận dụng nhận xét ở mục 1.3.4 — đại lượng không làm hàm mục tiêu thì làm ràng buộc.</w:t>
      </w:r>
    </w:p>
    <w:p>
      <w:pPr>
        <w:pStyle w:val="Heading3"/>
        <w:spacing w:after="160" w:before="280" w:line="360"/>
        <w:jc w:val="left"/>
      </w:pPr>
      <w:r>
        <w:rPr>
          <w:rFonts w:ascii="Times New Roman" w:cs="Times New Roman" w:eastAsia="Times New Roman" w:hAnsi="Times New Roman"/>
          <w:b/>
          <w:bCs/>
          <w:sz w:val="28"/>
          <w:szCs w:val="28"/>
        </w:rPr>
        <w:t xml:space="preserve">2.2.3. Các giả thiết của mô hình</w:t>
      </w:r>
    </w:p>
    <w:p>
      <w:pPr>
        <w:spacing w:after="40" w:before="0" w:line="360"/>
        <w:ind w:firstLine="431"/>
        <w:jc w:val="both"/>
      </w:pPr>
      <w:r>
        <w:rPr>
          <w:rFonts w:ascii="Times New Roman" w:cs="Times New Roman" w:eastAsia="Times New Roman" w:hAnsi="Times New Roman"/>
          <w:b/>
          <w:bCs/>
          <w:sz w:val="26"/>
          <w:szCs w:val="26"/>
        </w:rPr>
        <w:t xml:space="preserve">GT1. Mỗi phương tiện xuất kích tối đa một lần trong toàn chiến dịch.</w:t>
      </w:r>
    </w:p>
    <w:p>
      <w:pPr>
        <w:spacing w:after="110" w:before="0" w:line="360"/>
        <w:ind w:left="431"/>
        <w:jc w:val="both"/>
      </w:pPr>
      <w:r>
        <w:rPr>
          <w:rFonts w:ascii="Times New Roman" w:cs="Times New Roman" w:eastAsia="Times New Roman" w:hAnsi="Times New Roman"/>
          <w:sz w:val="26"/>
          <w:szCs w:val="26"/>
        </w:rPr>
        <w:t xml:space="preserve">UAV cảm tử bị tiêu hao ngay sau lần đánh. UAV chiến đấu cần thời gian tiếp dầu và nạp vũ khí vượt quá khung thời gian của một đợt tiến công đồng loạt.</w:t>
      </w:r>
    </w:p>
    <w:p>
      <w:pPr>
        <w:spacing w:after="40" w:before="0" w:line="360"/>
        <w:ind w:firstLine="431"/>
        <w:jc w:val="both"/>
      </w:pPr>
      <w:r>
        <w:rPr>
          <w:rFonts w:ascii="Times New Roman" w:cs="Times New Roman" w:eastAsia="Times New Roman" w:hAnsi="Times New Roman"/>
          <w:b/>
          <w:bCs/>
          <w:sz w:val="26"/>
          <w:szCs w:val="26"/>
        </w:rPr>
        <w:t xml:space="preserve">GT2. Các sự kiện tiêu diệt là độc lập.</w:t>
      </w:r>
    </w:p>
    <w:p>
      <w:pPr>
        <w:spacing w:after="110" w:before="0" w:line="360"/>
        <w:ind w:left="431"/>
        <w:jc w:val="both"/>
      </w:pPr>
      <w:r>
        <w:rPr>
          <w:rFonts w:ascii="Times New Roman" w:cs="Times New Roman" w:eastAsia="Times New Roman" w:hAnsi="Times New Roman"/>
          <w:sz w:val="26"/>
          <w:szCs w:val="26"/>
        </w:rPr>
        <w:t xml:space="preserve">Xác suất mục tiêu sống sót trước một nhóm phương tiện bằng tích các xác suất sống sót thành phần. Đây là giả thiết chuẩn của lớp bài toán phân công vũ khí – mục tiêu, đã nêu ở mục 1.2.1.</w:t>
      </w:r>
    </w:p>
    <w:p>
      <w:pPr>
        <w:spacing w:after="40" w:before="0" w:line="360"/>
        <w:ind w:firstLine="431"/>
        <w:jc w:val="both"/>
      </w:pPr>
      <w:r>
        <w:rPr>
          <w:rFonts w:ascii="Times New Roman" w:cs="Times New Roman" w:eastAsia="Times New Roman" w:hAnsi="Times New Roman"/>
          <w:b/>
          <w:bCs/>
          <w:sz w:val="26"/>
          <w:szCs w:val="26"/>
        </w:rPr>
        <w:t xml:space="preserve">GT3. Xác suất tiêu diệt của từng cặp phương tiện – mục tiêu được cho trước.</w:t>
      </w:r>
    </w:p>
    <w:p>
      <w:pPr>
        <w:spacing w:after="110" w:before="0" w:line="360"/>
        <w:ind w:left="431"/>
        <w:jc w:val="both"/>
      </w:pPr>
      <w:r>
        <w:rPr>
          <w:rFonts w:ascii="Times New Roman" w:cs="Times New Roman" w:eastAsia="Times New Roman" w:hAnsi="Times New Roman"/>
          <w:sz w:val="26"/>
          <w:szCs w:val="26"/>
        </w:rPr>
        <w:t xml:space="preserve">Giá trị này lấy từ bảng hiệu quả sát thương của từng loại phần chiến đấu đối với từng loại công trình.</w:t>
      </w:r>
    </w:p>
    <w:p>
      <w:pPr>
        <w:spacing w:after="40" w:before="0" w:line="360"/>
        <w:ind w:firstLine="431"/>
        <w:jc w:val="both"/>
      </w:pPr>
      <w:r>
        <w:rPr>
          <w:rFonts w:ascii="Times New Roman" w:cs="Times New Roman" w:eastAsia="Times New Roman" w:hAnsi="Times New Roman"/>
          <w:b/>
          <w:bCs/>
          <w:sz w:val="26"/>
          <w:szCs w:val="26"/>
        </w:rPr>
        <w:t xml:space="preserve">GT4. Một mục tiêu chỉ được đưa vào kế hoạch khi nhận đủ lượng thuốc nổ yêu cầu.</w:t>
      </w:r>
    </w:p>
    <w:p>
      <w:pPr>
        <w:spacing w:after="110" w:before="0" w:line="360"/>
        <w:ind w:left="431"/>
        <w:jc w:val="both"/>
      </w:pPr>
      <w:r>
        <w:rPr>
          <w:rFonts w:ascii="Times New Roman" w:cs="Times New Roman" w:eastAsia="Times New Roman" w:hAnsi="Times New Roman"/>
          <w:sz w:val="26"/>
          <w:szCs w:val="26"/>
        </w:rPr>
        <w:t xml:space="preserve">Phân công thiếu hoả lực không hạ được mục tiêu, đồng thời làm lộ ý định tác chiến và tiêu hao lực lượng vô ích.</w:t>
      </w:r>
    </w:p>
    <w:p>
      <w:pPr>
        <w:spacing w:after="110" w:before="0" w:line="360"/>
        <w:ind w:firstLine="431"/>
        <w:jc w:val="both"/>
      </w:pPr>
      <w:r>
        <w:rPr>
          <w:rFonts w:ascii="Times New Roman" w:cs="Times New Roman" w:eastAsia="Times New Roman" w:hAnsi="Times New Roman"/>
          <w:b/>
          <w:bCs/>
          <w:sz w:val="26"/>
          <w:szCs w:val="26"/>
        </w:rPr>
        <w:t xml:space="preserve">GT5. Đường bay là đường đi ngắn nhất trên đồ thị hành lang bay từ vị trí tổ tới mục tiêu.</w:t>
      </w:r>
    </w:p>
    <w:p>
      <w:pPr>
        <w:spacing w:after="110" w:before="0" w:line="360"/>
        <w:ind w:firstLine="431"/>
        <w:jc w:val="both"/>
      </w:pPr>
      <w:r>
        <w:rPr>
          <w:rFonts w:ascii="Times New Roman" w:cs="Times New Roman" w:eastAsia="Times New Roman" w:hAnsi="Times New Roman"/>
          <w:b/>
          <w:bCs/>
          <w:sz w:val="26"/>
          <w:szCs w:val="26"/>
        </w:rPr>
        <w:t xml:space="preserve">GT6. UAV cảm tử bay hành trình một chiều; UAV chiến đấu phải bảo đảm hành trình khứ hồi.</w:t>
      </w:r>
    </w:p>
    <w:p>
      <w:pPr>
        <w:spacing w:after="40" w:before="0" w:line="360"/>
        <w:ind w:firstLine="431"/>
        <w:jc w:val="both"/>
      </w:pPr>
      <w:r>
        <w:rPr>
          <w:rFonts w:ascii="Times New Roman" w:cs="Times New Roman" w:eastAsia="Times New Roman" w:hAnsi="Times New Roman"/>
          <w:b/>
          <w:bCs/>
          <w:sz w:val="26"/>
          <w:szCs w:val="26"/>
        </w:rPr>
        <w:t xml:space="preserve">GT7. Chi phí xuất kích gồm chi phí cố định của phương tiện cộng chi phí hành trình tỉ lệ với cự ly bay.</w:t>
      </w:r>
    </w:p>
    <w:p>
      <w:pPr>
        <w:spacing w:after="110" w:before="0" w:line="360"/>
        <w:ind w:left="431"/>
        <w:jc w:val="both"/>
      </w:pPr>
      <w:r>
        <w:rPr>
          <w:rFonts w:ascii="Times New Roman" w:cs="Times New Roman" w:eastAsia="Times New Roman" w:hAnsi="Times New Roman"/>
          <w:sz w:val="26"/>
          <w:szCs w:val="26"/>
        </w:rPr>
        <w:t xml:space="preserve">Chi phí hành trình bao gồm tiêu hao nhiên liệu, hao mòn khí tài và rủi ro tổn thất do phơi mình trước hoả lực phòng không địch.</w:t>
      </w:r>
    </w:p>
    <w:p>
      <w:pPr>
        <w:spacing w:after="40" w:before="0" w:line="360"/>
        <w:ind w:firstLine="431"/>
        <w:jc w:val="both"/>
      </w:pPr>
      <w:r>
        <w:rPr>
          <w:rFonts w:ascii="Times New Roman" w:cs="Times New Roman" w:eastAsia="Times New Roman" w:hAnsi="Times New Roman"/>
          <w:b/>
          <w:bCs/>
          <w:sz w:val="26"/>
          <w:szCs w:val="26"/>
        </w:rPr>
        <w:t xml:space="preserve">GT8. Hệ thống mục tiêu cố định và đã được xác định chính xác trước khi lập kế hoạch.</w:t>
      </w:r>
    </w:p>
    <w:p>
      <w:pPr>
        <w:spacing w:after="110" w:before="0" w:line="360"/>
        <w:ind w:left="431"/>
        <w:jc w:val="both"/>
      </w:pPr>
      <w:r>
        <w:rPr>
          <w:rFonts w:ascii="Times New Roman" w:cs="Times New Roman" w:eastAsia="Times New Roman" w:hAnsi="Times New Roman"/>
          <w:sz w:val="26"/>
          <w:szCs w:val="26"/>
        </w:rPr>
        <w:t xml:space="preserve">Đề tài không xét mục tiêu cơ động, không xét sai số trinh sát và không xét tác chiến điện tử của đối phương.</w:t>
      </w:r>
    </w:p>
    <w:p>
      <w:pPr>
        <w:pStyle w:val="Heading3"/>
        <w:spacing w:after="160" w:before="280" w:line="360"/>
        <w:jc w:val="left"/>
      </w:pPr>
      <w:r>
        <w:rPr>
          <w:rFonts w:ascii="Times New Roman" w:cs="Times New Roman" w:eastAsia="Times New Roman" w:hAnsi="Times New Roman"/>
          <w:b/>
          <w:bCs/>
          <w:sz w:val="28"/>
          <w:szCs w:val="28"/>
        </w:rPr>
        <w:t xml:space="preserve">2.2.4. Dữ liệu đầu vào và nguồn gốc</w:t>
      </w:r>
    </w:p>
    <w:p>
      <w:pPr>
        <w:spacing w:after="120" w:before="0" w:line="360"/>
        <w:ind w:firstLine="431"/>
        <w:jc w:val="both"/>
      </w:pPr>
      <w:r>
        <w:rPr>
          <w:rFonts w:ascii="Times New Roman" w:cs="Times New Roman" w:eastAsia="Times New Roman" w:hAnsi="Times New Roman"/>
          <w:sz w:val="26"/>
          <w:szCs w:val="26"/>
        </w:rPr>
        <w:t xml:space="preserve">Mô hình cần bốn nhóm dữ liệu. Việc xác định rõ nguồn gốc từng nhóm là cần thiết, vì đây là căn cứ để đánh giá độ tin cậy của kết quả.</w:t>
      </w:r>
    </w:p>
    <w:p>
      <w:pPr>
        <w:spacing w:after="80" w:before="120"/>
        <w:jc w:val="center"/>
      </w:pPr>
      <w:r>
        <w:rPr>
          <w:rFonts w:ascii="Times New Roman" w:cs="Times New Roman" w:eastAsia="Times New Roman" w:hAnsi="Times New Roman"/>
          <w:i/>
          <w:iCs/>
          <w:sz w:val="24"/>
          <w:szCs w:val="24"/>
        </w:rPr>
        <w:t xml:space="preserve">Bảng 2.4. Các nhóm dữ liệu đầu vào và nguồn gốc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3420"/>
        <w:gridCol w:w="3600"/>
      </w:tblGrid>
      <w:tr>
        <w:trPr>
          <w:cantSplit/>
          <w:tblHeader/>
        </w:trPr>
        <w:tc>
          <w:tcPr>
            <w:tcW w:type="dxa" w:w="19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Nhóm</w:t>
            </w:r>
          </w:p>
        </w:tc>
        <w:tc>
          <w:tcPr>
            <w:tcW w:type="dxa" w:w="34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Đại lượng</w:t>
            </w:r>
          </w:p>
        </w:tc>
        <w:tc>
          <w:tcPr>
            <w:tcW w:type="dxa" w:w="36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Nguồn cung cấp trong thực tế</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A. Lý lịch kỹ thuật khí tài</w:t>
            </w:r>
          </w:p>
        </w:tc>
        <w:tc>
          <w:tcPr>
            <w:tcW w:type="dxa" w:w="34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Tầm bay, tốc độ, lượng thuốc nổ, bán kính sát thương, giá trị phương tiện, số lượng</w:t>
            </w:r>
          </w:p>
        </w:tc>
        <w:tc>
          <w:tcPr>
            <w:tcW w:type="dxa" w:w="36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Tài liệu kỹ thuật của khí tài và bảng biên chế trang bị của đơn vị</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 Tài liệu trinh sát và quyết tâm chiến đấu</w:t>
            </w:r>
          </w:p>
        </w:tc>
        <w:tc>
          <w:tcPr>
            <w:tcW w:type="dxa" w:w="34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Toạ độ mục tiêu, tính chất công trình, lượng thuốc nổ yêu cầu, giá trị quân sự, độ ưu tiên</w:t>
            </w:r>
          </w:p>
        </w:tc>
        <w:tc>
          <w:tcPr>
            <w:tcW w:type="dxa" w:w="36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Cơ quan trinh sát cung cấp toạ độ và tính chất công trình; giá trị và độ ưu tiên do người chỉ huy xác định theo ý định chiến đấu</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 Bảng hiệu quả sát thương</w:t>
            </w:r>
          </w:p>
        </w:tc>
        <w:tc>
          <w:tcPr>
            <w:tcW w:type="dxa" w:w="34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Xác suất tiêu diệt của từng loại phần chiến đấu với từng loại công trình</w:t>
            </w:r>
          </w:p>
        </w:tc>
        <w:tc>
          <w:tcPr>
            <w:tcW w:type="dxa" w:w="36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Cơ quan quân khí, trên cơ sở kết quả bắn thử nghiệm và tổng kết chiến đấu</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D. Tham số điều khiển</w:t>
            </w:r>
          </w:p>
        </w:tc>
        <w:tc>
          <w:tcPr>
            <w:tcW w:type="dxa" w:w="34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Ngân sách chiến dịch, hệ số chi phí hành trình</w:t>
            </w:r>
          </w:p>
        </w:tc>
        <w:tc>
          <w:tcPr>
            <w:tcW w:type="dxa" w:w="36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Ngân sách do cấp trên ấn định; hệ số chi phí hành trình xác định theo đánh giá mật độ hoả lực phòng không của địch trong khu vực</w:t>
            </w:r>
          </w:p>
        </w:tc>
      </w:tr>
    </w:tbl>
    <w:p>
      <w:pPr>
        <w:spacing w:after="120" w:before="120" w:line="360"/>
        <w:ind w:firstLine="431"/>
        <w:jc w:val="both"/>
      </w:pPr>
      <w:r>
        <w:rPr>
          <w:rFonts w:ascii="Times New Roman" w:cs="Times New Roman" w:eastAsia="Times New Roman" w:hAnsi="Times New Roman"/>
          <w:sz w:val="26"/>
          <w:szCs w:val="26"/>
        </w:rPr>
        <w:t xml:space="preserve">Bộ số liệu sử dụng trong đề tài là số liệu giả định phục vụ kiểm chứng mô hình và thuật toán, được xây dựng đúng theo cấu trúc, thứ nguyên và quan hệ của số liệu thực tế. Khi triển khai, đơn vị thay bằng số liệu thật từ bốn nguồn nêu trên; mô hình toán học và chương trình tính toán không phải thay đổi. Chi tiết bộ số liệu thử nghiệm được trình bày ở mục 3.6.</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2026-09-21T16:11:53.882Z</dcterms:created>
  <dcterms:modified xsi:type="dcterms:W3CDTF">2026-09-21T16:11:53.882Z</dcterms:modified>
</cp:coreProperties>
</file>

<file path=docProps/custom.xml><?xml version="1.0" encoding="utf-8"?>
<Properties xmlns="http://schemas.openxmlformats.org/officeDocument/2006/custom-properties" xmlns:vt="http://schemas.openxmlformats.org/officeDocument/2006/docPropsVTypes"/>
</file>