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0" w:line="360"/>
        <w:jc w:val="center"/>
      </w:pPr>
      <w:r>
        <w:rPr>
          <w:rFonts w:ascii="Times New Roman" w:cs="Times New Roman" w:eastAsia="Times New Roman" w:hAnsi="Times New Roman"/>
          <w:b/>
          <w:bCs/>
          <w:sz w:val="32"/>
          <w:szCs w:val="32"/>
        </w:rPr>
        <w:t xml:space="preserve">KẾT LUẬN VÀ KIẾN NGHỊ</w:t>
      </w:r>
    </w:p>
    <w:p>
      <w:pPr>
        <w:pStyle w:val="Heading2"/>
        <w:spacing w:after="160" w:before="280" w:line="360"/>
        <w:jc w:val="left"/>
      </w:pPr>
      <w:r>
        <w:rPr>
          <w:rFonts w:ascii="Times New Roman" w:cs="Times New Roman" w:eastAsia="Times New Roman" w:hAnsi="Times New Roman"/>
          <w:b/>
          <w:bCs/>
          <w:sz w:val="30"/>
          <w:szCs w:val="30"/>
        </w:rPr>
        <w:t xml:space="preserve">1. Kết quả đạt được</w:t>
      </w:r>
    </w:p>
    <w:p>
      <w:pPr>
        <w:spacing w:after="120" w:before="0" w:line="360"/>
        <w:ind w:firstLine="431"/>
        <w:jc w:val="both"/>
      </w:pPr>
      <w:r>
        <w:rPr>
          <w:rFonts w:ascii="Times New Roman" w:cs="Times New Roman" w:eastAsia="Times New Roman" w:hAnsi="Times New Roman"/>
          <w:sz w:val="26"/>
          <w:szCs w:val="26"/>
        </w:rPr>
        <w:t xml:space="preserve">Đề tài đã giải quyết trọn vẹn nhiệm vụ đặt ra ở phần Mở đầu, với các kết quả cụ thể sau.</w:t>
      </w:r>
    </w:p>
    <w:p>
      <w:pPr>
        <w:spacing w:after="100" w:before="0" w:line="360"/>
        <w:ind w:firstLine="431"/>
        <w:jc w:val="both"/>
      </w:pPr>
      <w:r>
        <w:rPr>
          <w:rFonts w:ascii="Times New Roman" w:cs="Times New Roman" w:eastAsia="Times New Roman" w:hAnsi="Times New Roman"/>
          <w:b/>
          <w:bCs/>
          <w:sz w:val="26"/>
          <w:szCs w:val="26"/>
        </w:rPr>
        <w:t xml:space="preserve">Một là, xây dựng mô hình toán học hoàn chỉnh cho bài toán phân công phương tiện bay không người lái tiến công hệ thống mục tiêu. </w:t>
      </w:r>
      <w:r>
        <w:rPr>
          <w:rFonts w:ascii="Times New Roman" w:cs="Times New Roman" w:eastAsia="Times New Roman" w:hAnsi="Times New Roman"/>
          <w:sz w:val="26"/>
          <w:szCs w:val="26"/>
        </w:rPr>
        <w:t xml:space="preserve">Mô hình gồm hàm mục tiêu cực đại kỳ vọng giá trị tiêu diệt và năm ràng buộc phản ánh các giới hạn thực tế về hậu cần, tổ chức, hoả lực, kế hoạch và kỹ thuật. Điểm khác biệt so với các mô hình phân công vũ khí kinh điển là việc đưa vào biến chọn mục tiêu yⱼ, cho phép người chỉ huy chủ động loại bỏ mục tiêu không đáng tiến công thay vì buộc phải đánh toàn bộ.</w:t>
      </w:r>
    </w:p>
    <w:p>
      <w:pPr>
        <w:spacing w:after="100" w:before="0" w:line="360"/>
        <w:ind w:firstLine="431"/>
        <w:jc w:val="both"/>
      </w:pPr>
      <w:r>
        <w:rPr>
          <w:rFonts w:ascii="Times New Roman" w:cs="Times New Roman" w:eastAsia="Times New Roman" w:hAnsi="Times New Roman"/>
          <w:b/>
          <w:bCs/>
          <w:sz w:val="26"/>
          <w:szCs w:val="26"/>
        </w:rPr>
        <w:t xml:space="preserve">Hai là, chứng minh bài toán thuộc lớp NP-khó bằng hai phép quy dẫn độc lập. </w:t>
      </w:r>
      <w:r>
        <w:rPr>
          <w:rFonts w:ascii="Times New Roman" w:cs="Times New Roman" w:eastAsia="Times New Roman" w:hAnsi="Times New Roman"/>
          <w:sz w:val="26"/>
          <w:szCs w:val="26"/>
        </w:rPr>
        <w:t xml:space="preserve">Phép thứ nhất quy về bài toán Cái túi 0–1 bằng cách lấy logarit hàm mục tiêu; phép thứ hai quy về bài toán Phân hoạch bằng cách vô hiệu hoá ràng buộc ngân sách. Kết quả này là cơ sở lý luận cho việc lựa chọn thuật toán xấp xỉ, thay vì chỉ viện dẫn lý do thiếu năng lực tính toán.</w:t>
      </w:r>
    </w:p>
    <w:p>
      <w:pPr>
        <w:spacing w:after="100" w:before="0" w:line="360"/>
        <w:ind w:firstLine="431"/>
        <w:jc w:val="both"/>
      </w:pPr>
      <w:r>
        <w:rPr>
          <w:rFonts w:ascii="Times New Roman" w:cs="Times New Roman" w:eastAsia="Times New Roman" w:hAnsi="Times New Roman"/>
          <w:b/>
          <w:bCs/>
          <w:sz w:val="26"/>
          <w:szCs w:val="26"/>
        </w:rPr>
        <w:t xml:space="preserve">Ba là, xây dựng thuật toán di truyền có toán tử sửa chữa bốn bước thay cho hàm phạt. </w:t>
      </w:r>
      <w:r>
        <w:rPr>
          <w:rFonts w:ascii="Times New Roman" w:cs="Times New Roman" w:eastAsia="Times New Roman" w:hAnsi="Times New Roman"/>
          <w:sz w:val="26"/>
          <w:szCs w:val="26"/>
        </w:rPr>
        <w:t xml:space="preserve">Toán tử sửa chữa đưa mọi cá thể về miền khả thi trước khi đánh giá, nhờ đó giá trị hàm mục tiêu tính được luôn là giá trị thật và không phụ thuộc hệ số phạt tuỳ chọn. Trình tự bốn bước được lập luận chặt chẽ: bước bảo đảm hoả lực phải đứng sau bước giới hạn số lần xuất kích, còn bước ngân sách đặt cuối cùng vì nó chỉ gỡ bỏ phân công nên không phá vỡ các bước trước.</w:t>
      </w:r>
    </w:p>
    <w:p>
      <w:pPr>
        <w:spacing w:after="100" w:before="0" w:line="360"/>
        <w:ind w:firstLine="431"/>
        <w:jc w:val="both"/>
      </w:pPr>
      <w:r>
        <w:rPr>
          <w:rFonts w:ascii="Times New Roman" w:cs="Times New Roman" w:eastAsia="Times New Roman" w:hAnsi="Times New Roman"/>
          <w:b/>
          <w:bCs/>
          <w:sz w:val="26"/>
          <w:szCs w:val="26"/>
        </w:rPr>
        <w:t xml:space="preserve">Bốn là, xây dựng thuật toán đối chứng cho nghiệm tối ưu tuyệt đối theo phương pháp gói tiến công. </w:t>
      </w:r>
      <w:r>
        <w:rPr>
          <w:rFonts w:ascii="Times New Roman" w:cs="Times New Roman" w:eastAsia="Times New Roman" w:hAnsi="Times New Roman"/>
          <w:sz w:val="26"/>
          <w:szCs w:val="26"/>
        </w:rPr>
        <w:t xml:space="preserve">Thuật toán khai thác tính hoán vị được của các phương tiện cùng chủng loại để biến tích phi tuyến thành hằng số của mỗi gói, nhờ đó bài toán trở thành tuyến tính chính xác và giải được bằng quy hoạch động. Thời gian giải từ năm đến mười hai giây, so với khoảng mười tám ngày nếu duyệt vét cạn. Thuật toán đã được kiểm chứng khớp hoàn toàn với phương pháp vét cạn trên thể hiện thu nhỏ.</w:t>
      </w:r>
    </w:p>
    <w:p>
      <w:pPr>
        <w:spacing w:after="100" w:before="0" w:line="360"/>
        <w:ind w:firstLine="431"/>
        <w:jc w:val="both"/>
      </w:pPr>
      <w:r>
        <w:rPr>
          <w:rFonts w:ascii="Times New Roman" w:cs="Times New Roman" w:eastAsia="Times New Roman" w:hAnsi="Times New Roman"/>
          <w:b/>
          <w:bCs/>
          <w:sz w:val="26"/>
          <w:szCs w:val="26"/>
        </w:rPr>
        <w:t xml:space="preserve">Năm là, đánh giá định lượng chất lượng thuật toán di truyền. </w:t>
      </w:r>
      <w:r>
        <w:rPr>
          <w:rFonts w:ascii="Times New Roman" w:cs="Times New Roman" w:eastAsia="Times New Roman" w:hAnsi="Times New Roman"/>
          <w:sz w:val="26"/>
          <w:szCs w:val="26"/>
        </w:rPr>
        <w:t xml:space="preserve">Nhờ có nghiệm tối ưu tuyệt đối để đối chiếu, chất lượng lời giải được đo bằng số chứ không phải khẳng định định tính: trên cả sáu mức ngân sách khảo sát, lần chạy tốt nhất đều đạt đúng nghiệm tối ưu; sai lệch trung bình từ 0,00 % đến 0,20 %; sai lệch lớn nhất ghi nhận được là 0,75 %.</w:t>
      </w:r>
    </w:p>
    <w:p>
      <w:pPr>
        <w:spacing w:after="100" w:before="0" w:line="360"/>
        <w:ind w:firstLine="431"/>
        <w:jc w:val="both"/>
      </w:pPr>
      <w:r>
        <w:rPr>
          <w:rFonts w:ascii="Times New Roman" w:cs="Times New Roman" w:eastAsia="Times New Roman" w:hAnsi="Times New Roman"/>
          <w:b/>
          <w:bCs/>
          <w:sz w:val="26"/>
          <w:szCs w:val="26"/>
        </w:rPr>
        <w:t xml:space="preserve">Sáu là, xây dựng chương trình mô phỏng hai chiều và ba chiều theo nguyên tắc một nguồn kết quả duy nhất. </w:t>
      </w:r>
      <w:r>
        <w:rPr>
          <w:rFonts w:ascii="Times New Roman" w:cs="Times New Roman" w:eastAsia="Times New Roman" w:hAnsi="Times New Roman"/>
          <w:sz w:val="26"/>
          <w:szCs w:val="26"/>
        </w:rPr>
        <w:t xml:space="preserve">Toàn bộ phần tính toán chỉ tồn tại trong chương trình hai chiều; chương trình ba chiều đọc kết quả để dựng hình. Nhờ vậy hai chương trình không thể cho phương án khác nhau, và phần mô phỏng tái lập được hoàn toàn.</w:t>
      </w:r>
    </w:p>
    <w:p>
      <w:pPr>
        <w:pStyle w:val="Heading2"/>
        <w:spacing w:after="160" w:before="280" w:line="360"/>
        <w:jc w:val="left"/>
      </w:pPr>
      <w:r>
        <w:rPr>
          <w:rFonts w:ascii="Times New Roman" w:cs="Times New Roman" w:eastAsia="Times New Roman" w:hAnsi="Times New Roman"/>
          <w:b/>
          <w:bCs/>
          <w:sz w:val="30"/>
          <w:szCs w:val="30"/>
        </w:rPr>
        <w:t xml:space="preserve">2. Những phát hiện có giá trị thực tiễn</w:t>
      </w:r>
    </w:p>
    <w:p>
      <w:pPr>
        <w:spacing w:after="120" w:before="0" w:line="360"/>
        <w:ind w:firstLine="431"/>
        <w:jc w:val="both"/>
      </w:pPr>
      <w:r>
        <w:rPr>
          <w:rFonts w:ascii="Times New Roman" w:cs="Times New Roman" w:eastAsia="Times New Roman" w:hAnsi="Times New Roman"/>
          <w:sz w:val="26"/>
          <w:szCs w:val="26"/>
        </w:rPr>
        <w:t xml:space="preserve">Ba kết quả thực nghiệm dưới đây đều thu được từ thuật toán đối chứng cho nghiệm tối ưu tuyệt đối, nên có độ tin cậy cao hơn kết quả của thuật toán xấp xỉ.</w:t>
      </w:r>
    </w:p>
    <w:p>
      <w:pPr>
        <w:spacing w:after="100" w:before="0" w:line="360"/>
        <w:ind w:firstLine="431"/>
        <w:jc w:val="both"/>
      </w:pPr>
      <w:r>
        <w:rPr>
          <w:rFonts w:ascii="Times New Roman" w:cs="Times New Roman" w:eastAsia="Times New Roman" w:hAnsi="Times New Roman"/>
          <w:b/>
          <w:bCs/>
          <w:sz w:val="26"/>
          <w:szCs w:val="26"/>
        </w:rPr>
        <w:t xml:space="preserve">Tập mục tiêu không thay đổi đơn điệu theo ngân sách. </w:t>
      </w:r>
      <w:r>
        <w:rPr>
          <w:rFonts w:ascii="Times New Roman" w:cs="Times New Roman" w:eastAsia="Times New Roman" w:hAnsi="Times New Roman"/>
          <w:sz w:val="26"/>
          <w:szCs w:val="26"/>
        </w:rPr>
        <w:t xml:space="preserve">Khi ngân sách tăng từ 4 000 lên 4 500 USD, một mục tiêu đang có trong kế hoạch bị loại ra để nhường chỗ cho mục tiêu khác. Hệ quả thực tiễn: không thể lập phương án cho mức nguồn lực thấp rồi bổ sung dần khi được cấp thêm — mỗi mức nguồn lực đòi hỏi tính lại toàn bộ.</w:t>
      </w:r>
    </w:p>
    <w:p>
      <w:pPr>
        <w:spacing w:after="100" w:before="0" w:line="360"/>
        <w:ind w:firstLine="431"/>
        <w:jc w:val="both"/>
      </w:pPr>
      <w:r>
        <w:rPr>
          <w:rFonts w:ascii="Times New Roman" w:cs="Times New Roman" w:eastAsia="Times New Roman" w:hAnsi="Times New Roman"/>
          <w:b/>
          <w:bCs/>
          <w:sz w:val="26"/>
          <w:szCs w:val="26"/>
        </w:rPr>
        <w:t xml:space="preserve">Biến chọn mục tiêu là bắt buộc, không phải tuỳ chọn. </w:t>
      </w:r>
      <w:r>
        <w:rPr>
          <w:rFonts w:ascii="Times New Roman" w:cs="Times New Roman" w:eastAsia="Times New Roman" w:hAnsi="Times New Roman"/>
          <w:sz w:val="26"/>
          <w:szCs w:val="26"/>
        </w:rPr>
        <w:t xml:space="preserve">Mô hình không có biến yⱼ hoàn toàn vô nghiệm ở ba trong sáu mức ngân sách khảo sát. Đây là chứng minh cứng về sự cần thiết của biến này, không phải so sánh hơn kém về giá trị hàm mục tiêu.</w:t>
      </w:r>
    </w:p>
    <w:p>
      <w:pPr>
        <w:spacing w:after="100" w:before="0" w:line="360"/>
        <w:ind w:firstLine="431"/>
        <w:jc w:val="both"/>
      </w:pPr>
      <w:r>
        <w:rPr>
          <w:rFonts w:ascii="Times New Roman" w:cs="Times New Roman" w:eastAsia="Times New Roman" w:hAnsi="Times New Roman"/>
          <w:b/>
          <w:bCs/>
          <w:sz w:val="26"/>
          <w:szCs w:val="26"/>
        </w:rPr>
        <w:t xml:space="preserve">Ngân sách chiến dịch có điểm bão hoà xác định được. </w:t>
      </w:r>
      <w:r>
        <w:rPr>
          <w:rFonts w:ascii="Times New Roman" w:cs="Times New Roman" w:eastAsia="Times New Roman" w:hAnsi="Times New Roman"/>
          <w:sz w:val="26"/>
          <w:szCs w:val="26"/>
        </w:rPr>
        <w:t xml:space="preserve">Từ mức 8 412,88 USD trở lên, mọi khoản chi thêm không mang lại thêm bất kỳ giá trị tiêu diệt nào. Đây là một cận trên khách quan khi đề nghị cấp nguồn lực, và là thông tin mà mô hình cung cấp còn kinh nghiệm chỉ huy đơn thuần khó xác định.</w:t>
      </w:r>
    </w:p>
    <w:p>
      <w:pPr>
        <w:pStyle w:val="Heading2"/>
        <w:spacing w:after="160" w:before="280" w:line="360"/>
        <w:jc w:val="left"/>
      </w:pPr>
      <w:r>
        <w:rPr>
          <w:rFonts w:ascii="Times New Roman" w:cs="Times New Roman" w:eastAsia="Times New Roman" w:hAnsi="Times New Roman"/>
          <w:b/>
          <w:bCs/>
          <w:sz w:val="30"/>
          <w:szCs w:val="30"/>
        </w:rPr>
        <w:t xml:space="preserve">3. Hạn chế của đề tài</w:t>
      </w:r>
    </w:p>
    <w:p>
      <w:pPr>
        <w:spacing w:after="120" w:before="0" w:line="360"/>
        <w:ind w:firstLine="431"/>
        <w:jc w:val="both"/>
      </w:pPr>
      <w:r>
        <w:rPr>
          <w:rFonts w:ascii="Times New Roman" w:cs="Times New Roman" w:eastAsia="Times New Roman" w:hAnsi="Times New Roman"/>
          <w:sz w:val="26"/>
          <w:szCs w:val="26"/>
        </w:rPr>
        <w:t xml:space="preserve">Mô hình được xây dựng với một số giả thiết đơn giản hoá. Việc nêu rõ các hạn chế này là cần thiết để xác định đúng phạm vi áp dụng của kết quả.</w:t>
      </w:r>
    </w:p>
    <w:p>
      <w:pPr>
        <w:spacing w:after="80" w:before="120"/>
        <w:jc w:val="center"/>
      </w:pPr>
      <w:r>
        <w:rPr>
          <w:rFonts w:ascii="Times New Roman" w:cs="Times New Roman" w:eastAsia="Times New Roman" w:hAnsi="Times New Roman"/>
          <w:i/>
          <w:iCs/>
          <w:sz w:val="24"/>
          <w:szCs w:val="24"/>
        </w:rPr>
        <w:t xml:space="preserve">Bảng KL.1. Hạn chế của mô hình và ảnh hưởng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rPr>
          <w:cantSplit/>
          <w:tblHeader/>
        </w:trPr>
        <w:tc>
          <w:tcPr>
            <w:tcW w:type="dxa" w:w="30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Hạn chế</w:t>
            </w:r>
          </w:p>
        </w:tc>
        <w:tc>
          <w:tcPr>
            <w:tcW w:type="dxa" w:w="59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Ảnh hưởng tới kết quả</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Mô hình tĩnh, không có chiều thời gian</w:t>
            </w:r>
          </w:p>
        </w:tc>
        <w:tc>
          <w:tcPr>
            <w:tcW w:type="dxa" w:w="59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Không mô hình hoá thứ tự tiến công. Thực tế, diệt trận địa phòng không trước sẽ làm tăng xác suất tiêu diệt của các đợt sau, nên phương án theo đợt có thể tốt hơn phương án đồng thời</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Hoả lực phòng không địch chỉ được gộp gián tiếp vào hệ số k</w:t>
            </w:r>
          </w:p>
        </w:tc>
        <w:tc>
          <w:tcPr>
            <w:tcW w:type="dxa" w:w="59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Chưa mô hình hoá xác suất tổn thất theo từng tuyến bay cụ thể; mọi tuyến cùng cự ly được coi là cùng mức nguy hiểm</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Giả thiết các lần tiến công độc lập</w:t>
            </w:r>
          </w:p>
        </w:tc>
        <w:tc>
          <w:tcPr>
            <w:tcW w:type="dxa" w:w="59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Công thức tích Sⱼ chỉ đúng khi các sự kiện tiêu diệt độc lập. Thực tế hai phương tiện đánh cùng thời điểm có thể cùng bị một hệ thống phòng không tiêu diệt</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Một đợt tiến công duy nhất</w:t>
            </w:r>
          </w:p>
        </w:tc>
        <w:tc>
          <w:tcPr>
            <w:tcW w:type="dxa" w:w="59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Không có vòng đánh giá thiệt hại và tiến công bổ sung vào mục tiêu chưa bị vô hiệu hoá</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Tham số tất định</w:t>
            </w:r>
          </w:p>
        </w:tc>
        <w:tc>
          <w:tcPr>
            <w:tcW w:type="dxa" w:w="59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Các giá trị pᵢⱼ và vⱼ được coi là biết chắc; chưa xét độ bất định của trinh sát</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Đồ thị hành lang bay còn thưa</w:t>
            </w:r>
          </w:p>
        </w:tc>
        <w:tc>
          <w:tcPr>
            <w:tcW w:type="dxa" w:w="59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Hệ số vòng trung bình chỉ 1,02 lần nên vai trò của thuật toán Dijkstra chủ yếu thể hiện ở ràng buộc tầm bay, chưa thể hiện rõ ở chi phí hành trình</w:t>
            </w:r>
          </w:p>
        </w:tc>
      </w:tr>
    </w:tbl>
    <w:p>
      <w:pPr>
        <w:pStyle w:val="Heading2"/>
        <w:spacing w:after="160" w:before="280" w:line="360"/>
        <w:jc w:val="left"/>
      </w:pPr>
      <w:r>
        <w:rPr>
          <w:rFonts w:ascii="Times New Roman" w:cs="Times New Roman" w:eastAsia="Times New Roman" w:hAnsi="Times New Roman"/>
          <w:b/>
          <w:bCs/>
          <w:sz w:val="30"/>
          <w:szCs w:val="30"/>
        </w:rPr>
        <w:t xml:space="preserve">4. Kiến nghị và hướng phát triển</w:t>
      </w:r>
    </w:p>
    <w:p>
      <w:pPr>
        <w:spacing w:after="120" w:before="0" w:line="360"/>
        <w:ind w:firstLine="431"/>
        <w:jc w:val="both"/>
      </w:pPr>
      <w:r>
        <w:rPr>
          <w:rFonts w:ascii="Times New Roman" w:cs="Times New Roman" w:eastAsia="Times New Roman" w:hAnsi="Times New Roman"/>
          <w:sz w:val="26"/>
          <w:szCs w:val="26"/>
        </w:rPr>
        <w:t xml:space="preserve">Mỗi hạn chế nêu trên tương ứng một hướng phát triển cụ thể, xếp theo thứ tự ưu tiên.</w:t>
      </w:r>
    </w:p>
    <w:p>
      <w:pPr>
        <w:spacing w:after="100" w:before="0" w:line="360"/>
        <w:ind w:firstLine="431"/>
        <w:jc w:val="both"/>
      </w:pPr>
      <w:r>
        <w:rPr>
          <w:rFonts w:ascii="Times New Roman" w:cs="Times New Roman" w:eastAsia="Times New Roman" w:hAnsi="Times New Roman"/>
          <w:b/>
          <w:bCs/>
          <w:sz w:val="26"/>
          <w:szCs w:val="26"/>
        </w:rPr>
        <w:t xml:space="preserve">Thứ nhất, mô hình hoá vùng cấm bay và hoả lực phòng không bằng cách bỏ bớt cạnh của đồ thị. </w:t>
      </w:r>
      <w:r>
        <w:rPr>
          <w:rFonts w:ascii="Times New Roman" w:cs="Times New Roman" w:eastAsia="Times New Roman" w:hAnsi="Times New Roman"/>
          <w:sz w:val="26"/>
          <w:szCs w:val="26"/>
        </w:rPr>
        <w:t xml:space="preserve">Đây là hướng dễ thực hiện nhất và cho hiệu quả rõ rệt nhất: chỉ cần loại bỏ những cạnh đi qua vùng hoả lực phòng không địch kiểm soát, hệ số vòng sẽ tăng lên và vai trò của bài toán đường đi ngắn nhất trong mô hình sẽ thể hiện đầy đủ. Không phải sửa mô hình toán, chỉ sửa dữ liệu đồ thị.</w:t>
      </w:r>
    </w:p>
    <w:p>
      <w:pPr>
        <w:spacing w:after="100" w:before="0" w:line="360"/>
        <w:ind w:firstLine="431"/>
        <w:jc w:val="both"/>
      </w:pPr>
      <w:r>
        <w:rPr>
          <w:rFonts w:ascii="Times New Roman" w:cs="Times New Roman" w:eastAsia="Times New Roman" w:hAnsi="Times New Roman"/>
          <w:b/>
          <w:bCs/>
          <w:sz w:val="26"/>
          <w:szCs w:val="26"/>
        </w:rPr>
        <w:t xml:space="preserve">Thứ hai, dẫn xuất ma trận xác suất tiêu diệt từ tham số vật lý thay vì gán trực tiếp. </w:t>
      </w:r>
      <w:r>
        <w:rPr>
          <w:rFonts w:ascii="Times New Roman" w:cs="Times New Roman" w:eastAsia="Times New Roman" w:hAnsi="Times New Roman"/>
          <w:sz w:val="26"/>
          <w:szCs w:val="26"/>
        </w:rPr>
        <w:t xml:space="preserve">Có thể phân rã pᵢⱼ thành tích của xác suất bay tới, xác suất trúng và xác suất tiêu diệt khi trúng; trong đó thành phần cuối tính từ bán kính sát thương của đầu đạn và độ bền của mục tiêu. Khi đó ba mươi sáu giá trị xác suất được thay bằng một công thức và khoảng mười tham số có ý nghĩa vật lý rõ ràng.</w:t>
      </w:r>
    </w:p>
    <w:p>
      <w:pPr>
        <w:spacing w:after="100" w:before="0" w:line="360"/>
        <w:ind w:firstLine="431"/>
        <w:jc w:val="both"/>
      </w:pPr>
      <w:r>
        <w:rPr>
          <w:rFonts w:ascii="Times New Roman" w:cs="Times New Roman" w:eastAsia="Times New Roman" w:hAnsi="Times New Roman"/>
          <w:b/>
          <w:bCs/>
          <w:sz w:val="26"/>
          <w:szCs w:val="26"/>
        </w:rPr>
        <w:t xml:space="preserve">Thứ ba, mở rộng sang mô hình động có chiều thời gian. </w:t>
      </w:r>
      <w:r>
        <w:rPr>
          <w:rFonts w:ascii="Times New Roman" w:cs="Times New Roman" w:eastAsia="Times New Roman" w:hAnsi="Times New Roman"/>
          <w:sz w:val="26"/>
          <w:szCs w:val="26"/>
        </w:rPr>
        <w:t xml:space="preserve">Cho phép chia đợt tiến công thành nhiều làn sóng, trong đó kết quả làn sóng trước làm thay đổi tham số của làn sóng sau. Đây là hướng mở rộng đáng giá nhất về mặt quân sự nhưng cũng khó nhất, vì nó làm tăng đáng kể quy mô không gian tìm kiếm.</w:t>
      </w:r>
    </w:p>
    <w:p>
      <w:pPr>
        <w:spacing w:after="100" w:before="0" w:line="360"/>
        <w:ind w:firstLine="431"/>
        <w:jc w:val="both"/>
      </w:pPr>
      <w:r>
        <w:rPr>
          <w:rFonts w:ascii="Times New Roman" w:cs="Times New Roman" w:eastAsia="Times New Roman" w:hAnsi="Times New Roman"/>
          <w:b/>
          <w:bCs/>
          <w:sz w:val="26"/>
          <w:szCs w:val="26"/>
        </w:rPr>
        <w:t xml:space="preserve">Thứ tư, đưa yếu tố bất định vào mô hình. </w:t>
      </w:r>
      <w:r>
        <w:rPr>
          <w:rFonts w:ascii="Times New Roman" w:cs="Times New Roman" w:eastAsia="Times New Roman" w:hAnsi="Times New Roman"/>
          <w:sz w:val="26"/>
          <w:szCs w:val="26"/>
        </w:rPr>
        <w:t xml:space="preserve">Thay các giá trị pᵢⱼ và vⱼ tất định bằng khoảng tin cậy, và đánh giá phương án theo tiêu chí vững chắc thay vì chỉ theo kỳ vọng. Hướng này phù hợp với thực tế trinh sát luôn có sai số.</w:t>
      </w:r>
    </w:p>
    <w:p>
      <w:pPr>
        <w:spacing w:after="100" w:before="0" w:line="360"/>
        <w:ind w:firstLine="431"/>
        <w:jc w:val="both"/>
      </w:pPr>
      <w:r>
        <w:rPr>
          <w:rFonts w:ascii="Times New Roman" w:cs="Times New Roman" w:eastAsia="Times New Roman" w:hAnsi="Times New Roman"/>
          <w:b/>
          <w:bCs/>
          <w:sz w:val="26"/>
          <w:szCs w:val="26"/>
        </w:rPr>
        <w:t xml:space="preserve">Thứ năm, mở rộng quy mô thực nghiệm. </w:t>
      </w:r>
      <w:r>
        <w:rPr>
          <w:rFonts w:ascii="Times New Roman" w:cs="Times New Roman" w:eastAsia="Times New Roman" w:hAnsi="Times New Roman"/>
          <w:sz w:val="26"/>
          <w:szCs w:val="26"/>
        </w:rPr>
        <w:t xml:space="preserve">Kiểm tra khả năng làm việc của thuật toán di truyền ở quy mô đại đội với ba mươi phương tiện và mười mục tiêu trở lên. Ở quy mô đó thuật toán đối chứng không còn chạy được, nên cần phương pháp đánh giá chất lượng khác, chẳng hạn so sánh với cận trên thu được từ nới lỏng bài toán.</w:t>
      </w:r>
    </w:p>
    <w:p>
      <w:pPr>
        <w:pStyle w:val="Heading2"/>
        <w:spacing w:after="160" w:before="280" w:line="360"/>
        <w:jc w:val="left"/>
      </w:pPr>
      <w:r>
        <w:rPr>
          <w:rFonts w:ascii="Times New Roman" w:cs="Times New Roman" w:eastAsia="Times New Roman" w:hAnsi="Times New Roman"/>
          <w:b/>
          <w:bCs/>
          <w:sz w:val="30"/>
          <w:szCs w:val="30"/>
        </w:rPr>
        <w:t xml:space="preserve">5. Khả năng ứng dụng</w:t>
      </w:r>
    </w:p>
    <w:p>
      <w:pPr>
        <w:spacing w:after="120" w:before="0" w:line="360"/>
        <w:ind w:firstLine="431"/>
        <w:jc w:val="both"/>
      </w:pPr>
      <w:r>
        <w:rPr>
          <w:rFonts w:ascii="Times New Roman" w:cs="Times New Roman" w:eastAsia="Times New Roman" w:hAnsi="Times New Roman"/>
          <w:sz w:val="26"/>
          <w:szCs w:val="26"/>
        </w:rPr>
        <w:t xml:space="preserve">Kết quả của đề tài có thể sử dụng theo ba hướng. Một là làm công cụ hỗ trợ tham mưu trong huấn luyện lập kế hoạch tiến công đường không, nơi người học nhập tình huống và quan sát tác động của từng quyết định lên kết quả. Hai là làm cơ sở cho một mô-đun tính toán trong hệ thống chỉ huy tham mưu, sau khi thay bộ dữ liệu giả định bằng số liệu thực tế. Ba là làm nền để nghiên cứu tiếp các bài toán phân bổ hoả lực khác có cùng cấu trúc toán học, chẳng hạn phân công hoả lực pháo binh hoặc phân công phương tiện phòng không đánh chặn.</w:t>
      </w:r>
    </w:p>
    <w:p>
      <w:pPr>
        <w:spacing w:after="120" w:before="120" w:line="360"/>
        <w:ind w:firstLine="431"/>
        <w:jc w:val="both"/>
      </w:pPr>
      <w:r>
        <w:rPr>
          <w:rFonts w:ascii="Times New Roman" w:cs="Times New Roman" w:eastAsia="Times New Roman" w:hAnsi="Times New Roman"/>
          <w:sz w:val="26"/>
          <w:szCs w:val="26"/>
        </w:rPr>
        <w:t xml:space="preserve">Cần nhấn mạnh rằng bộ dữ liệu sử dụng trong đề tài là bộ dữ liệu giả định có cấu trúc, xây dựng theo nguyên lý sát thương của từng loại đầu đạn, không phải số liệu tác chiến thực tế. Mô hình và thuật toán không phụ thuộc vào giá trị cụ thể của bộ dữ liệu: thay bằng số liệu thực tế thì chỉ cần chạy lại chương trình, không phải sửa đổi mã nguồn.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2026-09-21T05:01:00.846Z</dcterms:created>
  <dcterms:modified xsi:type="dcterms:W3CDTF">2026-09-21T05:01:00.846Z</dcterms:modified>
</cp:coreProperties>
</file>

<file path=docProps/custom.xml><?xml version="1.0" encoding="utf-8"?>
<Properties xmlns="http://schemas.openxmlformats.org/officeDocument/2006/custom-properties" xmlns:vt="http://schemas.openxmlformats.org/officeDocument/2006/docPropsVTypes"/>
</file>