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0" w:line="360"/>
        <w:jc w:val="center"/>
      </w:pPr>
      <w:r>
        <w:rPr>
          <w:rFonts w:ascii="Times New Roman" w:cs="Times New Roman" w:eastAsia="Times New Roman" w:hAnsi="Times New Roman"/>
          <w:b/>
          <w:bCs/>
          <w:sz w:val="32"/>
          <w:szCs w:val="32"/>
        </w:rPr>
        <w:t xml:space="preserve">PHỤ LỤC B</w:t>
      </w:r>
    </w:p>
    <w:p>
      <w:pPr>
        <w:pStyle w:val="Heading1"/>
        <w:spacing w:after="280" w:before="0" w:line="360"/>
        <w:jc w:val="center"/>
      </w:pPr>
      <w:r>
        <w:rPr>
          <w:rFonts w:ascii="Times New Roman" w:cs="Times New Roman" w:eastAsia="Times New Roman" w:hAnsi="Times New Roman"/>
          <w:b/>
          <w:bCs/>
          <w:sz w:val="32"/>
          <w:szCs w:val="32"/>
        </w:rPr>
        <w:t xml:space="preserve">CÀI ĐẶT CHƯƠNG TRÌNH</w:t>
      </w:r>
    </w:p>
    <w:p>
      <w:pPr>
        <w:spacing w:after="120" w:before="0" w:line="360"/>
        <w:ind w:firstLine="431"/>
        <w:jc w:val="both"/>
      </w:pPr>
      <w:r>
        <w:rPr>
          <w:rFonts w:ascii="Times New Roman" w:cs="Times New Roman" w:eastAsia="Times New Roman" w:hAnsi="Times New Roman"/>
          <w:sz w:val="26"/>
          <w:szCs w:val="26"/>
        </w:rPr>
        <w:t xml:space="preserve">Phụ lục này mô tả tầng cài đặt của hai chương trình: tổ chức mô-đun, định dạng tệp dữ liệu và thao tác giao diện. Các nội dung ở đây không ảnh hưởng tới mô hình toán học ở Chương 2 hay các thuật toán ở Chương 3: mọi kết quả trong báo cáo vẫn nguyên vẹn nếu chương trình được cài đặt lại bằng ngôn ngữ khác hoặc với giao diện khác. Phụ lục được giữ lại nhằm bảo đảm người đọc tái lập được thực nghiệm.</w:t>
      </w:r>
    </w:p>
    <w:p>
      <w:pPr>
        <w:pStyle w:val="Heading2"/>
        <w:spacing w:after="160" w:before="280" w:line="360"/>
        <w:jc w:val="left"/>
      </w:pPr>
      <w:r>
        <w:rPr>
          <w:rFonts w:ascii="Times New Roman" w:cs="Times New Roman" w:eastAsia="Times New Roman" w:hAnsi="Times New Roman"/>
          <w:b/>
          <w:bCs/>
          <w:sz w:val="30"/>
          <w:szCs w:val="30"/>
        </w:rPr>
        <w:t xml:space="preserve">B.1. Tổ chức mô-đun</w:t>
      </w:r>
    </w:p>
    <w:p>
      <w:pPr>
        <w:spacing w:after="120" w:before="0" w:line="360"/>
        <w:ind w:firstLine="431"/>
        <w:jc w:val="both"/>
      </w:pPr>
      <w:r>
        <w:rPr>
          <w:rFonts w:ascii="Times New Roman" w:cs="Times New Roman" w:eastAsia="Times New Roman" w:hAnsi="Times New Roman"/>
          <w:sz w:val="26"/>
          <w:szCs w:val="26"/>
        </w:rPr>
        <w:t xml:space="preserve">Chương trình tính toán được xây dựng bằng ngôn ngữ C++ trên nền Windows API, tổ chức theo bảy mô-đun với nguyên tắc tách bạch giữa xử lý dữ liệu, tính toán tối ưu và hiển thị.</w:t>
      </w:r>
    </w:p>
    <w:p>
      <w:pPr>
        <w:spacing w:after="80" w:before="120"/>
        <w:jc w:val="center"/>
      </w:pPr>
      <w:r>
        <w:rPr>
          <w:rFonts w:ascii="Times New Roman" w:cs="Times New Roman" w:eastAsia="Times New Roman" w:hAnsi="Times New Roman"/>
          <w:i/>
          <w:iCs/>
          <w:sz w:val="24"/>
          <w:szCs w:val="24"/>
        </w:rPr>
        <w:t xml:space="preserve">Bảng B.1. Các mô-đun của chương trình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6660"/>
      </w:tblGrid>
      <w:tr>
        <w:trPr>
          <w:cantSplit/>
          <w:tblHeader/>
        </w:trPr>
        <w:tc>
          <w:tcPr>
            <w:tcW w:type="dxa" w:w="23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Mô-đun</w:t>
            </w:r>
          </w:p>
        </w:tc>
        <w:tc>
          <w:tcPr>
            <w:tcW w:type="dxa" w:w="66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Chức năng</w:t>
            </w:r>
          </w:p>
        </w:tc>
      </w:tr>
      <w:tr>
        <w:trPr>
          <w:cantSplit/>
          <w:tblHeader w:val="false"/>
        </w:trPr>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Graph</w:t>
            </w:r>
          </w:p>
        </w:tc>
        <w:tc>
          <w:tcPr>
            <w:tcW w:type="dxa" w:w="66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Nạp dữ liệu đồ thị và mục tiêu từ tệp; cài đặt thuật toán Dijkstra tìm cự ly và tuyến bay</w:t>
            </w:r>
          </w:p>
        </w:tc>
      </w:tr>
      <w:tr>
        <w:trPr>
          <w:cantSplit/>
          <w:tblHeader w:val="false"/>
        </w:trPr>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UnitUAV / UnitUAVList</w:t>
            </w:r>
          </w:p>
        </w:tc>
        <w:tc>
          <w:tcPr>
            <w:tcW w:type="dxa" w:w="66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Nạp dữ liệu đơn vị và phương tiện; quản lý biên chế từng tổ</w:t>
            </w:r>
          </w:p>
        </w:tc>
      </w:tr>
      <w:tr>
        <w:trPr>
          <w:cantSplit/>
          <w:tblHeader w:val="false"/>
        </w:trPr>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OptimizationBuilder</w:t>
            </w:r>
          </w:p>
        </w:tc>
        <w:tc>
          <w:tcPr>
            <w:tcW w:type="dxa" w:w="66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Dựng bài toán tối ưu từ dữ liệu: khai triển phương tiện theo số lượng, tính ma trận aᵢⱼ và cᵢⱼ, nạp ma trận pᵢⱼ; điều phối chạy thuật toán và kiểm định kết quả</w:t>
            </w:r>
          </w:p>
        </w:tc>
      </w:tr>
      <w:tr>
        <w:trPr>
          <w:cantSplit/>
          <w:tblHeader w:val="false"/>
        </w:trPr>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UAVGAOptimizer</w:t>
            </w:r>
          </w:p>
        </w:tc>
        <w:tc>
          <w:tcPr>
            <w:tcW w:type="dxa" w:w="66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Cài đặt thuật toán di truyền: khởi tạo, chọn lọc, lai ghép, đột biến, sửa chữa, đánh giá</w:t>
            </w:r>
          </w:p>
        </w:tc>
      </w:tr>
      <w:tr>
        <w:trPr>
          <w:cantSplit/>
          <w:tblHeader w:val="false"/>
        </w:trPr>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UAVMissionEngine</w:t>
            </w:r>
          </w:p>
        </w:tc>
        <w:tc>
          <w:tcPr>
            <w:tcW w:type="dxa" w:w="66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Lớp điều phối: khởi tạo hệ thống, gọi tối ưu, tổng hợp số liệu thống kê kết quả</w:t>
            </w:r>
          </w:p>
        </w:tc>
      </w:tr>
      <w:tr>
        <w:trPr>
          <w:cantSplit/>
          <w:tblHeader w:val="false"/>
        </w:trPr>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GraphRenderer</w:t>
            </w:r>
          </w:p>
        </w:tc>
        <w:tc>
          <w:tcPr>
            <w:tcW w:type="dxa" w:w="66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Vẽ bản đồ tác chiến hai chiều, tuyến bay, biểu đồ thiệt hại</w:t>
            </w:r>
          </w:p>
        </w:tc>
      </w:tr>
      <w:tr>
        <w:trPr>
          <w:cantSplit/>
          <w:tblHeader w:val="false"/>
        </w:trPr>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Main</w:t>
            </w:r>
          </w:p>
        </w:tc>
        <w:tc>
          <w:tcPr>
            <w:tcW w:type="dxa" w:w="66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Tạo cửa sổ, xử lý sự kiện bàn phím và chuột</w:t>
            </w:r>
          </w:p>
        </w:tc>
      </w:tr>
    </w:tbl>
    <w:p>
      <w:pPr>
        <w:spacing w:after="120" w:before="100" w:line="360"/>
        <w:ind w:firstLine="431"/>
        <w:jc w:val="both"/>
      </w:pPr>
      <w:r>
        <w:rPr>
          <w:rFonts w:ascii="Times New Roman" w:cs="Times New Roman" w:eastAsia="Times New Roman" w:hAnsi="Times New Roman"/>
          <w:sz w:val="26"/>
          <w:szCs w:val="26"/>
        </w:rPr>
        <w:t xml:space="preserve">Mô-đun UAVGAOptimizer cài đặt lược đồ ở Hình 3.1 và toán tử sửa chữa ở Hình 3.2; mô-đun Graph cài đặt bước tiền xử lý ở mục 3.1. Ba mô-đun còn lại không tham gia vào phần thuật toán.</w:t>
      </w:r>
    </w:p>
    <w:p>
      <w:pPr>
        <w:pStyle w:val="Heading2"/>
        <w:spacing w:after="160" w:before="280" w:line="360"/>
        <w:jc w:val="left"/>
      </w:pPr>
      <w:r>
        <w:rPr>
          <w:rFonts w:ascii="Times New Roman" w:cs="Times New Roman" w:eastAsia="Times New Roman" w:hAnsi="Times New Roman"/>
          <w:b/>
          <w:bCs/>
          <w:sz w:val="30"/>
          <w:szCs w:val="30"/>
        </w:rPr>
        <w:t xml:space="preserve">B.2. Tổ chức dữ liệu</w:t>
      </w:r>
    </w:p>
    <w:p>
      <w:pPr>
        <w:spacing w:after="120" w:before="0" w:line="360"/>
        <w:ind w:firstLine="431"/>
        <w:jc w:val="both"/>
      </w:pPr>
      <w:r>
        <w:rPr>
          <w:rFonts w:ascii="Times New Roman" w:cs="Times New Roman" w:eastAsia="Times New Roman" w:hAnsi="Times New Roman"/>
          <w:sz w:val="26"/>
          <w:szCs w:val="26"/>
        </w:rPr>
        <w:t xml:space="preserve">Toàn bộ dữ liệu đầu vào nằm trong bảy tệp văn bản định dạng CSV, tách hoàn toàn khỏi mã nguồn. Nhờ vậy việc thay đổi tình huống chiến thuật hoặc chạy lại thực nghiệm ở tham số khác không đòi hỏi biên dịch lại chương trình — điều kiện cần cho các khảo sát độ nhạy ở mục 3.8.</w:t>
      </w:r>
    </w:p>
    <w:p>
      <w:pPr>
        <w:spacing w:after="80" w:before="120"/>
        <w:jc w:val="center"/>
      </w:pPr>
      <w:r>
        <w:rPr>
          <w:rFonts w:ascii="Times New Roman" w:cs="Times New Roman" w:eastAsia="Times New Roman" w:hAnsi="Times New Roman"/>
          <w:i/>
          <w:iCs/>
          <w:sz w:val="24"/>
          <w:szCs w:val="24"/>
        </w:rPr>
        <w:t xml:space="preserve">Bảng B.2. Các tệp dữ liệu đầu vào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220"/>
        <w:gridCol w:w="1980"/>
      </w:tblGrid>
      <w:tr>
        <w:trPr>
          <w:cantSplit/>
          <w:tblHeader/>
        </w:trPr>
        <w:tc>
          <w:tcPr>
            <w:tcW w:type="dxa" w:w="18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Tệp</w:t>
            </w:r>
          </w:p>
        </w:tc>
        <w:tc>
          <w:tcPr>
            <w:tcW w:type="dxa" w:w="52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Nội dung</w:t>
            </w:r>
          </w:p>
        </w:tc>
        <w:tc>
          <w:tcPr>
            <w:tcW w:type="dxa" w:w="19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Nhóm dữ liệu</w:t>
            </w:r>
          </w:p>
        </w:tc>
      </w:tr>
      <w:tr>
        <w:trPr>
          <w:cantSplit/>
          <w:tblHeader w:val="false"/>
        </w:trPr>
        <w:tc>
          <w:tcPr>
            <w:tcW w:type="dxa" w:w="18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Vertex.csv</w:t>
            </w:r>
          </w:p>
        </w:tc>
        <w:tc>
          <w:tcPr>
            <w:tcW w:type="dxa" w:w="52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Toạ độ và phân loại các đỉnh đồ thị</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w:t>
            </w:r>
          </w:p>
        </w:tc>
      </w:tr>
      <w:tr>
        <w:trPr>
          <w:cantSplit/>
          <w:tblHeader w:val="false"/>
        </w:trPr>
        <w:tc>
          <w:tcPr>
            <w:tcW w:type="dxa" w:w="18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Edge.csv</w:t>
            </w:r>
          </w:p>
        </w:tc>
        <w:tc>
          <w:tcPr>
            <w:tcW w:type="dxa" w:w="52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Các cặp đỉnh kề nhau</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w:t>
            </w:r>
          </w:p>
        </w:tc>
      </w:tr>
      <w:tr>
        <w:trPr>
          <w:cantSplit/>
          <w:tblHeader w:val="false"/>
        </w:trPr>
        <w:tc>
          <w:tcPr>
            <w:tcW w:type="dxa" w:w="18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UnitUAV.csv</w:t>
            </w:r>
          </w:p>
        </w:tc>
        <w:tc>
          <w:tcPr>
            <w:tcW w:type="dxa" w:w="52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Vị trí và phiên hiệu các tổ UAV</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A</w:t>
            </w:r>
          </w:p>
        </w:tc>
      </w:tr>
      <w:tr>
        <w:trPr>
          <w:cantSplit/>
          <w:tblHeader w:val="false"/>
        </w:trPr>
        <w:tc>
          <w:tcPr>
            <w:tcW w:type="dxa" w:w="18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Data_uav.csv</w:t>
            </w:r>
          </w:p>
        </w:tc>
        <w:tc>
          <w:tcPr>
            <w:tcW w:type="dxa" w:w="52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Biên chế và tham số kỹ thuật các chủng loại phương tiện</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A</w:t>
            </w:r>
          </w:p>
        </w:tc>
      </w:tr>
      <w:tr>
        <w:trPr>
          <w:cantSplit/>
          <w:tblHeader w:val="false"/>
        </w:trPr>
        <w:tc>
          <w:tcPr>
            <w:tcW w:type="dxa" w:w="18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Data_target.csv</w:t>
            </w:r>
          </w:p>
        </w:tc>
        <w:tc>
          <w:tcPr>
            <w:tcW w:type="dxa" w:w="52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Hệ thống mục tiêu: vị trí, giá trị, ngưỡng hoả lực, độ ưu tiên</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w:t>
            </w:r>
          </w:p>
        </w:tc>
      </w:tr>
      <w:tr>
        <w:trPr>
          <w:cantSplit/>
          <w:tblHeader w:val="false"/>
        </w:trPr>
        <w:tc>
          <w:tcPr>
            <w:tcW w:type="dxa" w:w="18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Probability.csv</w:t>
            </w:r>
          </w:p>
        </w:tc>
        <w:tc>
          <w:tcPr>
            <w:tcW w:type="dxa" w:w="52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Ma trận xác suất tiêu diệt</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w:t>
            </w:r>
          </w:p>
        </w:tc>
      </w:tr>
      <w:tr>
        <w:trPr>
          <w:cantSplit/>
          <w:tblHeader w:val="false"/>
        </w:trPr>
        <w:tc>
          <w:tcPr>
            <w:tcW w:type="dxa" w:w="18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Config.csv</w:t>
            </w:r>
          </w:p>
        </w:tc>
        <w:tc>
          <w:tcPr>
            <w:tcW w:type="dxa" w:w="52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Ngân sách chiến dịch, hệ số chi phí hành trình, hạt giống ngẫu nhiên, số lần chạy</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D</w:t>
            </w:r>
          </w:p>
        </w:tc>
      </w:tr>
    </w:tbl>
    <w:p>
      <w:pPr>
        <w:spacing w:after="120" w:before="100" w:line="360"/>
        <w:ind w:firstLine="431"/>
        <w:jc w:val="both"/>
      </w:pPr>
      <w:r>
        <w:rPr>
          <w:rFonts w:ascii="Times New Roman" w:cs="Times New Roman" w:eastAsia="Times New Roman" w:hAnsi="Times New Roman"/>
          <w:sz w:val="26"/>
          <w:szCs w:val="26"/>
        </w:rPr>
        <w:t xml:space="preserve">Cột cuối cùng ghi nhóm dữ liệu theo phân loại ở Bảng 2.4. Tệp Config.csv là nơi thay đổi tham số khảo sát mà không can thiệp vào mã nguồn; hai trường hạt giống và số lần chạy phục vụ tính tái lập đã nêu ở mục 3.5.2.</w:t>
      </w:r>
    </w:p>
    <w:p>
      <w:pPr>
        <w:spacing w:after="120" w:before="0" w:line="360"/>
        <w:ind w:firstLine="431"/>
        <w:jc w:val="both"/>
      </w:pPr>
      <w:r>
        <w:rPr>
          <w:rFonts w:ascii="Times New Roman" w:cs="Times New Roman" w:eastAsia="Times New Roman" w:hAnsi="Times New Roman"/>
          <w:sz w:val="26"/>
          <w:szCs w:val="26"/>
        </w:rPr>
        <w:t xml:space="preserve">Sau khi giải xong, chương trình tính toán xuất ra hai tệp kết quả trung gian; chương trình mô phỏng ba chiều chỉ đọc hai tệp này, trong mã nguồn của nó không còn hàm tối ưu nào. Đây là cơ sở kỹ thuật của nguyên tắc một nguồn kết quả duy nhất nêu ở mục 3.5.1.</w:t>
      </w:r>
    </w:p>
    <w:p>
      <w:pPr>
        <w:spacing w:after="80" w:before="120"/>
        <w:jc w:val="center"/>
      </w:pPr>
      <w:r>
        <w:rPr>
          <w:rFonts w:ascii="Times New Roman" w:cs="Times New Roman" w:eastAsia="Times New Roman" w:hAnsi="Times New Roman"/>
          <w:i/>
          <w:iCs/>
          <w:sz w:val="24"/>
          <w:szCs w:val="24"/>
        </w:rPr>
        <w:t xml:space="preserve">Bảng B.4. Hai tệp kết quả trung gian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6660"/>
      </w:tblGrid>
      <w:tr>
        <w:trPr>
          <w:cantSplit/>
          <w:tblHeader/>
        </w:trPr>
        <w:tc>
          <w:tcPr>
            <w:tcW w:type="dxa" w:w="23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Tệp</w:t>
            </w:r>
          </w:p>
        </w:tc>
        <w:tc>
          <w:tcPr>
            <w:tcW w:type="dxa" w:w="66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Nội dung</w:t>
            </w:r>
          </w:p>
        </w:tc>
      </w:tr>
      <w:tr>
        <w:trPr>
          <w:cantSplit/>
          <w:tblHeader w:val="false"/>
        </w:trPr>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MissionPlan.csv</w:t>
            </w:r>
          </w:p>
        </w:tc>
        <w:tc>
          <w:tcPr>
            <w:tcW w:type="dxa" w:w="66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Mỗi dòng là một lượt xuất kích, kèm các đại lượng pᵢⱼ, cᵢⱼ, wᵢ và chuỗi đỉnh của tuyến bay</w:t>
            </w:r>
          </w:p>
        </w:tc>
      </w:tr>
      <w:tr>
        <w:trPr>
          <w:cantSplit/>
          <w:tblHeader w:val="false"/>
        </w:trPr>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MissionSummary.csv</w:t>
            </w:r>
          </w:p>
        </w:tc>
        <w:tc>
          <w:tcPr>
            <w:tcW w:type="dxa" w:w="66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Các chỉ số cấp chiến dịch: giá trị hàm mục tiêu, tổng chi phí, ngân sách, số phương tiện huy động, số mục tiêu được tiến công</w:t>
            </w:r>
          </w:p>
        </w:tc>
      </w:tr>
    </w:tbl>
    <w:p>
      <w:pPr>
        <w:pStyle w:val="Heading2"/>
        <w:spacing w:after="160" w:before="280" w:line="360"/>
        <w:jc w:val="left"/>
      </w:pPr>
      <w:r>
        <w:rPr>
          <w:rFonts w:ascii="Times New Roman" w:cs="Times New Roman" w:eastAsia="Times New Roman" w:hAnsi="Times New Roman"/>
          <w:b/>
          <w:bCs/>
          <w:sz w:val="30"/>
          <w:szCs w:val="30"/>
        </w:rPr>
        <w:t xml:space="preserve">B.3. Giao diện chương trình hai chiều</w:t>
      </w:r>
    </w:p>
    <w:p>
      <w:pPr>
        <w:spacing w:after="120" w:before="0" w:line="360"/>
        <w:ind w:firstLine="431"/>
        <w:jc w:val="both"/>
      </w:pPr>
      <w:r>
        <w:rPr>
          <w:rFonts w:ascii="Times New Roman" w:cs="Times New Roman" w:eastAsia="Times New Roman" w:hAnsi="Times New Roman"/>
          <w:sz w:val="26"/>
          <w:szCs w:val="26"/>
        </w:rPr>
        <w:t xml:space="preserve">Cửa sổ chính hiển thị bản đồ tác chiến gồm các đỉnh chuyển hướng, vị trí các tổ UAV, vị trí các mục tiêu, các đoạn hành lang bay và tuyến bay của từng phương tiện được phân công. Tuyến bay của mỗi tổ được vẽ bằng một màu riêng để phân biệt hướng tiến công.</w:t>
      </w:r>
    </w:p>
    <w:p>
      <w:pPr>
        <w:spacing w:after="80" w:before="120"/>
        <w:jc w:val="center"/>
      </w:pPr>
      <w:r>
        <w:rPr>
          <w:rFonts w:ascii="Times New Roman" w:cs="Times New Roman" w:eastAsia="Times New Roman" w:hAnsi="Times New Roman"/>
          <w:i/>
          <w:iCs/>
          <w:sz w:val="24"/>
          <w:szCs w:val="24"/>
        </w:rPr>
        <w:t xml:space="preserve">Bảng B.3. Các thao tác điều khiển giao diện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Thao tác</w:t>
            </w:r>
          </w:p>
        </w:tc>
        <w:tc>
          <w:tcPr>
            <w:tcW w:type="dxa" w:w="68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Chức năng</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Phím 1, 2, 3</w:t>
            </w:r>
          </w:p>
        </w:tc>
        <w:tc>
          <w:tcPr>
            <w:tcW w:type="dxa" w:w="68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Bật hoặc tắt hiển thị tuyến bay của từng tổ UAV</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Phím C</w:t>
            </w:r>
          </w:p>
        </w:tc>
        <w:tc>
          <w:tcPr>
            <w:tcW w:type="dxa" w:w="68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Mở cửa sổ biểu đồ thiệt hại theo từng mục tiêu</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Cuộn chuột</w:t>
            </w:r>
          </w:p>
        </w:tc>
        <w:tc>
          <w:tcPr>
            <w:tcW w:type="dxa" w:w="68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Phóng to, thu nhỏ bản đồ</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Kéo chuột trái</w:t>
            </w:r>
          </w:p>
        </w:tc>
        <w:tc>
          <w:tcPr>
            <w:tcW w:type="dxa" w:w="68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Di chuyển vùng nhìn</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Nhấp vào mục tiêu</w:t>
            </w:r>
          </w:p>
        </w:tc>
        <w:tc>
          <w:tcPr>
            <w:tcW w:type="dxa" w:w="68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Hiển thị danh sách phương tiện được phân công cho mục tiêu đó</w:t>
            </w:r>
          </w:p>
        </w:tc>
      </w:tr>
    </w:tbl>
    <w:p>
      <w:pPr>
        <w:spacing w:after="120" w:before="100" w:line="360"/>
        <w:ind w:firstLine="431"/>
        <w:jc w:val="both"/>
      </w:pPr>
      <w:r>
        <w:rPr>
          <w:rFonts w:ascii="Times New Roman" w:cs="Times New Roman" w:eastAsia="Times New Roman" w:hAnsi="Times New Roman"/>
          <w:sz w:val="26"/>
          <w:szCs w:val="26"/>
        </w:rPr>
        <w:t xml:space="preserve">Ngoài giao diện đồ hoạ, chương trình xuất ra cửa sổ nhật ký toàn bộ quá trình: dữ liệu nạp vào, ma trận tham số dẫn xuất, tiến trình thuật toán, kết quả kiểm định ràng buộc, tuyến bay từng phương tiện, danh sách mục tiêu được chọn và mục tiêu bị loại. Nhật ký này là công cụ đối chiếu khi kiểm tra kết quả ở mục 3.7.</w:t>
      </w:r>
    </w:p>
    <w:p>
      <w:pPr>
        <w:pStyle w:val="Heading2"/>
        <w:spacing w:after="160" w:before="280" w:line="360"/>
        <w:jc w:val="left"/>
      </w:pPr>
      <w:r>
        <w:rPr>
          <w:rFonts w:ascii="Times New Roman" w:cs="Times New Roman" w:eastAsia="Times New Roman" w:hAnsi="Times New Roman"/>
          <w:b/>
          <w:bCs/>
          <w:sz w:val="30"/>
          <w:szCs w:val="30"/>
        </w:rPr>
        <w:t xml:space="preserve">B.4. Quy trình chạy lại thực nghiệm</w:t>
      </w:r>
    </w:p>
    <w:p>
      <w:pPr>
        <w:spacing w:after="120" w:before="0" w:line="360"/>
        <w:ind w:firstLine="431"/>
        <w:jc w:val="both"/>
      </w:pPr>
      <w:r>
        <w:rPr>
          <w:rFonts w:ascii="Times New Roman" w:cs="Times New Roman" w:eastAsia="Times New Roman" w:hAnsi="Times New Roman"/>
          <w:sz w:val="26"/>
          <w:szCs w:val="26"/>
        </w:rPr>
        <w:t xml:space="preserve">Để tái lập các kết quả ở mục 3.8, thực hiện theo trình tự sau. Một, đặt bảy tệp dữ liệu vào thư mục Data cạnh tệp thực thi. Hai, mở Config.csv, đặt ngân sách chiến dịch và hệ số chi phí hành trình theo kịch bản cần khảo sát, giữ nguyên hạt giống ngẫu nhiên đã công bố. Ba, chạy chương trình; giá trị hàm mục tiêu và toàn bộ phương án phân công được in ra cửa sổ nhật ký, đồng thời ghi vào hai tệp kết quả ở Bảng 3.5. Bốn, mở cảnh ba chiều để xem lại phương án vừa sinh; cảnh này đọc trực tiếp hai tệp kết quả nên không cần thao tác đồng bộ thủ công.</w:t>
      </w:r>
    </w:p>
    <w:p>
      <w:pPr>
        <w:spacing w:after="120" w:before="0" w:line="360"/>
        <w:ind w:firstLine="431"/>
        <w:jc w:val="both"/>
      </w:pPr>
      <w:r>
        <w:rPr>
          <w:rFonts w:ascii="Times New Roman" w:cs="Times New Roman" w:eastAsia="Times New Roman" w:hAnsi="Times New Roman"/>
          <w:sz w:val="26"/>
          <w:szCs w:val="26"/>
        </w:rPr>
        <w:t xml:space="preserve">Khảo sát độ nhạy theo ngân sách ở mục 3.8.3 và theo hệ số chi phí hành trình ở mục 3.8.4 được thực hiện bằng cách lặp lại bước hai và bước ba với từng giá trị tham số, giữ nguyên mọi tệp dữ liệu còn lại.</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2026-09-23T12:12:13.073Z</dcterms:created>
  <dcterms:modified xsi:type="dcterms:W3CDTF">2026-09-23T12:12:13.073Z</dcterms:modified>
</cp:coreProperties>
</file>

<file path=docProps/custom.xml><?xml version="1.0" encoding="utf-8"?>
<Properties xmlns="http://schemas.openxmlformats.org/officeDocument/2006/custom-properties" xmlns:vt="http://schemas.openxmlformats.org/officeDocument/2006/docPropsVTypes"/>
</file>