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0" w:line="360"/>
        <w:jc w:val="center"/>
      </w:pPr>
      <w:r>
        <w:rPr>
          <w:rFonts w:ascii="Times New Roman" w:cs="Times New Roman" w:eastAsia="Times New Roman" w:hAnsi="Times New Roman"/>
          <w:b/>
          <w:bCs/>
          <w:sz w:val="32"/>
          <w:szCs w:val="32"/>
        </w:rPr>
        <w:t xml:space="preserve">BỔ SUNG VÀ SỬA ĐỔI BÁO CÁO</w:t>
      </w:r>
    </w:p>
    <w:p>
      <w:pPr>
        <w:pStyle w:val="Heading1"/>
        <w:spacing w:after="280" w:before="0" w:line="360"/>
        <w:jc w:val="center"/>
      </w:pPr>
      <w:r>
        <w:rPr>
          <w:rFonts w:ascii="Times New Roman" w:cs="Times New Roman" w:eastAsia="Times New Roman" w:hAnsi="Times New Roman"/>
          <w:b/>
          <w:bCs/>
          <w:sz w:val="32"/>
          <w:szCs w:val="32"/>
        </w:rPr>
        <w:t xml:space="preserve">Đợt 26/9/2026 — sau khi cài thuật toán đối chứng vào chương trình</w:t>
      </w:r>
    </w:p>
    <w:p>
      <w:pPr>
        <w:spacing w:after="120" w:before="0" w:line="360"/>
        <w:ind w:firstLine="431"/>
        <w:jc w:val="both"/>
      </w:pPr>
      <w:r>
        <w:rPr>
          <w:rFonts w:ascii="Times New Roman" w:cs="Times New Roman" w:eastAsia="Times New Roman" w:hAnsi="Times New Roman"/>
          <w:sz w:val="26"/>
          <w:szCs w:val="26"/>
        </w:rPr>
        <w:t xml:space="preserve">Tài liệu này gồm các đoạn cần chép vào Bao_cao_Test1.docx. Mỗi khối có nhãn xanh ghi rõ thay mục nào hoặc bổ sung vào đâu. Phần đánh số hình và bảng đã tính theo trạng thái sau khi chèn đủ, bảng đối chiếu ở ngay dưới.</w:t>
      </w:r>
    </w:p>
    <w:p>
      <w:pPr>
        <w:shd w:fill="1F4E79" w:val="clear"/>
        <w:spacing w:after="160" w:before="320" w:line="320"/>
        <w:ind w:left="144" w:right="144"/>
      </w:pPr>
      <w:r>
        <w:rPr>
          <w:rFonts w:ascii="Times New Roman" w:cs="Times New Roman" w:eastAsia="Times New Roman" w:hAnsi="Times New Roman"/>
          <w:b/>
          <w:bCs/>
          <w:color w:val="FFFFFF"/>
          <w:sz w:val="26"/>
          <w:szCs w:val="26"/>
        </w:rPr>
        <w:t xml:space="preserve">0. ĐỐI CHIẾU ĐÁNH SỐ SAU KHI CHÈN</w:t>
      </w:r>
    </w:p>
    <w:p>
      <w:pPr>
        <w:spacing w:after="120" w:before="0" w:line="360"/>
        <w:ind w:firstLine="431"/>
        <w:jc w:val="both"/>
      </w:pPr>
      <w:r>
        <w:rPr>
          <w:rFonts w:ascii="Times New Roman" w:cs="Times New Roman" w:eastAsia="Times New Roman" w:hAnsi="Times New Roman"/>
          <w:sz w:val="26"/>
          <w:szCs w:val="26"/>
        </w:rPr>
        <w:t xml:space="preserve">Ba bảng mới và hai hình mới làm dịch số của các bảng, hình phía sau. Đối chiếu như sau.</w:t>
      </w:r>
    </w:p>
    <w:p>
      <w:pPr>
        <w:spacing w:after="80" w:before="120"/>
        <w:jc w:val="center"/>
      </w:pPr>
      <w:r>
        <w:rPr>
          <w:rFonts w:ascii="Times New Roman" w:cs="Times New Roman" w:eastAsia="Times New Roman" w:hAnsi="Times New Roman"/>
          <w:i/>
          <w:iCs/>
          <w:sz w:val="24"/>
          <w:szCs w:val="24"/>
        </w:rPr>
        <w:t xml:space="preserve">Bảng — đối chiếu số hiệu bảng của Chương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95"/>
        <w:gridCol w:w="1095"/>
        <w:gridCol w:w="1946"/>
        <w:gridCol w:w="4865"/>
      </w:tblGrid>
      <w:tr>
        <w:trPr>
          <w:cantSplit/>
          <w:tblHeader/>
        </w:trPr>
        <w:tc>
          <w:tcPr>
            <w:tcW w:type="dxa" w:w="1095"/>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mới</w:t>
            </w:r>
          </w:p>
        </w:tc>
        <w:tc>
          <w:tcPr>
            <w:tcW w:type="dxa" w:w="1095"/>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cũ</w:t>
            </w:r>
          </w:p>
        </w:tc>
        <w:tc>
          <w:tcPr>
            <w:tcW w:type="dxa" w:w="1946"/>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Thuộc mục</w:t>
            </w:r>
          </w:p>
        </w:tc>
        <w:tc>
          <w:tcPr>
            <w:tcW w:type="dxa" w:w="4865"/>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Nội dung</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3.1 – 3.4</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giữ nguyên</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3.1.4 → 3.4.6</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không đổi</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3.5</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MỚI</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3.4.7</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Giới hạn quy mô của thuật toán đối chứng</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3.6</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3.5</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3.5.1</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Năm giai đoạn hành trình</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3.7</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3.6</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3.6.2</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Tham số hệ thống mục tiêu</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3.8</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3.7</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3.6.3</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Tham số kỹ thuật lực lượng UAV</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3.9</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3.8</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3.6.4</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Ma trận xác suất tiêu diệt</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3.10</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3.9</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3.7.1</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Đối chiếu quy hoạch động với vét cạn</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3.11</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MỚI</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3.7.2</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Ma trận phủ tham số của bộ kiểm thử</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3.12</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3.10</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3.7.2</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Ca kiểm thử miền khả thi (16 ca)</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3.13</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MỚI</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3.7.2</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Ca kiểm thử tiêu chuẩn hiệu quả (5 ca)</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3.14 – 3.23</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3.11 – 3.20</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3.8.1 → 3.8.6</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dịch lên 3 số</w:t>
            </w:r>
          </w:p>
        </w:tc>
      </w:tr>
    </w:tbl>
    <w:p>
      <w:pPr>
        <w:spacing w:after="80" w:before="120"/>
        <w:jc w:val="center"/>
      </w:pPr>
      <w:r>
        <w:rPr>
          <w:rFonts w:ascii="Times New Roman" w:cs="Times New Roman" w:eastAsia="Times New Roman" w:hAnsi="Times New Roman"/>
          <w:i/>
          <w:iCs/>
          <w:sz w:val="24"/>
          <w:szCs w:val="24"/>
        </w:rPr>
        <w:t xml:space="preserve">Bảng — đối chiếu số hiệu hình của Chương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95"/>
        <w:gridCol w:w="1095"/>
        <w:gridCol w:w="1946"/>
        <w:gridCol w:w="4865"/>
      </w:tblGrid>
      <w:tr>
        <w:trPr>
          <w:cantSplit/>
          <w:tblHeader/>
        </w:trPr>
        <w:tc>
          <w:tcPr>
            <w:tcW w:type="dxa" w:w="1095"/>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mới</w:t>
            </w:r>
          </w:p>
        </w:tc>
        <w:tc>
          <w:tcPr>
            <w:tcW w:type="dxa" w:w="1095"/>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cũ</w:t>
            </w:r>
          </w:p>
        </w:tc>
        <w:tc>
          <w:tcPr>
            <w:tcW w:type="dxa" w:w="1946"/>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Thuộc mục</w:t>
            </w:r>
          </w:p>
        </w:tc>
        <w:tc>
          <w:tcPr>
            <w:tcW w:type="dxa" w:w="4865"/>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Nội dung</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3.1 – 3.6</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giữ nguyên</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3.2.5 → 3.5.2</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không đổi</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3.7</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MỚI</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3.5.2</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Thời điểm công kích và nổ tại mục tiêu</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3.8</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3.7</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3.6.1</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Đồ thị trên nền địa hình thực</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3.9</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MỚI</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3.6.3</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Sáu chủng loại UAV trong biên chế</w:t>
            </w:r>
          </w:p>
        </w:tc>
      </w:tr>
      <w:tr>
        <w:trPr>
          <w:cantSplit/>
          <w:tblHeader w:val="false"/>
        </w:trPr>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3.10 – 3.14</w:t>
            </w:r>
          </w:p>
        </w:tc>
        <w:tc>
          <w:tcPr>
            <w:tcW w:type="dxa" w:w="1095"/>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3.8 – 3.12</w:t>
            </w:r>
          </w:p>
        </w:tc>
        <w:tc>
          <w:tcPr>
            <w:tcW w:type="dxa" w:w="194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3.8.1 → 3.8.6</w:t>
            </w:r>
          </w:p>
        </w:tc>
        <w:tc>
          <w:tcPr>
            <w:tcW w:type="dxa" w:w="486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dịch lên 2 số</w:t>
            </w:r>
          </w:p>
        </w:tc>
      </w:tr>
    </w:tbl>
    <w:p>
      <w:pPr>
        <w:shd w:fill="1F4E79" w:val="clear"/>
        <w:spacing w:after="160" w:before="320" w:line="320"/>
        <w:ind w:left="144" w:right="144"/>
      </w:pPr>
      <w:r>
        <w:rPr>
          <w:rFonts w:ascii="Times New Roman" w:cs="Times New Roman" w:eastAsia="Times New Roman" w:hAnsi="Times New Roman"/>
          <w:b/>
          <w:bCs/>
          <w:color w:val="FFFFFF"/>
          <w:sz w:val="26"/>
          <w:szCs w:val="26"/>
        </w:rPr>
        <w:t xml:space="preserve">1. THAY một câu ở mục 3.4.1 — Vấn đề đặt ra</w:t>
      </w:r>
    </w:p>
    <w:p>
      <w:pPr>
        <w:spacing w:after="120" w:before="80" w:line="320"/>
        <w:ind w:left="288"/>
        <w:jc w:val="both"/>
      </w:pPr>
      <w:r>
        <w:rPr>
          <w:rFonts w:ascii="Times New Roman" w:cs="Times New Roman" w:eastAsia="Times New Roman" w:hAnsi="Times New Roman"/>
          <w:i/>
          <w:iCs/>
          <w:color w:val="C00000"/>
          <w:sz w:val="24"/>
          <w:szCs w:val="24"/>
        </w:rPr>
        <w:t xml:space="preserve">Câu cuối của mục, hiện viết “trong khoảng mười giây”. Con số đó đo trên bản dựng lại bằng Python; bản cài đặt trong chương trình nhanh hơn hơn một bậc.</w:t>
      </w:r>
    </w:p>
    <w:p>
      <w:pPr>
        <w:spacing w:after="120" w:before="0" w:line="360"/>
        <w:ind w:firstLine="431"/>
        <w:jc w:val="both"/>
      </w:pPr>
      <w:r>
        <w:rPr>
          <w:rFonts w:ascii="Times New Roman" w:cs="Times New Roman" w:eastAsia="Times New Roman" w:hAnsi="Times New Roman"/>
          <w:sz w:val="26"/>
          <w:szCs w:val="26"/>
        </w:rPr>
        <w:t xml:space="preserve">Mục này trình bày một thuật toán cho nghiệm tối ưu tuyệt đối trong dưới một giây, bằng cách khai thác một tính chất đặc thù của bài toán mà phương pháp vét cạn tổng quát không tận dụng được.</w:t>
      </w:r>
    </w:p>
    <w:p>
      <w:pPr>
        <w:shd w:fill="1F4E79" w:val="clear"/>
        <w:spacing w:after="160" w:before="320" w:line="320"/>
        <w:ind w:left="144" w:right="144"/>
      </w:pPr>
      <w:r>
        <w:rPr>
          <w:rFonts w:ascii="Times New Roman" w:cs="Times New Roman" w:eastAsia="Times New Roman" w:hAnsi="Times New Roman"/>
          <w:b/>
          <w:bCs/>
          <w:color w:val="FFFFFF"/>
          <w:sz w:val="26"/>
          <w:szCs w:val="26"/>
        </w:rPr>
        <w:t xml:space="preserve">2. THAY Bảng 3.4 và đoạn ngay sau nó — mục 3.4.6</w:t>
      </w:r>
    </w:p>
    <w:p>
      <w:pPr>
        <w:spacing w:after="80" w:before="120"/>
        <w:jc w:val="center"/>
      </w:pPr>
      <w:r>
        <w:rPr>
          <w:rFonts w:ascii="Times New Roman" w:cs="Times New Roman" w:eastAsia="Times New Roman" w:hAnsi="Times New Roman"/>
          <w:i/>
          <w:iCs/>
          <w:sz w:val="24"/>
          <w:szCs w:val="24"/>
        </w:rPr>
        <w:t xml:space="preserve">Bảng 3.4. So sánh khối lượng tính toán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520"/>
        <w:gridCol w:w="1980"/>
      </w:tblGrid>
      <w:tr>
        <w:trPr>
          <w:cantSplit/>
          <w:tblHeader/>
        </w:trPr>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pháp</w:t>
            </w:r>
          </w:p>
        </w:tc>
        <w:tc>
          <w:tcPr>
            <w:tcW w:type="dxa" w:w="27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Đại lượng duyệt</w:t>
            </w:r>
          </w:p>
        </w:tc>
        <w:tc>
          <w:tcPr>
            <w:tcW w:type="dxa" w:w="25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Quy mô</w:t>
            </w:r>
          </w:p>
        </w:tc>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Thời gian thực đo</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Vét cạn tuyệt đối</w:t>
            </w:r>
          </w:p>
        </w:tc>
        <w:tc>
          <w:tcPr>
            <w:tcW w:type="dxa" w:w="27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Mọi phép gán cụ thể từng phương tiện</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7¹⁵ ≈ 4,75 × 10¹²</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18,3 ngày (ước tính)</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Quy hoạch động theo gói</w:t>
            </w:r>
          </w:p>
        </w:tc>
        <w:tc>
          <w:tcPr>
            <w:tcW w:type="dxa" w:w="27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Trạng thái × gói tiến công</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1 712 / 1 728 trạng thái; 5 461 / 5 536 gói</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0,76 giây</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Thuật toán di truyền</w:t>
            </w:r>
          </w:p>
        </w:tc>
        <w:tc>
          <w:tcPr>
            <w:tcW w:type="dxa" w:w="27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Quần thể × số thế hệ</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200 × 500 = 10⁵ lần đánh giá</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[cần đo]</w:t>
            </w:r>
          </w:p>
        </w:tc>
      </w:tr>
    </w:tbl>
    <w:p>
      <w:pPr>
        <w:spacing w:after="120" w:before="80" w:line="320"/>
        <w:ind w:left="288"/>
        <w:jc w:val="both"/>
      </w:pPr>
      <w:r>
        <w:rPr>
          <w:rFonts w:ascii="Times New Roman" w:cs="Times New Roman" w:eastAsia="Times New Roman" w:hAnsi="Times New Roman"/>
          <w:i/>
          <w:iCs/>
          <w:color w:val="C00000"/>
          <w:sz w:val="24"/>
          <w:szCs w:val="24"/>
        </w:rPr>
        <w:t xml:space="preserve">Ô “[cần đo]”: bấm giờ một lần chạy với run_exact = 0 rồi điền. Thời gian 0,76 giây đo trên bản dựng Release; bản Debug cho 30,4 giây, không dùng làm số liệu công bố.</w:t>
      </w:r>
    </w:p>
    <w:p>
      <w:pPr>
        <w:spacing w:after="120" w:before="120" w:line="360"/>
        <w:ind w:firstLine="431"/>
        <w:jc w:val="both"/>
      </w:pPr>
      <w:r>
        <w:rPr>
          <w:rFonts w:ascii="Times New Roman" w:cs="Times New Roman" w:eastAsia="Times New Roman" w:hAnsi="Times New Roman"/>
          <w:sz w:val="26"/>
          <w:szCs w:val="26"/>
        </w:rPr>
        <w:t xml:space="preserve">Hai cặp số ở cột quy mô cần đọc như sau. 1 728 là số trạng thái tối đa theo công thức ∏ₜ (qₜ + 1), còn 1 712 là số trạng thái thực sự tới được — chênh lệch nhỏ vì một vài tổ hợp lực lượng không sinh ra từ bất kỳ dãy gói hợp lệ nào. Tương tự, 5 536 là tổng số gói sau cắt trội khi chưa xét ngân sách, còn 5 461 là số gói còn lại sau khi loại những gói tự thân đã đắt hơn C = 7 000 USD.</w:t>
      </w:r>
    </w:p>
    <w:p>
      <w:pPr>
        <w:spacing w:after="120" w:before="0" w:line="360"/>
        <w:ind w:firstLine="431"/>
        <w:jc w:val="both"/>
      </w:pPr>
      <w:r>
        <w:rPr>
          <w:rFonts w:ascii="Times New Roman" w:cs="Times New Roman" w:eastAsia="Times New Roman" w:hAnsi="Times New Roman"/>
          <w:sz w:val="26"/>
          <w:szCs w:val="26"/>
        </w:rPr>
        <w:t xml:space="preserve">Tỉ lệ rút gọn so với vét cạn xấp xỉ 2,1 × 10⁶ lần. Con số này giải thích vì sao ở quy mô phân đội, việc có được nghiệm tối ưu tuyệt đối làm chuẩn đối chứng là khả thi.</w:t>
      </w:r>
    </w:p>
    <w:p>
      <w:pPr>
        <w:shd w:fill="1F4E79" w:val="clear"/>
        <w:spacing w:after="160" w:before="320" w:line="320"/>
        <w:ind w:left="144" w:right="144"/>
      </w:pPr>
      <w:r>
        <w:rPr>
          <w:rFonts w:ascii="Times New Roman" w:cs="Times New Roman" w:eastAsia="Times New Roman" w:hAnsi="Times New Roman"/>
          <w:b/>
          <w:bCs/>
          <w:color w:val="FFFFFF"/>
          <w:sz w:val="26"/>
          <w:szCs w:val="26"/>
        </w:rPr>
        <w:t xml:space="preserve">3. BỔ SUNG vào cuối mục 3.4.7 — Phạm vi áp dụng và hạn chế</w:t>
      </w:r>
    </w:p>
    <w:p>
      <w:pPr>
        <w:spacing w:after="120" w:before="80" w:line="320"/>
        <w:ind w:left="288"/>
        <w:jc w:val="both"/>
      </w:pPr>
      <w:r>
        <w:rPr>
          <w:rFonts w:ascii="Times New Roman" w:cs="Times New Roman" w:eastAsia="Times New Roman" w:hAnsi="Times New Roman"/>
          <w:i/>
          <w:iCs/>
          <w:color w:val="C00000"/>
          <w:sz w:val="24"/>
          <w:szCs w:val="24"/>
        </w:rPr>
        <w:t xml:space="preserve">Đặt sau đoạn “Hạn chế chính là khối lượng tính toán tăng theo hàm mũ…”, trước đoạn kết “Vì vậy thuật toán này không nhằm thay thế…”. Mục này hiện chỉ lập luận bằng công thức; bảng dưới biến lập luận thành số đo.</w:t>
      </w:r>
    </w:p>
    <w:p>
      <w:pPr>
        <w:spacing w:after="120" w:before="0" w:line="360"/>
        <w:ind w:firstLine="431"/>
        <w:jc w:val="both"/>
      </w:pPr>
      <w:r>
        <w:rPr>
          <w:rFonts w:ascii="Times New Roman" w:cs="Times New Roman" w:eastAsia="Times New Roman" w:hAnsi="Times New Roman"/>
          <w:sz w:val="26"/>
          <w:szCs w:val="26"/>
        </w:rPr>
        <w:t xml:space="preserve">Giới hạn nêu trên được kiểm chứng bằng thực nghiệm. Giữ nguyên hệ thống sáu mục tiêu, tăng dần số chủng loại phương tiện và đo thời gian chạy của thuật toán đối chứng.</w:t>
      </w:r>
    </w:p>
    <w:p>
      <w:pPr>
        <w:spacing w:after="80" w:before="120"/>
        <w:jc w:val="center"/>
      </w:pPr>
      <w:r>
        <w:rPr>
          <w:rFonts w:ascii="Times New Roman" w:cs="Times New Roman" w:eastAsia="Times New Roman" w:hAnsi="Times New Roman"/>
          <w:i/>
          <w:iCs/>
          <w:sz w:val="24"/>
          <w:szCs w:val="24"/>
        </w:rPr>
        <w:t xml:space="preserve">Bảng 3.5. Giới hạn quy mô của thuật toán đối chứng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980"/>
        <w:gridCol w:w="3420"/>
      </w:tblGrid>
      <w:tr>
        <w:trPr>
          <w:cantSplit/>
          <w:tblHeader/>
        </w:trPr>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chủng loại</w:t>
            </w:r>
          </w:p>
        </w:tc>
        <w:tc>
          <w:tcPr>
            <w:tcW w:type="dxa" w:w="14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phương tiện</w:t>
            </w:r>
          </w:p>
        </w:tc>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trạng thái tối đa</w:t>
            </w:r>
          </w:p>
        </w:tc>
        <w:tc>
          <w:tcPr>
            <w:tcW w:type="dxa" w:w="34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Thời gian chạy</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6 (biên chế của đề tài)</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15</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1 728</w:t>
            </w:r>
          </w:p>
        </w:tc>
        <w:tc>
          <w:tcPr>
            <w:tcW w:type="dxa" w:w="34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0,76 giây</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6 (mỗi loại 3 chiếc)</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18</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4 096</w:t>
            </w:r>
          </w:p>
        </w:tc>
        <w:tc>
          <w:tcPr>
            <w:tcW w:type="dxa" w:w="34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7,8 giây</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8</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65 536</w:t>
            </w:r>
          </w:p>
        </w:tc>
        <w:tc>
          <w:tcPr>
            <w:tcW w:type="dxa" w:w="34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quá 165 giây, chưa kết thúc</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10</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1 048 576</w:t>
            </w:r>
          </w:p>
        </w:tc>
        <w:tc>
          <w:tcPr>
            <w:tcW w:type="dxa" w:w="34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quá 165 giây, chưa kết thúc</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12</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36</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16 777 216</w:t>
            </w:r>
          </w:p>
        </w:tc>
        <w:tc>
          <w:tcPr>
            <w:tcW w:type="dxa" w:w="34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từ chối chạy — vượt ngưỡng</w:t>
            </w:r>
          </w:p>
        </w:tc>
      </w:tr>
    </w:tbl>
    <w:p>
      <w:pPr>
        <w:spacing w:after="120" w:before="120" w:line="360"/>
        <w:ind w:firstLine="431"/>
        <w:jc w:val="both"/>
      </w:pPr>
      <w:r>
        <w:rPr>
          <w:rFonts w:ascii="Times New Roman" w:cs="Times New Roman" w:eastAsia="Times New Roman" w:hAnsi="Times New Roman"/>
          <w:sz w:val="26"/>
          <w:szCs w:val="26"/>
        </w:rPr>
        <w:t xml:space="preserve">Cột số trạng thái là kết quả số học chính xác, không phụ thuộc máy tính hay cách cài đặt: nó bằng ∏ₜ (qₜ + 1). Cột thời gian phụ thuộc phần cứng, nhưng bước nhảy thì không thể nhầm — chỉ tăng từ sáu lên tám chủng loại, thời gian đã từ dưới một giây lên quá hai phút rưỡi mà chưa kết thúc.</w:t>
      </w:r>
    </w:p>
    <w:p>
      <w:pPr>
        <w:spacing w:after="120" w:before="0" w:line="360"/>
        <w:ind w:firstLine="431"/>
        <w:jc w:val="both"/>
      </w:pPr>
      <w:r>
        <w:rPr>
          <w:rFonts w:ascii="Times New Roman" w:cs="Times New Roman" w:eastAsia="Times New Roman" w:hAnsi="Times New Roman"/>
          <w:sz w:val="26"/>
          <w:szCs w:val="26"/>
        </w:rPr>
        <w:t xml:space="preserve">Chương trình đặt sẵn một ngưỡng an toàn: khi số trạng thái ước tính vượt năm triệu, thuật toán dừng ngay và báo lý do thay vì chạy cho tới khi cạn bộ nhớ. Dòng cuối của bảng là trường hợp đó.</w:t>
      </w:r>
    </w:p>
    <w:p>
      <w:pPr>
        <w:shd w:fill="1F4E79" w:val="clear"/>
        <w:spacing w:after="160" w:before="320" w:line="320"/>
        <w:ind w:left="144" w:right="144"/>
      </w:pPr>
      <w:r>
        <w:rPr>
          <w:rFonts w:ascii="Times New Roman" w:cs="Times New Roman" w:eastAsia="Times New Roman" w:hAnsi="Times New Roman"/>
          <w:b/>
          <w:bCs/>
          <w:color w:val="FFFFFF"/>
          <w:sz w:val="26"/>
          <w:szCs w:val="26"/>
        </w:rPr>
        <w:t xml:space="preserve">4. BỔ SUNG vào cuối mục 3.5.1 — Quy ước dựng cảnh</w:t>
      </w:r>
    </w:p>
    <w:p>
      <w:pPr>
        <w:spacing w:after="120" w:before="80" w:line="320"/>
        <w:ind w:left="288"/>
        <w:jc w:val="both"/>
      </w:pPr>
      <w:r>
        <w:rPr>
          <w:rFonts w:ascii="Times New Roman" w:cs="Times New Roman" w:eastAsia="Times New Roman" w:hAnsi="Times New Roman"/>
          <w:i/>
          <w:iCs/>
          <w:color w:val="C00000"/>
          <w:sz w:val="24"/>
          <w:szCs w:val="24"/>
        </w:rPr>
        <w:t xml:space="preserve">Đặt ngay sau đoạn “Mọi số liệu hiển thị trong cảnh đều đọc từ tệp kết quả…”. Hiện toàn báo cáo chưa chỗ nào nói vì sao kết quả cố định, trong khi mục 1.7.5 lại khẳng định thuật toán di truyền cho kết quả khác nhau giữa các lần chạy — hai chỗ đang mâu thuẫn.</w:t>
      </w:r>
    </w:p>
    <w:p>
      <w:pPr>
        <w:spacing w:after="100" w:before="0" w:line="360"/>
        <w:ind w:firstLine="431"/>
        <w:jc w:val="both"/>
      </w:pPr>
      <w:r>
        <w:rPr>
          <w:rFonts w:ascii="Times New Roman" w:cs="Times New Roman" w:eastAsia="Times New Roman" w:hAnsi="Times New Roman"/>
          <w:b/>
          <w:bCs/>
          <w:sz w:val="26"/>
          <w:szCs w:val="26"/>
        </w:rPr>
        <w:t xml:space="preserve">Tính tái lập của kết quả. </w:t>
      </w:r>
      <w:r>
        <w:rPr>
          <w:rFonts w:ascii="Times New Roman" w:cs="Times New Roman" w:eastAsia="Times New Roman" w:hAnsi="Times New Roman"/>
          <w:sz w:val="26"/>
          <w:szCs w:val="26"/>
        </w:rPr>
        <w:t xml:space="preserve">Thuật toán di truyền có yếu tố ngẫu nhiên nên nói chung mỗi lần chạy cho một phương án khác nhau, như đã nêu ở mục 1.7.5. Để kết quả công bố trong báo cáo tái lập được, bộ sinh số giả ngẫu nhiên được khởi tạo bằng một hạt giống cố định ghi trong tệp cấu hình, giá trị 20260921 — đặt theo ngày tiến hành thực nghiệm, không chọn theo kết quả thu được. Với cùng bộ dữ liệu và cùng hạt giống, chương trình trả về đúng một phương án qua mọi lần chạy, nhờ đó các hình ảnh, bảng số liệu và cảnh ba chiều trong báo cáo đều thể hiện cùng một phương án.</w:t>
      </w:r>
    </w:p>
    <w:p>
      <w:pPr>
        <w:spacing w:after="120" w:before="0" w:line="360"/>
        <w:ind w:firstLine="431"/>
        <w:jc w:val="both"/>
      </w:pPr>
      <w:r>
        <w:rPr>
          <w:rFonts w:ascii="Times New Roman" w:cs="Times New Roman" w:eastAsia="Times New Roman" w:hAnsi="Times New Roman"/>
          <w:sz w:val="26"/>
          <w:szCs w:val="26"/>
        </w:rPr>
        <w:t xml:space="preserve">Hạt giống không ảnh hưởng tới giá trị tối ưu. Giá trị F* được xác định bằng thuật toán đối chứng ở mục 3.4 — thuật toán này hoàn toàn tất định, không sử dụng một số ngẫu nhiên nào. Độ ổn định của thuật toán di truyền trên các hạt giống khác nhau được kiểm tra riêng ở mục 3.8.6.</w:t>
      </w:r>
    </w:p>
    <w:p>
      <w:pPr>
        <w:shd w:fill="1F4E79" w:val="clear"/>
        <w:spacing w:after="160" w:before="320" w:line="320"/>
        <w:ind w:left="144" w:right="144"/>
      </w:pPr>
      <w:r>
        <w:rPr>
          <w:rFonts w:ascii="Times New Roman" w:cs="Times New Roman" w:eastAsia="Times New Roman" w:hAnsi="Times New Roman"/>
          <w:b/>
          <w:bCs/>
          <w:color w:val="FFFFFF"/>
          <w:sz w:val="26"/>
          <w:szCs w:val="26"/>
        </w:rPr>
        <w:t xml:space="preserve">5. THÊM HÌNH vào mục 3.5.2 — Kết quả trực quan</w:t>
      </w:r>
    </w:p>
    <w:p>
      <w:pPr>
        <w:spacing w:after="120" w:before="80" w:line="320"/>
        <w:ind w:left="288"/>
        <w:jc w:val="both"/>
      </w:pPr>
      <w:r>
        <w:rPr>
          <w:rFonts w:ascii="Times New Roman" w:cs="Times New Roman" w:eastAsia="Times New Roman" w:hAnsi="Times New Roman"/>
          <w:i/>
          <w:iCs/>
          <w:color w:val="C00000"/>
          <w:sz w:val="24"/>
          <w:szCs w:val="24"/>
        </w:rPr>
        <w:t xml:space="preserve">Đây là chỗ đặt bộ ảnh “khu vực bị UAV tấn công rồi nổ”. Chèn sau Hình 3.6 (phương tiện đang bay theo tuyến). Kèm đoạn dẫn dưới đây, đặt TRƯỚC hình.</w:t>
      </w:r>
    </w:p>
    <w:p>
      <w:pPr>
        <w:spacing w:after="120" w:before="0" w:line="360"/>
        <w:ind w:firstLine="431"/>
        <w:jc w:val="both"/>
      </w:pPr>
      <w:r>
        <w:rPr>
          <w:rFonts w:ascii="Times New Roman" w:cs="Times New Roman" w:eastAsia="Times New Roman" w:hAnsi="Times New Roman"/>
          <w:sz w:val="26"/>
          <w:szCs w:val="26"/>
        </w:rPr>
        <w:t xml:space="preserve">Hình 3.7 ghi lại thời điểm công kích. Đây là chỗ mô phỏng thể hiện được điều mà bảng số liệu không nói ra: hai loại phương tiện kết thúc nhiệm vụ theo hai cách khác nhau, đúng theo hệ số hành trình τᵢ trong mô hình. Phương tiện cảm tử lao thẳng vào mục tiêu và kết thúc tại đó; phương tiện chiến đấu giữ độ cao thấp, phóng đạn rồi thoát ly về vị trí xuất phát. Ảnh cũng cho thấy quy mô công trình mục tiêu, giúp đối chiếu trực quan với ngưỡng hoả lực wⱼ ở Bảng 3.7.</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3.7 — </w:t>
      </w:r>
      <w:r>
        <w:rPr>
          <w:rFonts w:ascii="Times New Roman" w:cs="Times New Roman" w:eastAsia="Times New Roman" w:hAnsi="Times New Roman"/>
          <w:i/>
          <w:iCs/>
          <w:color w:val="C00000"/>
          <w:sz w:val="24"/>
          <w:szCs w:val="24"/>
        </w:rPr>
        <w:t xml:space="preserve">Thời điểm công kích và nổ tại mục tiêu trong cảnh ba chiều. Ghép hai tới bốn ảnh: một phương tiện cảm tử lúc lao vào mục tiêu, một cảnh nổ tại mục tiêu, và nếu có thì một phương tiện chiến đấu lúc phóng đạn. Ưu tiên chọn mục tiêu có công trình rõ hình khối như sở chỉ huy hoặc kho nhiên liệu.</w:t>
      </w:r>
    </w:p>
    <w:p>
      <w:pPr>
        <w:shd w:fill="1F4E79" w:val="clear"/>
        <w:spacing w:after="160" w:before="320" w:line="320"/>
        <w:ind w:left="144" w:right="144"/>
      </w:pPr>
      <w:r>
        <w:rPr>
          <w:rFonts w:ascii="Times New Roman" w:cs="Times New Roman" w:eastAsia="Times New Roman" w:hAnsi="Times New Roman"/>
          <w:b/>
          <w:bCs/>
          <w:color w:val="FFFFFF"/>
          <w:sz w:val="26"/>
          <w:szCs w:val="26"/>
        </w:rPr>
        <w:t xml:space="preserve">6. THÊM HÌNH vào mục 3.6.3 — Biên chế lực lượng</w:t>
      </w:r>
    </w:p>
    <w:p>
      <w:pPr>
        <w:spacing w:after="120" w:before="80" w:line="320"/>
        <w:ind w:left="288"/>
        <w:jc w:val="both"/>
      </w:pPr>
      <w:r>
        <w:rPr>
          <w:rFonts w:ascii="Times New Roman" w:cs="Times New Roman" w:eastAsia="Times New Roman" w:hAnsi="Times New Roman"/>
          <w:i/>
          <w:iCs/>
          <w:color w:val="C00000"/>
          <w:sz w:val="24"/>
          <w:szCs w:val="24"/>
        </w:rPr>
        <w:t xml:space="preserve">Đây là chỗ đặt bộ ảnh chụp từng loại UAV. Chèn ngay SAU Bảng 3.8 (tham số kỹ thuật lực lượng UAV) kèm đoạn dẫn dưới đây.</w:t>
      </w:r>
    </w:p>
    <w:p>
      <w:pPr>
        <w:spacing w:after="120" w:before="0" w:line="360"/>
        <w:ind w:firstLine="431"/>
        <w:jc w:val="both"/>
      </w:pPr>
      <w:r>
        <w:rPr>
          <w:rFonts w:ascii="Times New Roman" w:cs="Times New Roman" w:eastAsia="Times New Roman" w:hAnsi="Times New Roman"/>
          <w:sz w:val="26"/>
          <w:szCs w:val="26"/>
        </w:rPr>
        <w:t xml:space="preserve">Hình 3.9 thể hiện hình dáng sáu chủng loại trong biên chế. Hình này không nhằm minh hoạ cho đẹp mà để người đọc đối chiếu được với các tham số ở Bảng 3.8: chủng loại mang lượng nổ lớn có kích thước và khối lượng tương ứng, còn chủng loại cảm tử tầm ngắn thì nhỏ gọn hơn hẳn. Tương quan hình dáng và tham số kỹ thuật là căn cứ để người đọc đánh giá tính hợp lý của bộ dữ liệu giả định.</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3.9 — </w:t>
      </w:r>
      <w:r>
        <w:rPr>
          <w:rFonts w:ascii="Times New Roman" w:cs="Times New Roman" w:eastAsia="Times New Roman" w:hAnsi="Times New Roman"/>
          <w:i/>
          <w:iCs/>
          <w:color w:val="C00000"/>
          <w:sz w:val="24"/>
          <w:szCs w:val="24"/>
        </w:rPr>
        <w:t xml:space="preserve">Sáu chủng loại UAV trong biên chế trung đội: B11, C11, B21, C21, B31, C31. Ghép sáu ảnh thành một hình, mỗi ảnh ghi mã chủng loại và lượng nổ mang theo. Chụp từ cảnh ba chiều ở cùng một góc nhìn và cùng tỉ lệ để so sánh được kích thước.</w:t>
      </w:r>
    </w:p>
    <w:p>
      <w:pPr>
        <w:shd w:fill="1F4E79" w:val="clear"/>
        <w:spacing w:after="160" w:before="320" w:line="320"/>
        <w:ind w:left="144" w:right="144"/>
      </w:pPr>
      <w:r>
        <w:rPr>
          <w:rFonts w:ascii="Times New Roman" w:cs="Times New Roman" w:eastAsia="Times New Roman" w:hAnsi="Times New Roman"/>
          <w:b/>
          <w:bCs/>
          <w:color w:val="FFFFFF"/>
          <w:sz w:val="26"/>
          <w:szCs w:val="26"/>
        </w:rPr>
        <w:t xml:space="preserve">7. BỔ SUNG vào cuối mục 3.7.1 — Đối chiếu với duyệt vét cạn tuyệt đối</w:t>
      </w:r>
    </w:p>
    <w:p>
      <w:pPr>
        <w:spacing w:after="120" w:before="80" w:line="320"/>
        <w:ind w:left="288"/>
        <w:jc w:val="both"/>
      </w:pPr>
      <w:r>
        <w:rPr>
          <w:rFonts w:ascii="Times New Roman" w:cs="Times New Roman" w:eastAsia="Times New Roman" w:hAnsi="Times New Roman"/>
          <w:i/>
          <w:iCs/>
          <w:color w:val="C00000"/>
          <w:sz w:val="24"/>
          <w:szCs w:val="24"/>
        </w:rPr>
        <w:t xml:space="preserve">Đặt sau đoạn “Kết quả trùng khớp tuyệt đối ở cả năm mức ngân sách…”.</w:t>
      </w:r>
    </w:p>
    <w:p>
      <w:pPr>
        <w:spacing w:after="100" w:before="0" w:line="360"/>
        <w:ind w:firstLine="431"/>
        <w:jc w:val="both"/>
      </w:pPr>
      <w:r>
        <w:rPr>
          <w:rFonts w:ascii="Times New Roman" w:cs="Times New Roman" w:eastAsia="Times New Roman" w:hAnsi="Times New Roman"/>
          <w:b/>
          <w:bCs/>
          <w:sz w:val="26"/>
          <w:szCs w:val="26"/>
        </w:rPr>
        <w:t xml:space="preserve">Kiểm chứng bằng hai bản cài đặt độc lập. </w:t>
      </w:r>
      <w:r>
        <w:rPr>
          <w:rFonts w:ascii="Times New Roman" w:cs="Times New Roman" w:eastAsia="Times New Roman" w:hAnsi="Times New Roman"/>
          <w:sz w:val="26"/>
          <w:szCs w:val="26"/>
        </w:rPr>
        <w:t xml:space="preserve">Ngoài phép đối chiếu với vét cạn, thuật toán đối chứng còn được cài đặt hai lần bằng hai ngôn ngữ khác nhau và trên hai nền tảng khác nhau, từ cùng một đặc tả ở mục 3.4. Hai bản cho kết quả trùng khớp tới bốn chữ số thập phân ở cả sáu mức ngân sách đã thử, cùng một phương án phân công, và cùng đếm được 5 536 gói tiến công sau cắt trội.</w:t>
      </w:r>
    </w:p>
    <w:p>
      <w:pPr>
        <w:spacing w:after="80" w:before="120"/>
        <w:jc w:val="center"/>
      </w:pPr>
      <w:r>
        <w:rPr>
          <w:rFonts w:ascii="Times New Roman" w:cs="Times New Roman" w:eastAsia="Times New Roman" w:hAnsi="Times New Roman"/>
          <w:i/>
          <w:iCs/>
          <w:sz w:val="24"/>
          <w:szCs w:val="24"/>
        </w:rPr>
        <w:t xml:space="preserve">Bảng 3.10b. Đối chiếu hai bản cài đặt độc lập của thuật toán đối chứng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2340"/>
        <w:gridCol w:w="2340"/>
      </w:tblGrid>
      <w:tr>
        <w:trPr>
          <w:cantSplit/>
          <w:tblHeader/>
        </w:trPr>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Ngân sách C (USD)</w:t>
            </w:r>
          </w:p>
        </w:tc>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Bản cài đặt thứ nhất</w:t>
            </w:r>
          </w:p>
        </w:tc>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Bản cài đặt thứ hai</w:t>
            </w:r>
          </w:p>
        </w:tc>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Kết luận</w:t>
            </w:r>
          </w:p>
        </w:tc>
      </w:tr>
      <w:tr>
        <w:trPr>
          <w:cantSplit/>
          <w:tblHeader w:val="false"/>
        </w:trPr>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2 000</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983,10</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983,10</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r>
      <w:tr>
        <w:trPr>
          <w:cantSplit/>
          <w:tblHeader w:val="false"/>
        </w:trPr>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4 000</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2 137,65</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2 137,65</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r>
      <w:tr>
        <w:trPr>
          <w:cantSplit/>
          <w:tblHeader w:val="false"/>
        </w:trPr>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6 000</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2 976,72</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2 976,72</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r>
      <w:tr>
        <w:trPr>
          <w:cantSplit/>
          <w:tblHeader w:val="false"/>
        </w:trPr>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7 000</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3 233,28</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3 233,28</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r>
      <w:tr>
        <w:trPr>
          <w:cantSplit/>
          <w:tblHeader w:val="false"/>
        </w:trPr>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8 413</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r>
      <w:tr>
        <w:trPr>
          <w:cantSplit/>
          <w:tblHeader w:val="false"/>
        </w:trPr>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50 000</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r>
    </w:tbl>
    <w:p>
      <w:pPr>
        <w:spacing w:after="120" w:before="120" w:line="360"/>
        <w:ind w:firstLine="431"/>
        <w:jc w:val="both"/>
      </w:pPr>
      <w:r>
        <w:rPr>
          <w:rFonts w:ascii="Times New Roman" w:cs="Times New Roman" w:eastAsia="Times New Roman" w:hAnsi="Times New Roman"/>
          <w:sz w:val="26"/>
          <w:szCs w:val="26"/>
        </w:rPr>
        <w:t xml:space="preserve">Cài đặt độc lập hai lần là mức kiểm chứng cao hơn so với chỉ đối chiếu hai thuật toán trong cùng một mã nguồn: sai sót lập trình giống hệt nhau ở hai người viết, hai ngôn ngữ là điều khó xảy ra. Thực tế trong quá trình xây dựng, phép đối chiếu này đã phát hiện một sai lệch giữa hai bản, truy ra nguyên nhân là một bản cài thiếu điều kiện thứ ba của quan hệ trội nêu ở mục 3.4.4 — cho thấy giá trị của biện pháp.</w:t>
      </w:r>
    </w:p>
    <w:p>
      <w:pPr>
        <w:shd w:fill="1F4E79" w:val="clear"/>
        <w:spacing w:after="160" w:before="320" w:line="320"/>
        <w:ind w:left="144" w:right="144"/>
      </w:pPr>
      <w:r>
        <w:rPr>
          <w:rFonts w:ascii="Times New Roman" w:cs="Times New Roman" w:eastAsia="Times New Roman" w:hAnsi="Times New Roman"/>
          <w:b/>
          <w:bCs/>
          <w:color w:val="FFFFFF"/>
          <w:sz w:val="26"/>
          <w:szCs w:val="26"/>
        </w:rPr>
        <w:t xml:space="preserve">8. THAY TOÀN BỘ mục 3.7.2 — Bộ ca kiểm thử</w:t>
      </w:r>
    </w:p>
    <w:p>
      <w:pPr>
        <w:spacing w:after="120" w:before="80" w:line="320"/>
        <w:ind w:left="288"/>
        <w:jc w:val="both"/>
      </w:pPr>
      <w:r>
        <w:rPr>
          <w:rFonts w:ascii="Times New Roman" w:cs="Times New Roman" w:eastAsia="Times New Roman" w:hAnsi="Times New Roman"/>
          <w:i/>
          <w:iCs/>
          <w:color w:val="C00000"/>
          <w:sz w:val="24"/>
          <w:szCs w:val="24"/>
        </w:rPr>
        <w:t xml:space="preserve">Mục cũ có 12 ca, kiểm khá kỹ các ràng buộc nhưng không có ca nào đụng tới hai tham số của hàm mục tiêu. Bản mới bổ sung 9 ca và sắp lại theo nguyên tắc phủ tham số.</w:t>
      </w:r>
    </w:p>
    <w:p>
      <w:pPr>
        <w:pStyle w:val="Heading3"/>
        <w:spacing w:after="160" w:before="280" w:line="360"/>
        <w:jc w:val="left"/>
      </w:pPr>
      <w:r>
        <w:rPr>
          <w:rFonts w:ascii="Times New Roman" w:cs="Times New Roman" w:eastAsia="Times New Roman" w:hAnsi="Times New Roman"/>
          <w:b/>
          <w:bCs/>
          <w:sz w:val="28"/>
          <w:szCs w:val="28"/>
        </w:rPr>
        <w:t xml:space="preserve">3.7.2. Bộ ca kiểm thử</w:t>
      </w:r>
    </w:p>
    <w:p>
      <w:pPr>
        <w:spacing w:after="120" w:before="0" w:line="360"/>
        <w:ind w:firstLine="431"/>
        <w:jc w:val="both"/>
      </w:pPr>
      <w:r>
        <w:rPr>
          <w:rFonts w:ascii="Times New Roman" w:cs="Times New Roman" w:eastAsia="Times New Roman" w:hAnsi="Times New Roman"/>
          <w:sz w:val="26"/>
          <w:szCs w:val="26"/>
        </w:rPr>
        <w:t xml:space="preserve">Phép đối chiếu ở mục trên xác nhận thuật toán cho đúng nghiệm tối ưu trên một thể hiện bình thường. Nhưng lỗi lập trình thường không lộ ra ở thể hiện bình thường mà ở các trường hợp biên, và một bộ kiểm thử chỉ có giá trị khi nó phủ hết các tham số của mô hình.</w:t>
      </w:r>
    </w:p>
    <w:p>
      <w:pPr>
        <w:spacing w:after="120" w:before="0" w:line="360"/>
        <w:ind w:firstLine="431"/>
        <w:jc w:val="both"/>
      </w:pPr>
      <w:r>
        <w:rPr>
          <w:rFonts w:ascii="Times New Roman" w:cs="Times New Roman" w:eastAsia="Times New Roman" w:hAnsi="Times New Roman"/>
          <w:sz w:val="26"/>
          <w:szCs w:val="26"/>
        </w:rPr>
        <w:t xml:space="preserve">Nguyên tắc xây dựng bộ kiểm thử vì vậy là: mỗi tham số của mô hình phải có ít nhất một ca thay đổi nó tới mức cực đoan hoặc theo hướng đảo ngược, và kết quả thu được phải khớp với dự đoán suy luận trước khi chạy.</w:t>
      </w:r>
    </w:p>
    <w:p>
      <w:pPr>
        <w:spacing w:after="80" w:before="120"/>
        <w:jc w:val="center"/>
      </w:pPr>
      <w:r>
        <w:rPr>
          <w:rFonts w:ascii="Times New Roman" w:cs="Times New Roman" w:eastAsia="Times New Roman" w:hAnsi="Times New Roman"/>
          <w:i/>
          <w:iCs/>
          <w:sz w:val="24"/>
          <w:szCs w:val="24"/>
        </w:rPr>
        <w:t xml:space="preserve">Bảng 3.11. Ma trận phủ tham số của bộ kiểm thử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00"/>
      </w:tblGrid>
      <w:tr>
        <w:trPr>
          <w:cantSplit/>
          <w:tblHeader/>
        </w:trPr>
        <w:tc>
          <w:tcPr>
            <w:tcW w:type="dxa" w:w="30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Tham số</w:t>
            </w:r>
          </w:p>
        </w:tc>
        <w:tc>
          <w:tcPr>
            <w:tcW w:type="dxa" w:w="34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Vai trò trong mô hình</w:t>
            </w:r>
          </w:p>
        </w:tc>
        <w:tc>
          <w:tcPr>
            <w:tcW w:type="dxa" w:w="2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Ca kiểm thử</w:t>
            </w:r>
          </w:p>
        </w:tc>
      </w:tr>
      <w:tr>
        <w:trPr>
          <w:cantSplit/>
          <w:tblHeader w:val="false"/>
        </w:trPr>
        <w:tc>
          <w:tcPr>
            <w:tcW w:type="dxa" w:w="30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vⱼ — giá trị mục tiêu</w:t>
            </w:r>
          </w:p>
        </w:tc>
        <w:tc>
          <w:tcPr>
            <w:tcW w:type="dxa" w:w="340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Hàm mục tiêu (2.5)</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KT-13, KT-14, KT-15</w:t>
            </w:r>
          </w:p>
        </w:tc>
      </w:tr>
      <w:tr>
        <w:trPr>
          <w:cantSplit/>
          <w:tblHeader w:val="false"/>
        </w:trPr>
        <w:tc>
          <w:tcPr>
            <w:tcW w:type="dxa" w:w="30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pᵢⱼ — xác suất tiêu diệt</w:t>
            </w:r>
          </w:p>
        </w:tc>
        <w:tc>
          <w:tcPr>
            <w:tcW w:type="dxa" w:w="340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Hàm mục tiêu (2.5)</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KT-16, KT-17</w:t>
            </w:r>
          </w:p>
        </w:tc>
      </w:tr>
      <w:tr>
        <w:trPr>
          <w:cantSplit/>
          <w:tblHeader w:val="false"/>
        </w:trPr>
        <w:tc>
          <w:tcPr>
            <w:tcW w:type="dxa" w:w="30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ngân sách chiến dịch</w:t>
            </w:r>
          </w:p>
        </w:tc>
        <w:tc>
          <w:tcPr>
            <w:tcW w:type="dxa" w:w="3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Ràng buộc (2.6)</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 → KT-6</w:t>
            </w:r>
          </w:p>
        </w:tc>
      </w:tr>
      <w:tr>
        <w:trPr>
          <w:cantSplit/>
          <w:tblHeader w:val="false"/>
        </w:trPr>
        <w:tc>
          <w:tcPr>
            <w:tcW w:type="dxa" w:w="30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qₜ — biên chế mỗi chủng loại</w:t>
            </w:r>
          </w:p>
        </w:tc>
        <w:tc>
          <w:tcPr>
            <w:tcW w:type="dxa" w:w="3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Ràng buộc (2.7)</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KT-21</w:t>
            </w:r>
          </w:p>
        </w:tc>
      </w:tr>
      <w:tr>
        <w:trPr>
          <w:cantSplit/>
          <w:tblHeader w:val="false"/>
        </w:trPr>
        <w:tc>
          <w:tcPr>
            <w:tcW w:type="dxa" w:w="30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wⱼ — ngưỡng hoả lực</w:t>
            </w:r>
          </w:p>
        </w:tc>
        <w:tc>
          <w:tcPr>
            <w:tcW w:type="dxa" w:w="3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Ràng buộc (2.8)</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KT-10, KT-11</w:t>
            </w:r>
          </w:p>
        </w:tc>
      </w:tr>
      <w:tr>
        <w:trPr>
          <w:cantSplit/>
          <w:tblHeader w:val="false"/>
        </w:trPr>
        <w:tc>
          <w:tcPr>
            <w:tcW w:type="dxa" w:w="30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wᵢ — lượng nổ mang theo</w:t>
            </w:r>
          </w:p>
        </w:tc>
        <w:tc>
          <w:tcPr>
            <w:tcW w:type="dxa" w:w="3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Ràng buộc (2.8)</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KT-20</w:t>
            </w:r>
          </w:p>
        </w:tc>
      </w:tr>
      <w:tr>
        <w:trPr>
          <w:cantSplit/>
          <w:tblHeader w:val="false"/>
        </w:trPr>
        <w:tc>
          <w:tcPr>
            <w:tcW w:type="dxa" w:w="30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yⱼ — biến chọn mục tiêu</w:t>
            </w:r>
          </w:p>
        </w:tc>
        <w:tc>
          <w:tcPr>
            <w:tcW w:type="dxa" w:w="3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Ràng buộc (2.9)</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 KT-9, KT-11</w:t>
            </w:r>
          </w:p>
        </w:tc>
      </w:tr>
      <w:tr>
        <w:trPr>
          <w:cantSplit/>
          <w:tblHeader w:val="false"/>
        </w:trPr>
        <w:tc>
          <w:tcPr>
            <w:tcW w:type="dxa" w:w="30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Rᵢ — tầm bay</w:t>
            </w:r>
          </w:p>
        </w:tc>
        <w:tc>
          <w:tcPr>
            <w:tcW w:type="dxa" w:w="3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Ràng buộc (2.10)</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KT-9, KT-12</w:t>
            </w:r>
          </w:p>
        </w:tc>
      </w:tr>
      <w:tr>
        <w:trPr>
          <w:cantSplit/>
          <w:tblHeader w:val="false"/>
        </w:trPr>
        <w:tc>
          <w:tcPr>
            <w:tcW w:type="dxa" w:w="30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τᵢ — hệ số hành trình</w:t>
            </w:r>
          </w:p>
        </w:tc>
        <w:tc>
          <w:tcPr>
            <w:tcW w:type="dxa" w:w="3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Ràng buộc (2.10)</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KT-19</w:t>
            </w:r>
          </w:p>
        </w:tc>
      </w:tr>
      <w:tr>
        <w:trPr>
          <w:cantSplit/>
          <w:tblHeader w:val="false"/>
        </w:trPr>
        <w:tc>
          <w:tcPr>
            <w:tcW w:type="dxa" w:w="30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cᵢ⁰ — giá trị phương tiện</w:t>
            </w:r>
          </w:p>
        </w:tc>
        <w:tc>
          <w:tcPr>
            <w:tcW w:type="dxa" w:w="3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 phí cᵢⱼ, công thức (2.1)</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KT-18</w:t>
            </w:r>
          </w:p>
        </w:tc>
      </w:tr>
      <w:tr>
        <w:trPr>
          <w:cantSplit/>
          <w:tblHeader w:val="false"/>
        </w:trPr>
        <w:tc>
          <w:tcPr>
            <w:tcW w:type="dxa" w:w="30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 — hệ số chi phí hành trình</w:t>
            </w:r>
          </w:p>
        </w:tc>
        <w:tc>
          <w:tcPr>
            <w:tcW w:type="dxa" w:w="3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 phí cᵢⱼ, công thức (2.1)</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KT-7, KT-8</w:t>
            </w:r>
          </w:p>
        </w:tc>
      </w:tr>
    </w:tbl>
    <w:p>
      <w:pPr>
        <w:spacing w:after="120" w:before="120" w:line="360"/>
        <w:ind w:firstLine="431"/>
        <w:jc w:val="both"/>
      </w:pPr>
      <w:r>
        <w:rPr>
          <w:rFonts w:ascii="Times New Roman" w:cs="Times New Roman" w:eastAsia="Times New Roman" w:hAnsi="Times New Roman"/>
          <w:sz w:val="26"/>
          <w:szCs w:val="26"/>
        </w:rPr>
        <w:t xml:space="preserve">Hai dòng đầu in đậm vì chúng khác hẳn về bản chất với các dòng còn lại. Thay đổi vⱼ hoặc pᵢⱼ là thay đổi chính thước đo dùng để so sánh các phương án, nên phương án tối ưu phải đổi theo. Thay đổi các tham số còn lại chỉ làm miền khả thi co lại hoặc nở ra, thước đo giữ nguyên. Vì vậy bộ kiểm thử được trình bày thành hai nhóm.</w:t>
      </w:r>
    </w:p>
    <w:p>
      <w:pPr>
        <w:spacing w:after="100" w:before="0" w:line="360"/>
        <w:ind w:firstLine="431"/>
        <w:jc w:val="both"/>
      </w:pPr>
      <w:r>
        <w:rPr>
          <w:rFonts w:ascii="Times New Roman" w:cs="Times New Roman" w:eastAsia="Times New Roman" w:hAnsi="Times New Roman"/>
          <w:b/>
          <w:bCs/>
          <w:sz w:val="26"/>
          <w:szCs w:val="26"/>
        </w:rPr>
        <w:t xml:space="preserve">Nhóm thứ nhất — kiểm miền khả thi. </w:t>
      </w:r>
      <w:r>
        <w:rPr>
          <w:rFonts w:ascii="Times New Roman" w:cs="Times New Roman" w:eastAsia="Times New Roman" w:hAnsi="Times New Roman"/>
          <w:sz w:val="26"/>
          <w:szCs w:val="26"/>
        </w:rPr>
        <w:t xml:space="preserve">Mười sáu ca dưới đây siết hoặc nới từng ràng buộc tới mức cực đoan, mỗi ca có kết quả suy luận được trước.</w:t>
      </w:r>
    </w:p>
    <w:p>
      <w:pPr>
        <w:spacing w:after="80" w:before="120"/>
        <w:jc w:val="center"/>
      </w:pPr>
      <w:r>
        <w:rPr>
          <w:rFonts w:ascii="Times New Roman" w:cs="Times New Roman" w:eastAsia="Times New Roman" w:hAnsi="Times New Roman"/>
          <w:i/>
          <w:iCs/>
          <w:sz w:val="24"/>
          <w:szCs w:val="24"/>
        </w:rPr>
        <w:t xml:space="preserve">Bảng 3.12. Ca kiểm thử miền khả thi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30"/>
        <w:gridCol w:w="2160"/>
        <w:gridCol w:w="2430"/>
        <w:gridCol w:w="3060"/>
        <w:gridCol w:w="720"/>
      </w:tblGrid>
      <w:tr>
        <w:trPr>
          <w:cantSplit/>
          <w:tblHeader/>
        </w:trPr>
        <w:tc>
          <w:tcPr>
            <w:tcW w:type="dxa" w:w="63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Mã</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Điều kiện thử</w:t>
            </w:r>
          </w:p>
        </w:tc>
        <w:tc>
          <w:tcPr>
            <w:tcW w:type="dxa" w:w="243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Kết quả dự đoán</w:t>
            </w:r>
          </w:p>
        </w:tc>
        <w:tc>
          <w:tcPr>
            <w:tcW w:type="dxa" w:w="30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Kết quả thực tế</w:t>
            </w:r>
          </w:p>
        </w:tc>
        <w:tc>
          <w:tcPr>
            <w:tcW w:type="dxa" w:w="7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Đạt</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0</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kế hoạch rỗng</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 0/6 · 0/15</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KT-2</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300, thấp hơn mọi cᵢ⁰</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kế hoạch rỗng</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 0/6 · 0/15</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KT-3</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2 000</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chỉ đủ đánh một mục tiêu</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983,10 · 1/6 · 2/15</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KT-4</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7 000, mức chính thức</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3 233,28</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3 233,28 · 5/6 · 12/15</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KT-5</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8 412,88, điểm bão hoà</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toàn bộ lực lượng xuất kích</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3 543,27 · 6/6 · 15/15</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KT-6</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50 000, rất lớn</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kết quả bằng KT-5</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3 543,27 · chi phí 8 412,88</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KT-7</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 = 0</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F(k = 5)</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3 543,27 · 6/6 · 15/15</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KT-8</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 = 50, hành trình rất đắt</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loại các mục tiêu ở chiều sâu</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1 882,47 · 2/6 · 6/15</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KT-9</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Tầm bay giảm còn 5 %</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aᵢⱼ ≡ 0, F = 0</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 0/6 · 0/15</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wⱼ tăng mười lần</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gần như không mục tiêu nào đánh được</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300,00 · 1/6 · 15/15</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KT-11</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wⱼ của Sở chỉ huy = 200 kg</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luôn có yⱼ = 0</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2 715,34 · 5/6</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KT-12</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Tầm bay tăng một trăm lần</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cao hơn KT-6</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3 646,49 · 6/6 · 15/15</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KT-18</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cᵢ⁰ của B31 tăng gấp đôi</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B31 bị dùng ít đi</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2 970,82 · 4/6; B31 rời Sở chỉ huy, Kho nhiên liệu bị loại</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KT-19</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τᵢ = 1 cho mọi chủng loại</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tầm với tăng, F tăng</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3 256,58 · 5/6</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KT-20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wᵢ giảm một nửa</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khó đủ ngưỡng, nhiều mục tiêu bị loại</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2 077,67 · 3/6</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KT-21</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biên chế mỗi chủng loại = 1</w:t>
            </w:r>
          </w:p>
        </w:tc>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lực lượng chặn thay cho ngân sách</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1 562,00 · 2/6; chi phí 3 233 / 7 000</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bl>
    <w:p>
      <w:pPr>
        <w:spacing w:after="100" w:before="0" w:line="360"/>
        <w:ind w:firstLine="431"/>
        <w:jc w:val="both"/>
      </w:pPr>
      <w:r>
        <w:rPr>
          <w:rFonts w:ascii="Times New Roman" w:cs="Times New Roman" w:eastAsia="Times New Roman" w:hAnsi="Times New Roman"/>
          <w:b/>
          <w:bCs/>
          <w:sz w:val="26"/>
          <w:szCs w:val="26"/>
        </w:rPr>
        <w:t xml:space="preserve">Nhóm thứ hai — kiểm tiêu chuẩn hiệu quả. </w:t>
      </w:r>
      <w:r>
        <w:rPr>
          <w:rFonts w:ascii="Times New Roman" w:cs="Times New Roman" w:eastAsia="Times New Roman" w:hAnsi="Times New Roman"/>
          <w:sz w:val="26"/>
          <w:szCs w:val="26"/>
        </w:rPr>
        <w:t xml:space="preserve">Năm ca dưới đây thay đổi hai tham số của hàm mục tiêu. Đây là nhóm trả lời câu hỏi cốt lõi: nếu thước đo thay đổi thì phương án tối ưu có thay đổi theo đúng hướng không.</w:t>
      </w:r>
    </w:p>
    <w:p>
      <w:pPr>
        <w:spacing w:after="80" w:before="120"/>
        <w:jc w:val="center"/>
      </w:pPr>
      <w:r>
        <w:rPr>
          <w:rFonts w:ascii="Times New Roman" w:cs="Times New Roman" w:eastAsia="Times New Roman" w:hAnsi="Times New Roman"/>
          <w:i/>
          <w:iCs/>
          <w:sz w:val="24"/>
          <w:szCs w:val="24"/>
        </w:rPr>
        <w:t xml:space="preserve">Bảng 3.13. Ca kiểm thử tiêu chuẩn hiệu quả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30"/>
        <w:gridCol w:w="2340"/>
        <w:gridCol w:w="2160"/>
        <w:gridCol w:w="3150"/>
        <w:gridCol w:w="720"/>
      </w:tblGrid>
      <w:tr>
        <w:trPr>
          <w:cantSplit/>
          <w:tblHeader/>
        </w:trPr>
        <w:tc>
          <w:tcPr>
            <w:tcW w:type="dxa" w:w="63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Mã</w:t>
            </w:r>
          </w:p>
        </w:tc>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Điều kiện thử</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Kết quả dự đoán</w:t>
            </w:r>
          </w:p>
        </w:tc>
        <w:tc>
          <w:tcPr>
            <w:tcW w:type="dxa" w:w="315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Kết quả thực tế</w:t>
            </w:r>
          </w:p>
        </w:tc>
        <w:tc>
          <w:tcPr>
            <w:tcW w:type="dxa" w:w="7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Đạt</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KT-13</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Hoán đổi vⱼ: Sở chỉ huy 1 000 ↔ 300 Đài rada dự phòng</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phương án đảo ngược theo</w:t>
            </w:r>
          </w:p>
        </w:tc>
        <w:tc>
          <w:tcPr>
            <w:tcW w:type="dxa" w:w="31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3 306,05; Sở chỉ huy bị loại hoàn toàn, Đài rada dự phòng nhận ba phương tiện</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KT-14</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Mọi vⱼ bằng nhau (633,33)</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thôi dồn lực vào mục tiêu đắt</w:t>
            </w:r>
          </w:p>
        </w:tc>
        <w:tc>
          <w:tcPr>
            <w:tcW w:type="dxa" w:w="31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2 982,34; Sở chỉ huy tụt từ ba phương tiện xuống 2×B31; mục tiêu bị loại đổi sang Kho nhiên liệu</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KT-15</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Tăng dần vⱼ của Đài rada dự phòng</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tồn tại một ngưỡng để nó được chọn</w:t>
            </w:r>
          </w:p>
        </w:tc>
        <w:tc>
          <w:tcPr>
            <w:tcW w:type="dxa" w:w="31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vⱼ = 309 vẫn bị loại; vⱼ = 310 được đưa vào kế hoạch</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KT-16</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pᵢⱼ = 1 với mọi cặp</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mỗi mục tiêu chỉ cần đủ lượng nổ</w:t>
            </w:r>
          </w:p>
        </w:tc>
        <w:tc>
          <w:tcPr>
            <w:tcW w:type="dxa" w:w="31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3 500,00; dùng 11 thay vì 12 phương tiện</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6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KT-17</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pᵢⱼ của B11 = 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B11 mất giá trị tiêu diệt nhưng vẫn cần cho hoả lực</w:t>
            </w:r>
          </w:p>
        </w:tc>
        <w:tc>
          <w:tcPr>
            <w:tcW w:type="dxa" w:w="31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3 190,40; phương án và chi phí KHÔNG đổi</w:t>
            </w:r>
          </w:p>
        </w:tc>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bl>
    <w:p>
      <w:pPr>
        <w:spacing w:after="120" w:before="140" w:line="360"/>
        <w:ind w:firstLine="431"/>
        <w:jc w:val="both"/>
      </w:pPr>
      <w:r>
        <w:rPr>
          <w:rFonts w:ascii="Times New Roman" w:cs="Times New Roman" w:eastAsia="Times New Roman" w:hAnsi="Times New Roman"/>
          <w:sz w:val="26"/>
          <w:szCs w:val="26"/>
        </w:rPr>
        <w:t xml:space="preserve">Toàn bộ hai mươi mốt ca đều cho kết quả đúng dự đoán. Bốn ca có giá trị riêng đáng nêu.</w:t>
      </w:r>
    </w:p>
    <w:p>
      <w:pPr>
        <w:spacing w:after="100" w:before="0" w:line="360"/>
        <w:ind w:firstLine="431"/>
        <w:jc w:val="both"/>
      </w:pPr>
      <w:r>
        <w:rPr>
          <w:rFonts w:ascii="Times New Roman" w:cs="Times New Roman" w:eastAsia="Times New Roman" w:hAnsi="Times New Roman"/>
          <w:b/>
          <w:bCs/>
          <w:sz w:val="26"/>
          <w:szCs w:val="26"/>
        </w:rPr>
        <w:t xml:space="preserve">KT-1 và KT-9 xác nhận mô hình không bao giờ vô nghiệm. </w:t>
      </w:r>
      <w:r>
        <w:rPr>
          <w:rFonts w:ascii="Times New Roman" w:cs="Times New Roman" w:eastAsia="Times New Roman" w:hAnsi="Times New Roman"/>
          <w:sz w:val="26"/>
          <w:szCs w:val="26"/>
        </w:rPr>
        <w:t xml:space="preserve">Khi không đủ ngân sách hoặc không phương tiện nào bay tới được mục tiêu, chương trình trả về kế hoạch rỗng với F = 0 chứ không báo lỗi. Đây là biểu hiện trực tiếp của vai trò biến chọn mục tiêu yⱼ: phương án x = 0 luôn thoả mãn cả năm ràng buộc.</w:t>
      </w:r>
    </w:p>
    <w:p>
      <w:pPr>
        <w:spacing w:after="100" w:before="0" w:line="360"/>
        <w:ind w:firstLine="431"/>
        <w:jc w:val="both"/>
      </w:pPr>
      <w:r>
        <w:rPr>
          <w:rFonts w:ascii="Times New Roman" w:cs="Times New Roman" w:eastAsia="Times New Roman" w:hAnsi="Times New Roman"/>
          <w:b/>
          <w:bCs/>
          <w:sz w:val="26"/>
          <w:szCs w:val="26"/>
        </w:rPr>
        <w:t xml:space="preserve">KT-13 chứng minh tiêu chuẩn hiệu quả được cài đúng. </w:t>
      </w:r>
      <w:r>
        <w:rPr>
          <w:rFonts w:ascii="Times New Roman" w:cs="Times New Roman" w:eastAsia="Times New Roman" w:hAnsi="Times New Roman"/>
          <w:sz w:val="26"/>
          <w:szCs w:val="26"/>
        </w:rPr>
        <w:t xml:space="preserve">Chỉ hoán đổi giá trị của hai mục tiêu mà toàn bộ phương án đảo ngược: mục tiêu trước đây được ưu tiên số một nay bị loại hoàn toàn, mục tiêu trước đây bị loại nay nhận ba phương tiện. Nếu hàm mục tiêu cài sai — chẳng hạn tối ưu theo số mục tiêu tiêu diệt được thay vì theo giá trị — thì phương án đã không đổi.</w:t>
      </w:r>
    </w:p>
    <w:p>
      <w:pPr>
        <w:spacing w:after="100" w:before="0" w:line="360"/>
        <w:ind w:firstLine="431"/>
        <w:jc w:val="both"/>
      </w:pPr>
      <w:r>
        <w:rPr>
          <w:rFonts w:ascii="Times New Roman" w:cs="Times New Roman" w:eastAsia="Times New Roman" w:hAnsi="Times New Roman"/>
          <w:b/>
          <w:bCs/>
          <w:sz w:val="26"/>
          <w:szCs w:val="26"/>
        </w:rPr>
        <w:t xml:space="preserve">KT-15 cho một con số có ý nghĩa với người chỉ huy. </w:t>
      </w:r>
      <w:r>
        <w:rPr>
          <w:rFonts w:ascii="Times New Roman" w:cs="Times New Roman" w:eastAsia="Times New Roman" w:hAnsi="Times New Roman"/>
          <w:sz w:val="26"/>
          <w:szCs w:val="26"/>
        </w:rPr>
        <w:t xml:space="preserve">Đài rada dự phòng bị loại ở giá trị 300 USD nhưng được đưa vào kế hoạch ngay khi giá trị đạt 310 USD. Quyết định loại mục tiêu do đó không tuỳ tiện mà có một ngưỡng xác định: nếu người chỉ huy đánh giá mục tiêu ấy cao hơn ngưỡng, mô hình tự động đưa nó vào.</w:t>
      </w:r>
    </w:p>
    <w:p>
      <w:pPr>
        <w:spacing w:after="100" w:before="0" w:line="360"/>
        <w:ind w:firstLine="431"/>
        <w:jc w:val="both"/>
      </w:pPr>
      <w:r>
        <w:rPr>
          <w:rFonts w:ascii="Times New Roman" w:cs="Times New Roman" w:eastAsia="Times New Roman" w:hAnsi="Times New Roman"/>
          <w:b/>
          <w:bCs/>
          <w:sz w:val="26"/>
          <w:szCs w:val="26"/>
        </w:rPr>
        <w:t xml:space="preserve">KT-17 tách bạch hai cơ chế của mô hình. </w:t>
      </w:r>
      <w:r>
        <w:rPr>
          <w:rFonts w:ascii="Times New Roman" w:cs="Times New Roman" w:eastAsia="Times New Roman" w:hAnsi="Times New Roman"/>
          <w:sz w:val="26"/>
          <w:szCs w:val="26"/>
        </w:rPr>
        <w:t xml:space="preserve">Đặt xác suất tiêu diệt của B11 bằng 0 — tức chủng loại này hoàn toàn mất khả năng tiêu diệt — mà phương án tối ưu không thay đổi một chi tiết nào, chi phí vẫn đúng 6 911,90 USD; chỉ giá trị hàm mục tiêu giảm từ 3 233,28 xuống 3 190,40. Nguyên nhân: chiếc B11 được giao cho Đài rada chính cùng hai chiếc C11, mà hai chiếc C11 chỉ mang 18 kg trong khi ngưỡng là 20 kg. B11 có mặt ở đó để chở thêm 5 kg thuốc nổ cho đủ ngưỡng, không phải để tiêu diệt. Đây là bằng chứng bằng số cho thấy ràng buộc hoả lực (2.8) và hàm mục tiêu (2.5) là hai cơ chế tách biệt — hiện tượng bù hoả lực giá rẻ đã mô tả ở mục 3.3.4.</w:t>
      </w:r>
    </w:p>
    <w:p>
      <w:pPr>
        <w:shd w:fill="1F4E79" w:val="clear"/>
        <w:spacing w:after="160" w:before="320" w:line="320"/>
        <w:ind w:left="144" w:right="144"/>
      </w:pPr>
      <w:r>
        <w:rPr>
          <w:rFonts w:ascii="Times New Roman" w:cs="Times New Roman" w:eastAsia="Times New Roman" w:hAnsi="Times New Roman"/>
          <w:b/>
          <w:bCs/>
          <w:color w:val="FFFFFF"/>
          <w:sz w:val="26"/>
          <w:szCs w:val="26"/>
        </w:rPr>
        <w:t xml:space="preserve">9. SỬA ba chỗ trong Phụ lục và mục 1.7.5</w:t>
      </w:r>
    </w:p>
    <w:p>
      <w:pPr>
        <w:spacing w:after="100" w:before="0" w:line="360"/>
        <w:ind w:firstLine="431"/>
        <w:jc w:val="both"/>
      </w:pPr>
      <w:r>
        <w:rPr>
          <w:rFonts w:ascii="Times New Roman" w:cs="Times New Roman" w:eastAsia="Times New Roman" w:hAnsi="Times New Roman"/>
          <w:b/>
          <w:bCs/>
          <w:sz w:val="26"/>
          <w:szCs w:val="26"/>
        </w:rPr>
        <w:t xml:space="preserve">Bảng PL.1 — thêm một dòng. </w:t>
      </w:r>
      <w:r>
        <w:rPr>
          <w:rFonts w:ascii="Times New Roman" w:cs="Times New Roman" w:eastAsia="Times New Roman" w:hAnsi="Times New Roman"/>
          <w:sz w:val="26"/>
          <w:szCs w:val="26"/>
        </w:rPr>
        <w:t xml:space="preserve">Chèn dòng sau vào bảng mô-đun, đặt ngay dưới dòng UAVGAOptimizer: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Mô-đun</w:t>
            </w:r>
          </w:p>
        </w:tc>
        <w:tc>
          <w:tcPr>
            <w:tcW w:type="dxa" w:w="68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Chức năng</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ExactSolver</w:t>
            </w:r>
          </w:p>
        </w:tc>
        <w:tc>
          <w:tcPr>
            <w:tcW w:type="dxa" w:w="68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Cài đặt thuật toán đối chứng ở mục 3.4: sinh gói tiến công, cắt trội Pareto, quy hoạch động theo mục tiêu. Chỉ được gọi khi Config.csv đặt run_exact = 1</w:t>
            </w:r>
          </w:p>
        </w:tc>
      </w:tr>
    </w:tbl>
    <w:p>
      <w:pPr>
        <w:spacing w:after="100" w:before="0" w:line="360"/>
        <w:ind w:firstLine="431"/>
        <w:jc w:val="both"/>
      </w:pPr>
      <w:r>
        <w:rPr>
          <w:rFonts w:ascii="Times New Roman" w:cs="Times New Roman" w:eastAsia="Times New Roman" w:hAnsi="Times New Roman"/>
          <w:b/>
          <w:bCs/>
          <w:sz w:val="26"/>
          <w:szCs w:val="26"/>
        </w:rPr>
        <w:t xml:space="preserve">Bảng PL.2 — sửa mô tả tệp Config.csv. </w:t>
      </w:r>
      <w:r>
        <w:rPr>
          <w:rFonts w:ascii="Times New Roman" w:cs="Times New Roman" w:eastAsia="Times New Roman" w:hAnsi="Times New Roman"/>
          <w:sz w:val="26"/>
          <w:szCs w:val="26"/>
        </w:rPr>
        <w:t xml:space="preserve">Thay nội dung ô của dòng Config.csv thành: “Ngân sách chiến dịch, hệ số chi phí hành trình, hạt giống ngẫu nhiên, số lần chạy, và khoá bật/tắt thuật toán đối chứng”.</w:t>
      </w:r>
    </w:p>
    <w:p>
      <w:pPr>
        <w:spacing w:after="100" w:before="0" w:line="360"/>
        <w:ind w:firstLine="431"/>
        <w:jc w:val="both"/>
      </w:pPr>
      <w:r>
        <w:rPr>
          <w:rFonts w:ascii="Times New Roman" w:cs="Times New Roman" w:eastAsia="Times New Roman" w:hAnsi="Times New Roman"/>
          <w:b/>
          <w:bCs/>
          <w:sz w:val="26"/>
          <w:szCs w:val="26"/>
        </w:rPr>
        <w:t xml:space="preserve">Đoạn ghi chú dưới Bảng PL.2 — thay câu cuối. </w:t>
      </w:r>
      <w:r>
        <w:rPr>
          <w:rFonts w:ascii="Times New Roman" w:cs="Times New Roman" w:eastAsia="Times New Roman" w:hAnsi="Times New Roman"/>
          <w:sz w:val="26"/>
          <w:szCs w:val="26"/>
        </w:rPr>
        <w:t xml:space="preserve">Câu hiện tại dẫn tới mục 3.5.2, nhưng nội dung về tính tái lập đã chuyển sang mục 3.5.1. Thay bằng: “Ba khoá ga_seed, ga_runs và run_exact phục vụ tính tái lập và kiểm chứng, nêu ở mục 3.5.1 và mục 3.4.7.”</w:t>
      </w:r>
    </w:p>
    <w:p>
      <w:pPr>
        <w:spacing w:after="100" w:before="0" w:line="360"/>
        <w:ind w:firstLine="431"/>
        <w:jc w:val="both"/>
      </w:pPr>
      <w:r>
        <w:rPr>
          <w:rFonts w:ascii="Times New Roman" w:cs="Times New Roman" w:eastAsia="Times New Roman" w:hAnsi="Times New Roman"/>
          <w:b/>
          <w:bCs/>
          <w:sz w:val="26"/>
          <w:szCs w:val="26"/>
        </w:rPr>
        <w:t xml:space="preserve">Mục PL.4, bước hai — thay cụm từ. </w:t>
      </w:r>
      <w:r>
        <w:rPr>
          <w:rFonts w:ascii="Times New Roman" w:cs="Times New Roman" w:eastAsia="Times New Roman" w:hAnsi="Times New Roman"/>
          <w:sz w:val="26"/>
          <w:szCs w:val="26"/>
        </w:rPr>
        <w:t xml:space="preserve">Cụm “giữ nguyên hạt giống ngẫu nhiên đã công bố” không chỉ rõ hạt giống nào. Thay bằng: “giữ nguyên hạt giống ga_seed = 20260921 nêu ở mục 3.5.1, và đặt run_exact = 1 nếu muốn chương trình in kèm giá trị tối ưu tuyệt đối để đối chiếu”.</w:t>
      </w:r>
    </w:p>
    <w:p>
      <w:pPr>
        <w:spacing w:after="100" w:before="0" w:line="360"/>
        <w:ind w:firstLine="431"/>
        <w:jc w:val="both"/>
      </w:pPr>
      <w:r>
        <w:rPr>
          <w:rFonts w:ascii="Times New Roman" w:cs="Times New Roman" w:eastAsia="Times New Roman" w:hAnsi="Times New Roman"/>
          <w:b/>
          <w:bCs/>
          <w:sz w:val="26"/>
          <w:szCs w:val="26"/>
        </w:rPr>
        <w:t xml:space="preserve">Mục 1.7.5 — thêm nửa câu. </w:t>
      </w:r>
      <w:r>
        <w:rPr>
          <w:rFonts w:ascii="Times New Roman" w:cs="Times New Roman" w:eastAsia="Times New Roman" w:hAnsi="Times New Roman"/>
          <w:sz w:val="26"/>
          <w:szCs w:val="26"/>
        </w:rPr>
        <w:t xml:space="preserve">Sau câu “…kết quả thay đổi giữa các lần chạy do yếu tố ngẫu nhiên”, thêm: “Trong đề tài, yếu tố này được khử bằng hạt giống cố định để kết quả công bố tái lập được, cách làm nêu ở mục 3.5.1.” Không thêm nửa câu này thì mục 1.7.5 và mục 3.8 mâu thuẫn nhau.</w:t>
      </w:r>
    </w:p>
    <w:p>
      <w:pPr>
        <w:shd w:fill="1F4E79" w:val="clear"/>
        <w:spacing w:after="160" w:before="320" w:line="320"/>
        <w:ind w:left="144" w:right="144"/>
      </w:pPr>
      <w:r>
        <w:rPr>
          <w:rFonts w:ascii="Times New Roman" w:cs="Times New Roman" w:eastAsia="Times New Roman" w:hAnsi="Times New Roman"/>
          <w:b/>
          <w:bCs/>
          <w:color w:val="FFFFFF"/>
          <w:sz w:val="26"/>
          <w:szCs w:val="26"/>
        </w:rPr>
        <w:t xml:space="preserve">10. BA CHỖ CÒN CHỜ SỐ LIỆU</w:t>
      </w:r>
    </w:p>
    <w:p>
      <w:pPr>
        <w:spacing w:after="120" w:before="0" w:line="360"/>
        <w:ind w:firstLine="431"/>
        <w:jc w:val="both"/>
      </w:pPr>
      <w:r>
        <w:rPr>
          <w:rFonts w:ascii="Times New Roman" w:cs="Times New Roman" w:eastAsia="Times New Roman" w:hAnsi="Times New Roman"/>
          <w:sz w:val="26"/>
          <w:szCs w:val="26"/>
        </w:rPr>
        <w:t xml:space="preserve">Ba chỗ dưới đây chưa viết được, cần kết quả chạy ga_runs = 30.</w:t>
      </w:r>
    </w:p>
    <w:p>
      <w:pPr>
        <w:spacing w:after="120" w:before="60" w:line="360"/>
        <w:ind w:firstLine="431"/>
        <w:jc w:val="both"/>
      </w:pPr>
      <w:r>
        <w:rPr>
          <w:rFonts w:ascii="Times New Roman" w:cs="Times New Roman" w:eastAsia="Times New Roman" w:hAnsi="Times New Roman"/>
          <w:sz w:val="26"/>
          <w:szCs w:val="26"/>
        </w:rPr>
        <w:t xml:space="preserve">Một — Bảng 3.22 và mục 3.8.6, hiện đang dùng số của bản dựng lại bằng Python, phải thay bằng số của chương trình.</w:t>
      </w:r>
    </w:p>
    <w:p>
      <w:pPr>
        <w:spacing w:after="120" w:before="0" w:line="360"/>
        <w:ind w:firstLine="431"/>
        <w:jc w:val="both"/>
      </w:pPr>
      <w:r>
        <w:rPr>
          <w:rFonts w:ascii="Times New Roman" w:cs="Times New Roman" w:eastAsia="Times New Roman" w:hAnsi="Times New Roman"/>
          <w:sz w:val="26"/>
          <w:szCs w:val="26"/>
        </w:rPr>
        <w:t xml:space="preserve">Hai — Hình 3.14, biểu đồ phân bố ba mươi lần chạy, dựng từ chính số liệu đó.</w:t>
      </w:r>
    </w:p>
    <w:p>
      <w:pPr>
        <w:spacing w:after="120" w:before="0" w:line="360"/>
        <w:ind w:firstLine="431"/>
        <w:jc w:val="both"/>
      </w:pPr>
      <w:r>
        <w:rPr>
          <w:rFonts w:ascii="Times New Roman" w:cs="Times New Roman" w:eastAsia="Times New Roman" w:hAnsi="Times New Roman"/>
          <w:sz w:val="26"/>
          <w:szCs w:val="26"/>
        </w:rPr>
        <w:t xml:space="preserve">Ba — ô “[cần đo]” ở Bảng 3.4, thời gian một lần chạy thuật toán di truyền.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2026-09-26T02:44:12.420Z</dcterms:created>
  <dcterms:modified xsi:type="dcterms:W3CDTF">2026-09-26T02:44:12.431Z</dcterms:modified>
</cp:coreProperties>
</file>

<file path=docProps/custom.xml><?xml version="1.0" encoding="utf-8"?>
<Properties xmlns="http://schemas.openxmlformats.org/officeDocument/2006/custom-properties" xmlns:vt="http://schemas.openxmlformats.org/officeDocument/2006/docPropsVTypes"/>
</file>