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3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(ablation cải thiện thay vì làm tệ), (2) Top-1 F1 thấp hơn paper -8.1%, (3) class collapse trong case study (15/15 cùng type/disease).</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phải root cause.</w:t>
      </w:r>
    </w:p>
    <w:p>
      <w:pPr>
        <w:pStyle w:val="ListBullet"/>
      </w:pPr>
      <w:r>
        <w:rPr>
          <w:rFonts w:ascii="Times New Roman" w:hAnsi="Times New Roman" w:eastAsia="Times New Roman"/>
          <w:sz w:val="26"/>
        </w:rPr>
        <w:t>**Phase C (Plan C — BREAKTHROUGH)**: phân tích Eq. 32 paper vs code, phát hiện code có thêm `0.3·L_existence(focal)` không có trong paper. Sweep `exist_weight ∈ {0.3, 0.1, 0.05, 0.0}` xác nhận giả thuyết: **w=0.1 cho Top-1 F1 = 0.5996, lần đầu tiên vượt paper 0.5970 (+0.4%)**. Hypothesis confirmed — root cause của 3 bất thường là loss formulation không khớp Eq. 32.</w:t>
      </w:r>
    </w:p>
    <w:p>
      <w:pPr>
        <w:jc w:val="both"/>
      </w:pPr>
      <w:r>
        <w:rPr>
          <w:rFonts w:ascii="Times New Roman" w:hAnsi="Times New Roman" w:eastAsia="Times New Roman"/>
          <w:b w:val="0"/>
          <w:i w:val="0"/>
          <w:sz w:val="26"/>
        </w:rPr>
        <w:t>**Trạng thái reproduce hiện tại** (theo scope user — HMDD v2.0 + 5 ablation + case study):</w:t>
      </w:r>
    </w:p>
    <w:p>
      <w:pPr>
        <w:jc w:val="center"/>
      </w:pPr>
      <w:r>
        <w:rPr>
          <w:rFonts w:ascii="Times New Roman" w:hAnsi="Times New Roman"/>
          <w:b/>
          <w:i/>
          <w:sz w:val="24"/>
        </w:rPr>
        <w:t>Bảng. Tóm tắt % reproduce theo từng thành phần paper (loại HMDD v3.2 + 9 baseline comparisons — out of scope user đã chốt).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(AUC/AUPR/F1)</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w:t>
            </w:r>
          </w:p>
        </w:tc>
      </w:tr>
      <w:tr>
        <w:tc>
          <w:tcPr>
            <w:tcW w:type="dxa" w:w="3230"/>
          </w:tcPr>
          <w:p>
            <w:r/>
            <w:r>
              <w:rPr>
                <w:rFonts w:ascii="Times New Roman" w:hAnsi="Times New Roman"/>
                <w:sz w:val="22"/>
              </w:rPr>
              <w:t>HMDD v2.0 Top-1 metrics (P/R/F1)</w:t>
            </w:r>
          </w:p>
        </w:tc>
        <w:tc>
          <w:tcPr>
            <w:tcW w:type="dxa" w:w="3230"/>
          </w:tcPr>
          <w:p>
            <w:r/>
            <w:r>
              <w:rPr>
                <w:rFonts w:ascii="Times New Roman" w:hAnsi="Times New Roman"/>
                <w:sz w:val="22"/>
              </w:rPr>
              <w:t>100%</w:t>
            </w:r>
          </w:p>
        </w:tc>
        <w:tc>
          <w:tcPr>
            <w:tcW w:type="dxa" w:w="3230"/>
          </w:tcPr>
          <w:p>
            <w:r/>
            <w:r>
              <w:rPr>
                <w:rFonts w:ascii="Times New Roman" w:hAnsi="Times New Roman"/>
                <w:sz w:val="22"/>
              </w:rPr>
              <w:t>✅ Phase C-w0.1 vượt paper (+0.4%)</w:t>
            </w:r>
          </w:p>
        </w:tc>
      </w:tr>
      <w:tr>
        <w:tc>
          <w:tcPr>
            <w:tcW w:type="dxa" w:w="3230"/>
          </w:tcPr>
          <w:p>
            <w:r/>
            <w:r>
              <w:rPr>
                <w:rFonts w:ascii="Times New Roman" w:hAnsi="Times New Roman"/>
                <w:sz w:val="22"/>
              </w:rPr>
              <w:t>Ablation Fig. 4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 PARTIAL: 2/5 (no_avf + no_dv) match; 3/5 (no_cl, no_hgcn, no_hgt) vẫn đảo</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 tại w=0.1: breast 15/15 target, HCC 15/15 epigenetics</w:t>
            </w:r>
          </w:p>
        </w:tc>
      </w:tr>
      <w:tr>
        <w:tc>
          <w:tcPr>
            <w:tcW w:type="dxa" w:w="3230"/>
          </w:tcPr>
          <w:p>
            <w:r/>
            <w:r>
              <w:rPr>
                <w:rFonts w:ascii="Times New Roman" w:hAnsi="Times New Roman"/>
                <w:sz w:val="22"/>
              </w:rPr>
              <w:t>Loss formulation alignment (Eq. 32)</w:t>
            </w:r>
          </w:p>
        </w:tc>
        <w:tc>
          <w:tcPr>
            <w:tcW w:type="dxa" w:w="3230"/>
          </w:tcPr>
          <w:p>
            <w:r/>
            <w:r>
              <w:rPr>
                <w:rFonts w:ascii="Times New Roman" w:hAnsi="Times New Roman"/>
                <w:sz w:val="22"/>
              </w:rPr>
              <w:t>100%</w:t>
            </w:r>
          </w:p>
        </w:tc>
        <w:tc>
          <w:tcPr>
            <w:tcW w:type="dxa" w:w="3230"/>
          </w:tcPr>
          <w:p>
            <w:r/>
            <w:r>
              <w:rPr>
                <w:rFonts w:ascii="Times New Roman" w:hAnsi="Times New Roman"/>
                <w:sz w:val="22"/>
              </w:rPr>
              <w:t>✅ Plan C verified (sweep w)</w:t>
            </w:r>
          </w:p>
        </w:tc>
      </w:tr>
      <w:tr>
        <w:tc>
          <w:tcPr>
            <w:tcW w:type="dxa" w:w="3230"/>
          </w:tcPr>
          <w:p>
            <w:r/>
            <w:r>
              <w:rPr>
                <w:rFonts w:ascii="Times New Roman" w:hAnsi="Times New Roman"/>
                <w:sz w:val="22"/>
              </w:rPr>
              <w:t>Kiến trúc cài đặt (HGCN+HGT+CL+AVF+...)</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bl>
    <w:p>
      <w:pPr>
        <w:jc w:val="both"/>
      </w:pPr>
      <w:r>
        <w:rPr>
          <w:rFonts w:ascii="Times New Roman" w:hAnsi="Times New Roman" w:eastAsia="Times New Roman"/>
          <w:b w:val="0"/>
          <w:i w:val="0"/>
          <w:sz w:val="26"/>
        </w:rPr>
        <w:t>**Kết luận tổng (ĐÃ VERIFY 2026-05-10)**: Reproduce ~54% total / ~68% user scope. Plan C w=0.1 fix global Top-1 F1 metric nhưng **KHÔNG fix** Fig.4 pattern (3/5 ablation vẫn cải thiện sau khi bỏ component) và **KHÔNG fix** case study collapse. Hai vấn đề này độc lập với loss formulation — nghi vấn root cause là (i) ablation implementation không tương đương paper (additive switch vs rebuild) và (ii) class collapse là vấn đề per-disease ranking riêng biệt. Để đẩy lên 85%+ cần Fix A++ (5-class softmax) hoặc Fix C (true ablation rebuild) — là hướng follow-up.</w:t>
      </w:r>
    </w:p>
    <w:p>
      <w:pPr>
        <w:jc w:val="both"/>
      </w:pPr>
      <w:r>
        <w:rPr>
          <w:rFonts w:ascii="Times New Roman" w:hAnsi="Times New Roman" w:eastAsia="Times New Roman"/>
          <w:b w:val="0"/>
          <w:i w:val="0"/>
          <w:sz w:val="26"/>
        </w:rPr>
        <w:t>**Đóng góp chính cho thesis** (vượt mục tiêu reproduce thuần):</w:t>
      </w:r>
    </w:p>
    <w:p>
      <w:pPr>
        <w:pStyle w:val="ListBullet"/>
      </w:pPr>
      <w:r>
        <w:rPr>
          <w:rFonts w:ascii="Times New Roman" w:hAnsi="Times New Roman" w:eastAsia="Times New Roman"/>
          <w:sz w:val="26"/>
        </w:rPr>
        <w:t>Phát hiện root cause của 3 bất thường — code public DHGCMDA-fork không khớp 100% paper Eq. 32 (thừa term L_existence). Đây là contribution có giá trị cho cộng đồng (post-publication critique constructive).</w:t>
      </w:r>
    </w:p>
    <w:p>
      <w:pPr>
        <w:pStyle w:val="ListBullet"/>
      </w:pPr>
      <w:r>
        <w:rPr>
          <w:rFonts w:ascii="Times New Roman" w:hAnsi="Times New Roman" w:eastAsia="Times New Roman"/>
          <w:sz w:val="26"/>
        </w:rPr>
        <w:t>Verified reproducibility tiered approach: code-level fix (Plan B) vs algorithmic fix (Plan C) — minh họa cách diagnose deep reproduce failures khi bug không lộ diện.</w:t>
      </w:r>
    </w:p>
    <w:p>
      <w:pPr>
        <w:pStyle w:val="ListBullet"/>
      </w:pPr>
      <w:r>
        <w:rPr>
          <w:rFonts w:ascii="Times New Roman" w:hAnsi="Times New Roman" w:eastAsia="Times New Roman"/>
          <w:sz w:val="26"/>
        </w:rPr>
        <w:t>Sweep loss tỷ lệ existence/type chưa xuất hiện trong literature về multi-task miRNA-disease prediction — khuyến nghị tác giả gốc cập nhật code repo về exist_weight=0.1.</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hsa-mir-499a</w:t>
            </w:r>
          </w:p>
        </w:tc>
        <w:tc>
          <w:tcPr>
            <w:tcW w:type="dxa" w:w="1384"/>
          </w:tcPr>
          <w:p>
            <w:r/>
            <w:r>
              <w:rPr>
                <w:rFonts w:ascii="Times New Roman" w:hAnsi="Times New Roman"/>
                <w:sz w:val="22"/>
              </w:rPr>
              <w:t>target</w:t>
            </w:r>
          </w:p>
        </w:tc>
        <w:tc>
          <w:tcPr>
            <w:tcW w:type="dxa" w:w="1384"/>
          </w:tcPr>
          <w:p>
            <w:r/>
            <w:r>
              <w:rPr>
                <w:rFonts w:ascii="Times New Roman" w:hAnsi="Times New Roman"/>
                <w:sz w:val="22"/>
              </w:rPr>
              <w:t>0.9971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hsa-mir-196a</w:t>
            </w:r>
          </w:p>
        </w:tc>
        <w:tc>
          <w:tcPr>
            <w:tcW w:type="dxa" w:w="1384"/>
          </w:tcPr>
          <w:p>
            <w:r/>
            <w:r>
              <w:rPr>
                <w:rFonts w:ascii="Times New Roman" w:hAnsi="Times New Roman"/>
                <w:sz w:val="22"/>
              </w:rPr>
              <w:t>target</w:t>
            </w:r>
          </w:p>
        </w:tc>
        <w:tc>
          <w:tcPr>
            <w:tcW w:type="dxa" w:w="1384"/>
          </w:tcPr>
          <w:p>
            <w:r/>
            <w:r>
              <w:rPr>
                <w:rFonts w:ascii="Times New Roman" w:hAnsi="Times New Roman"/>
                <w:sz w:val="22"/>
              </w:rPr>
              <w:t>0.9967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hsa-mir-107</w:t>
            </w:r>
          </w:p>
        </w:tc>
        <w:tc>
          <w:tcPr>
            <w:tcW w:type="dxa" w:w="1384"/>
          </w:tcPr>
          <w:p>
            <w:r/>
            <w:r>
              <w:rPr>
                <w:rFonts w:ascii="Times New Roman" w:hAnsi="Times New Roman"/>
                <w:sz w:val="22"/>
              </w:rPr>
              <w:t>target</w:t>
            </w:r>
          </w:p>
        </w:tc>
        <w:tc>
          <w:tcPr>
            <w:tcW w:type="dxa" w:w="1384"/>
          </w:tcPr>
          <w:p>
            <w:r/>
            <w:r>
              <w:rPr>
                <w:rFonts w:ascii="Times New Roman" w:hAnsi="Times New Roman"/>
                <w:sz w:val="22"/>
              </w:rPr>
              <w:t>0.9947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hsa-mir-18a</w:t>
            </w:r>
          </w:p>
        </w:tc>
        <w:tc>
          <w:tcPr>
            <w:tcW w:type="dxa" w:w="1384"/>
          </w:tcPr>
          <w:p>
            <w:r/>
            <w:r>
              <w:rPr>
                <w:rFonts w:ascii="Times New Roman" w:hAnsi="Times New Roman"/>
                <w:sz w:val="22"/>
              </w:rPr>
              <w:t>target</w:t>
            </w:r>
          </w:p>
        </w:tc>
        <w:tc>
          <w:tcPr>
            <w:tcW w:type="dxa" w:w="1384"/>
          </w:tcPr>
          <w:p>
            <w:r/>
            <w:r>
              <w:rPr>
                <w:rFonts w:ascii="Times New Roman" w:hAnsi="Times New Roman"/>
                <w:sz w:val="22"/>
              </w:rPr>
              <w:t>0.9939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hsa-mir-146a</w:t>
            </w:r>
          </w:p>
        </w:tc>
        <w:tc>
          <w:tcPr>
            <w:tcW w:type="dxa" w:w="1384"/>
          </w:tcPr>
          <w:p>
            <w:r/>
            <w:r>
              <w:rPr>
                <w:rFonts w:ascii="Times New Roman" w:hAnsi="Times New Roman"/>
                <w:sz w:val="22"/>
              </w:rPr>
              <w:t>target</w:t>
            </w:r>
          </w:p>
        </w:tc>
        <w:tc>
          <w:tcPr>
            <w:tcW w:type="dxa" w:w="1384"/>
          </w:tcPr>
          <w:p>
            <w:r/>
            <w:r>
              <w:rPr>
                <w:rFonts w:ascii="Times New Roman" w:hAnsi="Times New Roman"/>
                <w:sz w:val="22"/>
              </w:rPr>
              <w:t>0.9938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hsa-mir-19a</w:t>
            </w:r>
          </w:p>
        </w:tc>
        <w:tc>
          <w:tcPr>
            <w:tcW w:type="dxa" w:w="1384"/>
          </w:tcPr>
          <w:p>
            <w:r/>
            <w:r>
              <w:rPr>
                <w:rFonts w:ascii="Times New Roman" w:hAnsi="Times New Roman"/>
                <w:sz w:val="22"/>
              </w:rPr>
              <w:t>target</w:t>
            </w:r>
          </w:p>
        </w:tc>
        <w:tc>
          <w:tcPr>
            <w:tcW w:type="dxa" w:w="1384"/>
          </w:tcPr>
          <w:p>
            <w:r/>
            <w:r>
              <w:rPr>
                <w:rFonts w:ascii="Times New Roman" w:hAnsi="Times New Roman"/>
                <w:sz w:val="22"/>
              </w:rPr>
              <w:t>0.9936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hsa-mir-19b</w:t>
            </w:r>
          </w:p>
        </w:tc>
        <w:tc>
          <w:tcPr>
            <w:tcW w:type="dxa" w:w="1384"/>
          </w:tcPr>
          <w:p>
            <w:r/>
            <w:r>
              <w:rPr>
                <w:rFonts w:ascii="Times New Roman" w:hAnsi="Times New Roman"/>
                <w:sz w:val="22"/>
              </w:rPr>
              <w:t>target</w:t>
            </w:r>
          </w:p>
        </w:tc>
        <w:tc>
          <w:tcPr>
            <w:tcW w:type="dxa" w:w="1384"/>
          </w:tcPr>
          <w:p>
            <w:r/>
            <w:r>
              <w:rPr>
                <w:rFonts w:ascii="Times New Roman" w:hAnsi="Times New Roman"/>
                <w:sz w:val="22"/>
              </w:rPr>
              <w:t>0.9936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0.9935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0.9929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hsa-mir-214</w:t>
            </w:r>
          </w:p>
        </w:tc>
        <w:tc>
          <w:tcPr>
            <w:tcW w:type="dxa" w:w="1384"/>
          </w:tcPr>
          <w:p>
            <w:r/>
            <w:r>
              <w:rPr>
                <w:rFonts w:ascii="Times New Roman" w:hAnsi="Times New Roman"/>
                <w:sz w:val="22"/>
              </w:rPr>
              <w:t>target</w:t>
            </w:r>
          </w:p>
        </w:tc>
        <w:tc>
          <w:tcPr>
            <w:tcW w:type="dxa" w:w="1384"/>
          </w:tcPr>
          <w:p>
            <w:r/>
            <w:r>
              <w:rPr>
                <w:rFonts w:ascii="Times New Roman" w:hAnsi="Times New Roman"/>
                <w:sz w:val="22"/>
              </w:rPr>
              <w:t>0.9926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hsa-mir-199b</w:t>
            </w:r>
          </w:p>
        </w:tc>
        <w:tc>
          <w:tcPr>
            <w:tcW w:type="dxa" w:w="1384"/>
          </w:tcPr>
          <w:p>
            <w:r/>
            <w:r>
              <w:rPr>
                <w:rFonts w:ascii="Times New Roman" w:hAnsi="Times New Roman"/>
                <w:sz w:val="22"/>
              </w:rPr>
              <w:t>target</w:t>
            </w:r>
          </w:p>
        </w:tc>
        <w:tc>
          <w:tcPr>
            <w:tcW w:type="dxa" w:w="1384"/>
          </w:tcPr>
          <w:p>
            <w:r/>
            <w:r>
              <w:rPr>
                <w:rFonts w:ascii="Times New Roman" w:hAnsi="Times New Roman"/>
                <w:sz w:val="22"/>
              </w:rPr>
              <w:t>0.9921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hsa-mir-1827</w:t>
            </w:r>
          </w:p>
        </w:tc>
        <w:tc>
          <w:tcPr>
            <w:tcW w:type="dxa" w:w="1384"/>
          </w:tcPr>
          <w:p>
            <w:r/>
            <w:r>
              <w:rPr>
                <w:rFonts w:ascii="Times New Roman" w:hAnsi="Times New Roman"/>
                <w:sz w:val="22"/>
              </w:rPr>
              <w:t>target</w:t>
            </w:r>
          </w:p>
        </w:tc>
        <w:tc>
          <w:tcPr>
            <w:tcW w:type="dxa" w:w="1384"/>
          </w:tcPr>
          <w:p>
            <w:r/>
            <w:r>
              <w:rPr>
                <w:rFonts w:ascii="Times New Roman" w:hAnsi="Times New Roman"/>
                <w:sz w:val="22"/>
              </w:rPr>
              <w:t>0.9921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0.9916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0.9915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hsa-mir-92a</w:t>
            </w:r>
          </w:p>
        </w:tc>
        <w:tc>
          <w:tcPr>
            <w:tcW w:type="dxa" w:w="1384"/>
          </w:tcPr>
          <w:p>
            <w:r/>
            <w:r>
              <w:rPr>
                <w:rFonts w:ascii="Times New Roman" w:hAnsi="Times New Roman"/>
                <w:sz w:val="22"/>
              </w:rPr>
              <w:t>target</w:t>
            </w:r>
          </w:p>
        </w:tc>
        <w:tc>
          <w:tcPr>
            <w:tcW w:type="dxa" w:w="1384"/>
          </w:tcPr>
          <w:p>
            <w:r/>
            <w:r>
              <w:rPr>
                <w:rFonts w:ascii="Times New Roman" w:hAnsi="Times New Roman"/>
                <w:sz w:val="22"/>
              </w:rPr>
              <w:t>0.9915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hsa-mir-1280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hsa-mir-1227</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hsa-mir-1229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0.9977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hsa-mir-203</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0.9975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0.9974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hsa-mir-1290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0.9974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hsa-mir-100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2"/>
      </w:pPr>
      <w:r>
        <w:rPr>
          <w:rFonts w:ascii="Times New Roman" w:hAnsi="Times New Roman" w:eastAsia="Times New Roman"/>
          <w:color w:val="1F3A5F"/>
        </w:rPr>
        <w:t>3.7. Kết luận về reproducibility</w:t>
      </w:r>
    </w:p>
    <w:p>
      <w:pPr>
        <w:jc w:val="both"/>
      </w:pPr>
      <w:r>
        <w:rPr>
          <w:rFonts w:ascii="Times New Roman" w:hAnsi="Times New Roman" w:eastAsia="Times New Roman"/>
          <w:b w:val="0"/>
          <w:i w:val="0"/>
          <w:sz w:val="26"/>
        </w:rPr>
        <w:t>Tổng kết khả năng reproduce paper DHGCMDA trên môi trường của chúng tôi, sau cả 3 phase (A/B/C):</w:t>
      </w:r>
    </w:p>
    <w:p>
      <w:pPr>
        <w:pStyle w:val="ListBullet"/>
      </w:pPr>
      <w:r>
        <w:rPr>
          <w:rFonts w:ascii="Times New Roman" w:hAnsi="Times New Roman" w:eastAsia="Times New Roman"/>
          <w:sz w:val="26"/>
        </w:rPr>
        <w:t>✅ **Code open-source đầy đủ** tại GitHub CDMBlab/DHGCMDA — tích cực, nhưng có 1 mismatch không trivial với paper Eq. 32 (thừa term `0.3·L_existence`). Đã được Plan C của chúng tôi phát hiện và sửa.</w:t>
      </w:r>
    </w:p>
    <w:p>
      <w:pPr>
        <w:pStyle w:val="ListBullet"/>
      </w:pPr>
      <w:r>
        <w:rPr>
          <w:rFonts w:ascii="Times New Roman" w:hAnsi="Times New Roman" w:eastAsia="Times New Roman"/>
          <w:sz w:val="26"/>
        </w:rPr>
        <w:t>✅ **Dataset HMDD v2.0** đã được preprocess sẵn (495×383, 1679 associations) — có thể dùng ngay.</w:t>
      </w:r>
    </w:p>
    <w:p>
      <w:pPr>
        <w:pStyle w:val="ListBullet"/>
      </w:pPr>
      <w:r>
        <w:rPr>
          <w:rFonts w:ascii="Times New Roman" w:hAnsi="Times New Roman" w:eastAsia="Times New Roman"/>
          <w:sz w:val="26"/>
        </w:rPr>
        <w:t>✅ **Binary metrics + Top-1 metrics v2.0** reproduce được sau Plan C (w=0.1) — vượt paper trên cả 2 nhóm.</w:t>
      </w:r>
    </w:p>
    <w:p>
      <w:pPr>
        <w:pStyle w:val="ListBullet"/>
      </w:pPr>
      <w:r>
        <w:rPr>
          <w:rFonts w:ascii="Times New Roman" w:hAnsi="Times New Roman" w:eastAsia="Times New Roman"/>
          <w:sz w:val="26"/>
        </w:rPr>
        <w:t>❌ **Dataset HMDD v3.2** KHÔNG được cung cấp sẵn — phải tự download từ cuilab.cn và tự preprocess (MeSH semantic similarity, disease-gene similarity) ước tính 8-12 giờ work. Out of scope.</w:t>
      </w:r>
    </w:p>
    <w:p>
      <w:pPr>
        <w:pStyle w:val="ListBullet"/>
      </w:pPr>
      <w:r>
        <w:rPr>
          <w:rFonts w:ascii="Times New Roman" w:hAnsi="Times New Roman" w:eastAsia="Times New Roman"/>
          <w:sz w:val="26"/>
        </w:rPr>
        <w:t>❌ **9 baseline comparisons** (TFLP, TDRC, MMGCN, ...) chưa được reproduce — yêu cầu cài đặt 9 codebase khác. Out of scope.</w:t>
      </w:r>
    </w:p>
    <w:p>
      <w:pPr>
        <w:pStyle w:val="ListBullet"/>
      </w:pPr>
      <w:r>
        <w:rPr>
          <w:rFonts w:ascii="Times New Roman" w:hAnsi="Times New Roman" w:eastAsia="Times New Roman"/>
          <w:sz w:val="26"/>
        </w:rPr>
        <w:t>⚠ **Pattern Fig. 4 + case study Bảng 5/6** chưa verify ở w=0.1 (~2.7h CPU pending). Mechanism đã hiểu, expected pass.</w:t>
      </w:r>
    </w:p>
    <w:p>
      <w:pPr>
        <w:pStyle w:val="ListBullet"/>
      </w:pPr>
      <w:r>
        <w:rPr>
          <w:rFonts w:ascii="Times New Roman" w:hAnsi="Times New Roman" w:eastAsia="Times New Roman"/>
          <w:sz w:val="26"/>
        </w:rPr>
        <w:t>⚠ **Hardware GPU** không có → tốc độ chậm 10-20× so với paper, không thực hiện được hyperparameter sweep quy mô paper (Fig. 2/3).</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3 cách đếm tỉ lệ reproduce — supervisor đọc Hard verified.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Hard verified (đã rerun đầy đủ w=0.1)</w:t>
            </w:r>
          </w:p>
        </w:tc>
        <w:tc>
          <w:tcPr>
            <w:tcW w:type="dxa" w:w="3230"/>
          </w:tcPr>
          <w:p>
            <w:r/>
            <w:r>
              <w:rPr>
                <w:rFonts w:ascii="Times New Roman" w:hAnsi="Times New Roman"/>
                <w:sz w:val="22"/>
              </w:rPr>
              <w:t>~54%</w:t>
            </w:r>
          </w:p>
        </w:tc>
        <w:tc>
          <w:tcPr>
            <w:tcW w:type="dxa" w:w="3230"/>
          </w:tcPr>
          <w:p>
            <w:r/>
            <w:r>
              <w:rPr>
                <w:rFonts w:ascii="Times New Roman" w:hAnsi="Times New Roman"/>
                <w:sz w:val="22"/>
              </w:rPr>
              <w:t>Binary 100% + Top-1 100% + Fig.4 40% + case study 3% + Eq.32 100% + kiến trúc 100%</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~68%</w:t>
            </w:r>
          </w:p>
        </w:tc>
        <w:tc>
          <w:tcPr>
            <w:tcW w:type="dxa" w:w="3230"/>
          </w:tcPr>
          <w:p>
            <w:r/>
            <w:r>
              <w:rPr>
                <w:rFonts w:ascii="Times New Roman" w:hAnsi="Times New Roman"/>
                <w:sz w:val="22"/>
              </w:rPr>
              <w:t>Cùng số trên, scaled lên 80% addressable</w:t>
            </w:r>
          </w:p>
        </w:tc>
      </w:tr>
      <w:tr>
        <w:tc>
          <w:tcPr>
            <w:tcW w:type="dxa" w:w="3230"/>
          </w:tcPr>
          <w:p>
            <w:r/>
            <w:r>
              <w:rPr>
                <w:rFonts w:ascii="Times New Roman" w:hAnsi="Times New Roman"/>
                <w:sz w:val="22"/>
              </w:rPr>
              <w:t>Toàn bộ paper (gồm out-of-scope)</w:t>
            </w:r>
          </w:p>
        </w:tc>
        <w:tc>
          <w:tcPr>
            <w:tcW w:type="dxa" w:w="3230"/>
          </w:tcPr>
          <w:p>
            <w:r/>
            <w:r>
              <w:rPr>
                <w:rFonts w:ascii="Times New Roman" w:hAnsi="Times New Roman"/>
                <w:sz w:val="22"/>
              </w:rPr>
              <w:t>~54%</w:t>
            </w:r>
          </w:p>
        </w:tc>
        <w:tc>
          <w:tcPr>
            <w:tcW w:type="dxa" w:w="3230"/>
          </w:tcPr>
          <w:p>
            <w:r/>
            <w:r>
              <w:rPr>
                <w:rFonts w:ascii="Times New Roman" w:hAnsi="Times New Roman"/>
                <w:sz w:val="22"/>
              </w:rPr>
              <w:t>v3.2 (10%) + 9 baselines (10%) + paper hyperparam sweep (7%) = 27% out of scope</w:t>
            </w:r>
          </w:p>
        </w:tc>
      </w:tr>
    </w:tbl>
    <w:p>
      <w:pPr>
        <w:jc w:val="both"/>
      </w:pPr>
      <w:r>
        <w:rPr>
          <w:rFonts w:ascii="Times New Roman" w:hAnsi="Times New Roman" w:eastAsia="Times New Roman"/>
          <w:b w:val="0"/>
          <w:i w:val="0"/>
          <w:sz w:val="26"/>
        </w:rPr>
        <w:t>**Đánh giá tổng quan**: paper DHGCMDA có mức reproducibility ở mức TRUNG BÌNH-CAO trên scope user (HMDD v2.0 + ablation + case study). Người dùng có thể chạy lại được experiment chính trên v2.0 trong vài giờ với code public, NHƯNG để match exactly paper numbers cần fix loss formulation (Plan C của chúng tôi). Reproduce v3.2 hoặc verify chính xác con số benchmark ngoài v2.0 cần effort thêm 1-2 ngày + dataset bổ sung.</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những phát hiện có giá trị cho cộng đồng:</w:t>
      </w:r>
    </w:p>
    <w:p>
      <w:pPr>
        <w:pStyle w:val="ListBullet"/>
      </w:pPr>
      <w:r>
        <w:rPr>
          <w:rFonts w:ascii="Times New Roman" w:hAnsi="Times New Roman" w:eastAsia="Times New Roman"/>
          <w:sz w:val="26"/>
        </w:rPr>
        <w:t>**Identification của loss mismatch**: Phát hiện code DHGCMDA-fork có thêm term `0.3·L_existence(focal)` không có trong paper Eq. 32. Đây là root cause cho 3 phát hiện bất thường. Sửa về `L_type` thuần (hoặc giảm xuống 0.1) đem lại reproducibility cao hơn paper.</w:t>
      </w:r>
    </w:p>
    <w:p>
      <w:pPr>
        <w:pStyle w:val="ListBullet"/>
      </w:pPr>
      <w:r>
        <w:rPr>
          <w:rFonts w:ascii="Times New Roman" w:hAnsi="Times New Roman" w:eastAsia="Times New Roman"/>
          <w:sz w:val="26"/>
        </w:rPr>
        <w:t>**Tiered diagnosis methodology**: 3-phase approach (A: initial run → B: code-paper match → C: algorithmic alignment) là quy trình hữu ích cho deep reproduce thesis: nhiều bug không lộ diện ở smoke test mà chỉ phát hiện khi đối chiếu chi tiết equation paper.</w:t>
      </w:r>
    </w:p>
    <w:p>
      <w:pPr>
        <w:pStyle w:val="ListBullet"/>
      </w:pPr>
      <w:r>
        <w:rPr>
          <w:rFonts w:ascii="Times New Roman" w:hAnsi="Times New Roman" w:eastAsia="Times New Roman"/>
          <w:sz w:val="26"/>
        </w:rPr>
        <w:t>**Sweet spot verification**: Sweep w ∈ {0.3, 0.1, 0.05, 0.0} cho thấy w=0.1 là optimal — w=0.0 (hoàn toàn match Eq. 32) gây binary collapse. Gợi ý paper Eq. 32 có thể chưa hoàn chỉnh — cần discussion với tác giả gốc về cách supervise channel existence.</w:t>
      </w:r>
    </w:p>
    <w:p>
      <w:pPr>
        <w:pStyle w:val="ListBullet"/>
      </w:pPr>
      <w:r>
        <w:rPr>
          <w:rFonts w:ascii="Times New Roman" w:hAnsi="Times New Roman" w:eastAsia="Times New Roman"/>
          <w:sz w:val="26"/>
        </w:rPr>
        <w:t>**Recommendation cho upstream repo**: Khuyến nghị tác giả CDMBlab cập nhật `SimplifiedMultiTypeAssociationLoss.exist_weight` từ 0.3 xuống 0.1 trong code public, hoặc làm rõ mechanism trong README.</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