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Menü: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Willkommen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Was ist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Broschüre/Whitepaper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Diskussion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Abstimmungen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Publikations-Archiv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Unternehmen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Vorteile für Händler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Die andere Seite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Ressourcen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Überblick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Dienstleistungen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Projekte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Börsen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>Börsenintegration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Grafiken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Marketingmaterial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SmartCash erwerben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Leitfaden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Knoten-Client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Sprachumschalter: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Englisch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Portugiesisch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Russisch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Deutsch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Spanisch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Niederländisch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Französisch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Griechisch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Finnisch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Schwedisch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Polnisch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Italienisch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Estnisch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Kroatisch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Bosnisch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Rumänisch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Ungarisch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Bulgarisch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Türkisch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Japanisch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Koreanisch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Chinesisch (Vereinfacht)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Chinesisch (Traditionell)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Indonesisch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Malaiisch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Thailändisch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Vietnamesisch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Litauisch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Albanisch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Slowenisch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