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Menü: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Willkommen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Was ist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Broschüre/Whitepaper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Meilensteine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Diskussion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Abstimmung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Publikations-Archiv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Unternehmen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Vorteile für Händler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Die andere Seite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Ressourcen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Überblick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Dienstleistungen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Projekte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Börsen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Börsen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Grafiken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Marketingmaterial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SmartCash erwerben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Leitfaden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Knoten-Client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Sprachumschalter: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Englisch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Portugiesisch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Russisch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Deutsch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Spanisch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Niederländisch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Französisch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Griechisch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Finnisch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Schwedisch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Polnisch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Italienisch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Estnisch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Kroatisch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Bosnisch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Rumänisch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Ungarisch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Bulgarisch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Türkisch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Japanisch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Koreanisch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Chinesisch (Vereinfacht)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Chinesisch (Traditionell)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Indonesisch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Malaiisch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Thailändisch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Vietnamesisch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Litauisch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Albanisch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Slowenisch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