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RISORSE GRAFICHE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Questi elementi grafici possono essere utilizzati per la visualizzazione in servizi online, esercizi commerciali, stampa o altri scopi promozionali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Queste sono le linee guida di utilizzo consigliate per mantenere un'estetica di design coerente per il marchio SmartCash. Un'identità visiva forte e coerente del nostro logo contribuirà a mantenere un aspetto coerente, riconoscibile e familiare per il presente e per il futuro. La standardizzazione dei colori sarà d'aiuto per rafforzare positivamente l'affidabilità della nostra identità nello spazio della blockchain.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Il carattere ufficiale è 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 Source Sans Pro 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 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