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Как получить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является довольно новой монет для рынка криптовалют, поэтому приобрести её может быть немного сложнее, чем просто осуществить покупку на Coinbase, но мы поможем вам в этом.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Кошелёк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Загрузить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Майнинг: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Если у вас есть вопросы, пожалуйста, напишите в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БИРЖИ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Обменять альткоины в SmartCash мгновенно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