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Пожалуйста, всегда проверяйте, что вы используете правильный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МОБИЛЬНЫЕ КОШЕЛЬКИ</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Мобильные кошельки для вашего устройства.</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КОШЕЛЁК ELECTRUM</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Быстрый кошелёк, не требующий загрузки блокчейна. Функция запуска SmartNodes будет добавлена в будущих релизах.</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SmartCard — это способ хранения SMART на физической карте. Вам не нужен телефон или интернет-соединение. Вероятно, вы сталкивались с проблемой качества мобильного интернета, поэтому вы поймёте наше стремление пойти дальше. Только продавцу нужно иметь интернет-соединение. Это так же просто, как использование дебетовой или кредитной карты, но без третьих сторон или процессоров. Это полностью криптовалютная карта.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СКАЧАТЬ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Принимайте платежи в SmartCash для вашего бизнеса с практически нулевыми комиссиями, используя простое приложение. Приложение SmartPay доступно для использования во всём мире, вам нужно только интернет-соединение.</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Доступно для мобильного</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СТОРОННИЕ КОШЕЛЬКИ</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