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EC6DD" w14:textId="77777777" w:rsidR="00AE23CB" w:rsidRPr="0067461B" w:rsidRDefault="00000000" w:rsidP="0067461B">
      <w:pPr>
        <w:spacing w:after="100"/>
        <w:jc w:val="center"/>
        <w:rPr>
          <w:rFonts w:ascii="Times New Roman" w:hAnsi="Times New Roman" w:cs="Times New Roman"/>
          <w:color w:val="000000" w:themeColor="text1"/>
          <w:sz w:val="24"/>
          <w:szCs w:val="24"/>
        </w:rPr>
      </w:pPr>
      <w:r w:rsidRPr="0067461B">
        <w:rPr>
          <w:rFonts w:ascii="Times New Roman" w:hAnsi="Times New Roman" w:cs="Times New Roman"/>
          <w:b/>
          <w:bCs/>
          <w:color w:val="000000" w:themeColor="text1"/>
          <w:sz w:val="24"/>
          <w:szCs w:val="24"/>
        </w:rPr>
        <w:t>DS4200 — Spotify Taste Matcher</w:t>
      </w:r>
    </w:p>
    <w:p w14:paraId="4E8FF4BC" w14:textId="77777777" w:rsidR="00AE23CB" w:rsidRPr="0067461B" w:rsidRDefault="00000000" w:rsidP="0067461B">
      <w:pPr>
        <w:spacing w:after="320"/>
        <w:jc w:val="center"/>
        <w:rPr>
          <w:rFonts w:ascii="Times New Roman" w:hAnsi="Times New Roman" w:cs="Times New Roman"/>
          <w:color w:val="000000" w:themeColor="text1"/>
          <w:sz w:val="24"/>
          <w:szCs w:val="24"/>
        </w:rPr>
      </w:pPr>
      <w:r w:rsidRPr="0067461B">
        <w:rPr>
          <w:rFonts w:ascii="Times New Roman" w:hAnsi="Times New Roman" w:cs="Times New Roman"/>
          <w:color w:val="000000" w:themeColor="text1"/>
          <w:sz w:val="24"/>
          <w:szCs w:val="24"/>
        </w:rPr>
        <w:t>Visualization Design Document</w:t>
      </w:r>
    </w:p>
    <w:p w14:paraId="03ACB215" w14:textId="77777777" w:rsidR="00AE23CB" w:rsidRPr="0067461B" w:rsidRDefault="00000000" w:rsidP="0067461B">
      <w:pPr>
        <w:pStyle w:val="Heading1"/>
        <w:jc w:val="both"/>
        <w:rPr>
          <w:rFonts w:ascii="Times New Roman" w:hAnsi="Times New Roman" w:cs="Times New Roman"/>
          <w:color w:val="000000" w:themeColor="text1"/>
          <w:sz w:val="24"/>
          <w:szCs w:val="24"/>
        </w:rPr>
      </w:pPr>
      <w:r w:rsidRPr="0067461B">
        <w:rPr>
          <w:rFonts w:ascii="Times New Roman" w:hAnsi="Times New Roman" w:cs="Times New Roman"/>
          <w:color w:val="000000" w:themeColor="text1"/>
          <w:sz w:val="24"/>
          <w:szCs w:val="24"/>
        </w:rPr>
        <w:t>Project Overview</w:t>
      </w:r>
    </w:p>
    <w:p w14:paraId="7A46D1C3" w14:textId="221C1A74" w:rsidR="00AE23CB" w:rsidRPr="0067461B" w:rsidRDefault="00000000" w:rsidP="0067461B">
      <w:pPr>
        <w:spacing w:after="160"/>
        <w:jc w:val="both"/>
        <w:rPr>
          <w:rFonts w:ascii="Times New Roman" w:hAnsi="Times New Roman" w:cs="Times New Roman"/>
          <w:color w:val="000000" w:themeColor="text1"/>
          <w:sz w:val="24"/>
          <w:szCs w:val="24"/>
        </w:rPr>
      </w:pPr>
      <w:r w:rsidRPr="0067461B">
        <w:rPr>
          <w:rFonts w:ascii="Times New Roman" w:hAnsi="Times New Roman" w:cs="Times New Roman"/>
          <w:color w:val="000000" w:themeColor="text1"/>
          <w:sz w:val="24"/>
          <w:szCs w:val="24"/>
        </w:rPr>
        <w:t>This document describes the design rationale for the five interactive data visualizations integrated into the Spotify Taste Matcher web application. Each section covers the visualization library used, the design choices made for color, layout, and interaction, and the insight the chart is intended to communicate. The visualizations draw on a dataset of 2,000 Spotify tracks released between 1998 and 2020.</w:t>
      </w:r>
    </w:p>
    <w:p w14:paraId="09EA1BC8" w14:textId="77777777" w:rsidR="00AE23CB" w:rsidRPr="0067461B" w:rsidRDefault="00000000" w:rsidP="0067461B">
      <w:pPr>
        <w:pStyle w:val="Heading1"/>
        <w:jc w:val="both"/>
        <w:rPr>
          <w:rFonts w:ascii="Times New Roman" w:hAnsi="Times New Roman" w:cs="Times New Roman"/>
          <w:color w:val="000000" w:themeColor="text1"/>
          <w:sz w:val="24"/>
          <w:szCs w:val="24"/>
        </w:rPr>
      </w:pPr>
      <w:r w:rsidRPr="0067461B">
        <w:rPr>
          <w:rFonts w:ascii="Times New Roman" w:hAnsi="Times New Roman" w:cs="Times New Roman"/>
          <w:color w:val="000000" w:themeColor="text1"/>
          <w:sz w:val="24"/>
          <w:szCs w:val="24"/>
        </w:rPr>
        <w:t>Visualization 1 — Distribution of Popularity by Genre</w:t>
      </w:r>
    </w:p>
    <w:p w14:paraId="75387762" w14:textId="77777777" w:rsidR="00AE23CB" w:rsidRPr="0067461B" w:rsidRDefault="00000000" w:rsidP="0067461B">
      <w:pPr>
        <w:pStyle w:val="Heading2"/>
        <w:jc w:val="both"/>
        <w:rPr>
          <w:rFonts w:ascii="Times New Roman" w:hAnsi="Times New Roman" w:cs="Times New Roman"/>
          <w:color w:val="000000" w:themeColor="text1"/>
          <w:sz w:val="24"/>
          <w:szCs w:val="24"/>
        </w:rPr>
      </w:pPr>
      <w:r w:rsidRPr="0067461B">
        <w:rPr>
          <w:rFonts w:ascii="Times New Roman" w:hAnsi="Times New Roman" w:cs="Times New Roman"/>
          <w:color w:val="000000" w:themeColor="text1"/>
          <w:sz w:val="24"/>
          <w:szCs w:val="24"/>
        </w:rPr>
        <w:t>Library: D3.js v7</w:t>
      </w:r>
    </w:p>
    <w:p w14:paraId="10B2A60A" w14:textId="1F7077FE" w:rsidR="00AE23CB" w:rsidRPr="0067461B" w:rsidRDefault="00000000" w:rsidP="0067461B">
      <w:pPr>
        <w:spacing w:after="160"/>
        <w:jc w:val="both"/>
        <w:rPr>
          <w:rFonts w:ascii="Times New Roman" w:hAnsi="Times New Roman" w:cs="Times New Roman"/>
          <w:color w:val="000000" w:themeColor="text1"/>
          <w:sz w:val="24"/>
          <w:szCs w:val="24"/>
        </w:rPr>
      </w:pPr>
      <w:r w:rsidRPr="0067461B">
        <w:rPr>
          <w:rFonts w:ascii="Times New Roman" w:hAnsi="Times New Roman" w:cs="Times New Roman"/>
          <w:color w:val="000000" w:themeColor="text1"/>
          <w:sz w:val="24"/>
          <w:szCs w:val="24"/>
        </w:rPr>
        <w:t>Chart 1 is implemented as a pure D3.js box plot. The design is equivalent to the Altair mark_boxplot specification (alt.Chart(df).mark_boxplot(extent='min-max').encode(x='genre:N', y='popularity:Q', color='genre:N')), but rendered directly in D3 for reliable display in the Flask/browser environment. Each genre's popularity distribution is summarised with Q1, median, Q3, whiskers (1.5×IQR fences), and individual outlier dots.</w:t>
      </w:r>
    </w:p>
    <w:p w14:paraId="30988921" w14:textId="77777777" w:rsidR="00AE23CB" w:rsidRPr="0067461B" w:rsidRDefault="00000000" w:rsidP="0067461B">
      <w:pPr>
        <w:spacing w:after="100"/>
        <w:jc w:val="both"/>
        <w:rPr>
          <w:rFonts w:ascii="Times New Roman" w:hAnsi="Times New Roman" w:cs="Times New Roman"/>
          <w:color w:val="000000" w:themeColor="text1"/>
          <w:sz w:val="24"/>
          <w:szCs w:val="24"/>
        </w:rPr>
      </w:pPr>
      <w:r w:rsidRPr="0067461B">
        <w:rPr>
          <w:rFonts w:ascii="Times New Roman" w:hAnsi="Times New Roman" w:cs="Times New Roman"/>
          <w:b/>
          <w:bCs/>
          <w:color w:val="000000" w:themeColor="text1"/>
          <w:sz w:val="24"/>
          <w:szCs w:val="24"/>
        </w:rPr>
        <w:t xml:space="preserve">Chart Type: </w:t>
      </w:r>
      <w:r w:rsidRPr="0067461B">
        <w:rPr>
          <w:rFonts w:ascii="Times New Roman" w:hAnsi="Times New Roman" w:cs="Times New Roman"/>
          <w:color w:val="000000" w:themeColor="text1"/>
          <w:sz w:val="24"/>
          <w:szCs w:val="24"/>
        </w:rPr>
        <w:t>Box plot (one box per genre, sorted by descending median popularity).</w:t>
      </w:r>
    </w:p>
    <w:p w14:paraId="66D17301" w14:textId="77777777" w:rsidR="00AE23CB" w:rsidRPr="0067461B" w:rsidRDefault="00000000" w:rsidP="0067461B">
      <w:pPr>
        <w:spacing w:after="100"/>
        <w:jc w:val="both"/>
        <w:rPr>
          <w:rFonts w:ascii="Times New Roman" w:hAnsi="Times New Roman" w:cs="Times New Roman"/>
          <w:color w:val="000000" w:themeColor="text1"/>
          <w:sz w:val="24"/>
          <w:szCs w:val="24"/>
        </w:rPr>
      </w:pPr>
      <w:r w:rsidRPr="0067461B">
        <w:rPr>
          <w:rFonts w:ascii="Times New Roman" w:hAnsi="Times New Roman" w:cs="Times New Roman"/>
          <w:b/>
          <w:bCs/>
          <w:color w:val="000000" w:themeColor="text1"/>
          <w:sz w:val="24"/>
          <w:szCs w:val="24"/>
        </w:rPr>
        <w:t xml:space="preserve">Color: </w:t>
      </w:r>
      <w:r w:rsidRPr="0067461B">
        <w:rPr>
          <w:rFonts w:ascii="Times New Roman" w:hAnsi="Times New Roman" w:cs="Times New Roman"/>
          <w:color w:val="000000" w:themeColor="text1"/>
          <w:sz w:val="24"/>
          <w:szCs w:val="24"/>
        </w:rPr>
        <w:t>Each genre is assigned a distinct color from a custom palette inspired by Spotify's brand green (#1db954) alongside high-contrast accent colors (purple for hip-hop, orange for rock, etc.). This makes it easy to identify genres without relying on a legend.</w:t>
      </w:r>
    </w:p>
    <w:p w14:paraId="0C35DA2A" w14:textId="77777777" w:rsidR="00AE23CB" w:rsidRPr="0067461B" w:rsidRDefault="00000000" w:rsidP="0067461B">
      <w:pPr>
        <w:spacing w:after="100"/>
        <w:jc w:val="both"/>
        <w:rPr>
          <w:rFonts w:ascii="Times New Roman" w:hAnsi="Times New Roman" w:cs="Times New Roman"/>
          <w:color w:val="000000" w:themeColor="text1"/>
          <w:sz w:val="24"/>
          <w:szCs w:val="24"/>
        </w:rPr>
      </w:pPr>
      <w:r w:rsidRPr="0067461B">
        <w:rPr>
          <w:rFonts w:ascii="Times New Roman" w:hAnsi="Times New Roman" w:cs="Times New Roman"/>
          <w:b/>
          <w:bCs/>
          <w:color w:val="000000" w:themeColor="text1"/>
          <w:sz w:val="24"/>
          <w:szCs w:val="24"/>
        </w:rPr>
        <w:t xml:space="preserve">Layout: </w:t>
      </w:r>
      <w:r w:rsidRPr="0067461B">
        <w:rPr>
          <w:rFonts w:ascii="Times New Roman" w:hAnsi="Times New Roman" w:cs="Times New Roman"/>
          <w:color w:val="000000" w:themeColor="text1"/>
          <w:sz w:val="24"/>
          <w:szCs w:val="24"/>
        </w:rPr>
        <w:t>The x-axis is sorted by descending median popularity so the highest-median genre appears on the left, following the natural reading direction of descending importance.</w:t>
      </w:r>
    </w:p>
    <w:p w14:paraId="08FF26D9" w14:textId="77777777" w:rsidR="00AE23CB" w:rsidRPr="0067461B" w:rsidRDefault="00000000" w:rsidP="0067461B">
      <w:pPr>
        <w:spacing w:after="100"/>
        <w:jc w:val="both"/>
        <w:rPr>
          <w:rFonts w:ascii="Times New Roman" w:hAnsi="Times New Roman" w:cs="Times New Roman"/>
          <w:color w:val="000000" w:themeColor="text1"/>
          <w:sz w:val="24"/>
          <w:szCs w:val="24"/>
        </w:rPr>
      </w:pPr>
      <w:r w:rsidRPr="0067461B">
        <w:rPr>
          <w:rFonts w:ascii="Times New Roman" w:hAnsi="Times New Roman" w:cs="Times New Roman"/>
          <w:b/>
          <w:bCs/>
          <w:color w:val="000000" w:themeColor="text1"/>
          <w:sz w:val="24"/>
          <w:szCs w:val="24"/>
        </w:rPr>
        <w:t xml:space="preserve">Interaction — Click to Isolate: </w:t>
      </w:r>
      <w:r w:rsidRPr="0067461B">
        <w:rPr>
          <w:rFonts w:ascii="Times New Roman" w:hAnsi="Times New Roman" w:cs="Times New Roman"/>
          <w:color w:val="000000" w:themeColor="text1"/>
          <w:sz w:val="24"/>
          <w:szCs w:val="24"/>
        </w:rPr>
        <w:t>Clicking a genre box or its axis label fades all other genres to 10% opacity, isolating the selected genre. Clicking the same genre again resets the view. This interaction makes it easy to inspect the spread of a single genre without visual clutter.</w:t>
      </w:r>
    </w:p>
    <w:p w14:paraId="792202EA" w14:textId="38B818E6" w:rsidR="00AE23CB" w:rsidRPr="0067461B" w:rsidRDefault="00000000" w:rsidP="0067461B">
      <w:pPr>
        <w:spacing w:after="100"/>
        <w:jc w:val="both"/>
        <w:rPr>
          <w:rFonts w:ascii="Times New Roman" w:hAnsi="Times New Roman" w:cs="Times New Roman"/>
          <w:color w:val="000000" w:themeColor="text1"/>
          <w:sz w:val="24"/>
          <w:szCs w:val="24"/>
        </w:rPr>
      </w:pPr>
      <w:r w:rsidRPr="0067461B">
        <w:rPr>
          <w:rFonts w:ascii="Times New Roman" w:hAnsi="Times New Roman" w:cs="Times New Roman"/>
          <w:b/>
          <w:bCs/>
          <w:color w:val="000000" w:themeColor="text1"/>
          <w:sz w:val="24"/>
          <w:szCs w:val="24"/>
        </w:rPr>
        <w:t xml:space="preserve">Takeaway: </w:t>
      </w:r>
      <w:r w:rsidRPr="0067461B">
        <w:rPr>
          <w:rFonts w:ascii="Times New Roman" w:hAnsi="Times New Roman" w:cs="Times New Roman"/>
          <w:color w:val="000000" w:themeColor="text1"/>
          <w:sz w:val="24"/>
          <w:szCs w:val="24"/>
        </w:rPr>
        <w:t>Latin and rock lead in median popularity (both approximately 70), followed closely by hip-hop and R&amp;B (approximately 65–68). Pop sits in the middle of the pack despite being the most represented genre, and has the widest spread — outliers extend all the way down near 0, reflecting many obscure tracks alongside mainstream hits. Dance/Electronic and country have the lowest medians (approximately 55), suggesting they are underrepresented in the chart-hit tier of this dataset.</w:t>
      </w:r>
    </w:p>
    <w:p w14:paraId="28D6B482" w14:textId="77777777" w:rsidR="00AE23CB" w:rsidRPr="0067461B" w:rsidRDefault="00000000" w:rsidP="0067461B">
      <w:pPr>
        <w:pStyle w:val="Heading1"/>
        <w:jc w:val="both"/>
        <w:rPr>
          <w:rFonts w:ascii="Times New Roman" w:hAnsi="Times New Roman" w:cs="Times New Roman"/>
          <w:color w:val="000000" w:themeColor="text1"/>
          <w:sz w:val="24"/>
          <w:szCs w:val="24"/>
        </w:rPr>
      </w:pPr>
      <w:r w:rsidRPr="0067461B">
        <w:rPr>
          <w:rFonts w:ascii="Times New Roman" w:hAnsi="Times New Roman" w:cs="Times New Roman"/>
          <w:color w:val="000000" w:themeColor="text1"/>
          <w:sz w:val="24"/>
          <w:szCs w:val="24"/>
        </w:rPr>
        <w:t>Visualization 2 — Energy vs. Danceability Scatter Plot</w:t>
      </w:r>
    </w:p>
    <w:p w14:paraId="4FD7AF79" w14:textId="77777777" w:rsidR="00AE23CB" w:rsidRPr="0067461B" w:rsidRDefault="00000000" w:rsidP="0067461B">
      <w:pPr>
        <w:pStyle w:val="Heading2"/>
        <w:jc w:val="both"/>
        <w:rPr>
          <w:rFonts w:ascii="Times New Roman" w:hAnsi="Times New Roman" w:cs="Times New Roman"/>
          <w:color w:val="000000" w:themeColor="text1"/>
          <w:sz w:val="24"/>
          <w:szCs w:val="24"/>
        </w:rPr>
      </w:pPr>
      <w:r w:rsidRPr="0067461B">
        <w:rPr>
          <w:rFonts w:ascii="Times New Roman" w:hAnsi="Times New Roman" w:cs="Times New Roman"/>
          <w:color w:val="000000" w:themeColor="text1"/>
          <w:sz w:val="24"/>
          <w:szCs w:val="24"/>
        </w:rPr>
        <w:t>Library: D3.js v7</w:t>
      </w:r>
    </w:p>
    <w:p w14:paraId="0F507638" w14:textId="09A0104A" w:rsidR="00AE23CB" w:rsidRPr="0067461B" w:rsidRDefault="00000000" w:rsidP="0067461B">
      <w:pPr>
        <w:spacing w:after="160"/>
        <w:jc w:val="both"/>
        <w:rPr>
          <w:rFonts w:ascii="Times New Roman" w:hAnsi="Times New Roman" w:cs="Times New Roman"/>
          <w:color w:val="000000" w:themeColor="text1"/>
          <w:sz w:val="24"/>
          <w:szCs w:val="24"/>
        </w:rPr>
      </w:pPr>
      <w:r w:rsidRPr="0067461B">
        <w:rPr>
          <w:rFonts w:ascii="Times New Roman" w:hAnsi="Times New Roman" w:cs="Times New Roman"/>
          <w:color w:val="000000" w:themeColor="text1"/>
          <w:sz w:val="24"/>
          <w:szCs w:val="24"/>
        </w:rPr>
        <w:t>A scatter plot was chosen because the goal is to reveal the bivariate distribution and relationship between two continuous audio features across all tracks simultaneously.</w:t>
      </w:r>
    </w:p>
    <w:p w14:paraId="1CD406FB" w14:textId="77777777" w:rsidR="00AE23CB" w:rsidRPr="0067461B" w:rsidRDefault="00000000" w:rsidP="0067461B">
      <w:pPr>
        <w:spacing w:after="100"/>
        <w:jc w:val="both"/>
        <w:rPr>
          <w:rFonts w:ascii="Times New Roman" w:hAnsi="Times New Roman" w:cs="Times New Roman"/>
          <w:color w:val="000000" w:themeColor="text1"/>
          <w:sz w:val="24"/>
          <w:szCs w:val="24"/>
        </w:rPr>
      </w:pPr>
      <w:r w:rsidRPr="0067461B">
        <w:rPr>
          <w:rFonts w:ascii="Times New Roman" w:hAnsi="Times New Roman" w:cs="Times New Roman"/>
          <w:b/>
          <w:bCs/>
          <w:color w:val="000000" w:themeColor="text1"/>
          <w:sz w:val="24"/>
          <w:szCs w:val="24"/>
        </w:rPr>
        <w:t xml:space="preserve">Color: </w:t>
      </w:r>
      <w:r w:rsidRPr="0067461B">
        <w:rPr>
          <w:rFonts w:ascii="Times New Roman" w:hAnsi="Times New Roman" w:cs="Times New Roman"/>
          <w:color w:val="000000" w:themeColor="text1"/>
          <w:sz w:val="24"/>
          <w:szCs w:val="24"/>
        </w:rPr>
        <w:t>Points are colored by primary genre using the same custom palette as Chart 1, ensuring visual consistency across the dashboard. Points belonging to less common genres are grouped as “Other” and assigned a neutral gray.</w:t>
      </w:r>
    </w:p>
    <w:p w14:paraId="0D1C8D59" w14:textId="77777777" w:rsidR="00AE23CB" w:rsidRPr="0067461B" w:rsidRDefault="00000000" w:rsidP="0067461B">
      <w:pPr>
        <w:spacing w:after="100"/>
        <w:jc w:val="both"/>
        <w:rPr>
          <w:rFonts w:ascii="Times New Roman" w:hAnsi="Times New Roman" w:cs="Times New Roman"/>
          <w:color w:val="000000" w:themeColor="text1"/>
          <w:sz w:val="24"/>
          <w:szCs w:val="24"/>
        </w:rPr>
      </w:pPr>
      <w:r w:rsidRPr="0067461B">
        <w:rPr>
          <w:rFonts w:ascii="Times New Roman" w:hAnsi="Times New Roman" w:cs="Times New Roman"/>
          <w:b/>
          <w:bCs/>
          <w:color w:val="000000" w:themeColor="text1"/>
          <w:sz w:val="24"/>
          <w:szCs w:val="24"/>
        </w:rPr>
        <w:lastRenderedPageBreak/>
        <w:t xml:space="preserve">Size encoding: </w:t>
      </w:r>
      <w:r w:rsidRPr="0067461B">
        <w:rPr>
          <w:rFonts w:ascii="Times New Roman" w:hAnsi="Times New Roman" w:cs="Times New Roman"/>
          <w:color w:val="000000" w:themeColor="text1"/>
          <w:sz w:val="24"/>
          <w:szCs w:val="24"/>
        </w:rPr>
        <w:t>Circle radius is scaled by track popularity using a square-root scale. This encodes a third variable without adding a separate axis, and the square-root transform prevents extremely popular tracks from visually dominating the plot.</w:t>
      </w:r>
    </w:p>
    <w:p w14:paraId="1B6751B9" w14:textId="77777777" w:rsidR="00AE23CB" w:rsidRPr="0067461B" w:rsidRDefault="00000000" w:rsidP="0067461B">
      <w:pPr>
        <w:spacing w:after="100"/>
        <w:jc w:val="both"/>
        <w:rPr>
          <w:rFonts w:ascii="Times New Roman" w:hAnsi="Times New Roman" w:cs="Times New Roman"/>
          <w:color w:val="000000" w:themeColor="text1"/>
          <w:sz w:val="24"/>
          <w:szCs w:val="24"/>
        </w:rPr>
      </w:pPr>
      <w:r w:rsidRPr="0067461B">
        <w:rPr>
          <w:rFonts w:ascii="Times New Roman" w:hAnsi="Times New Roman" w:cs="Times New Roman"/>
          <w:b/>
          <w:bCs/>
          <w:color w:val="000000" w:themeColor="text1"/>
          <w:sz w:val="24"/>
          <w:szCs w:val="24"/>
        </w:rPr>
        <w:t xml:space="preserve">Opacity: </w:t>
      </w:r>
      <w:r w:rsidRPr="0067461B">
        <w:rPr>
          <w:rFonts w:ascii="Times New Roman" w:hAnsi="Times New Roman" w:cs="Times New Roman"/>
          <w:color w:val="000000" w:themeColor="text1"/>
          <w:sz w:val="24"/>
          <w:szCs w:val="24"/>
        </w:rPr>
        <w:t>0.55 base opacity prevents overplotting in dense regions while maintaining color identity.</w:t>
      </w:r>
    </w:p>
    <w:p w14:paraId="65B6D722" w14:textId="77777777" w:rsidR="00AE23CB" w:rsidRPr="0067461B" w:rsidRDefault="00000000" w:rsidP="0067461B">
      <w:pPr>
        <w:spacing w:after="100"/>
        <w:jc w:val="both"/>
        <w:rPr>
          <w:rFonts w:ascii="Times New Roman" w:hAnsi="Times New Roman" w:cs="Times New Roman"/>
          <w:color w:val="000000" w:themeColor="text1"/>
          <w:sz w:val="24"/>
          <w:szCs w:val="24"/>
        </w:rPr>
      </w:pPr>
      <w:r w:rsidRPr="0067461B">
        <w:rPr>
          <w:rFonts w:ascii="Times New Roman" w:hAnsi="Times New Roman" w:cs="Times New Roman"/>
          <w:b/>
          <w:bCs/>
          <w:color w:val="000000" w:themeColor="text1"/>
          <w:sz w:val="24"/>
          <w:szCs w:val="24"/>
        </w:rPr>
        <w:t xml:space="preserve">Interaction 1 — Hover Tooltip: </w:t>
      </w:r>
      <w:r w:rsidRPr="0067461B">
        <w:rPr>
          <w:rFonts w:ascii="Times New Roman" w:hAnsi="Times New Roman" w:cs="Times New Roman"/>
          <w:color w:val="000000" w:themeColor="text1"/>
          <w:sz w:val="24"/>
          <w:szCs w:val="24"/>
        </w:rPr>
        <w:t>Mousing over a circle highlights it (full opacity, white stroke) and shows a tooltip with the song title, artist, genre, exact danceability and energy values, and popularity. This lets users identify specific songs of interest without pre-labeling every point.</w:t>
      </w:r>
    </w:p>
    <w:p w14:paraId="326824A5" w14:textId="77777777" w:rsidR="00AE23CB" w:rsidRPr="0067461B" w:rsidRDefault="00000000" w:rsidP="0067461B">
      <w:pPr>
        <w:spacing w:after="100"/>
        <w:jc w:val="both"/>
        <w:rPr>
          <w:rFonts w:ascii="Times New Roman" w:hAnsi="Times New Roman" w:cs="Times New Roman"/>
          <w:color w:val="000000" w:themeColor="text1"/>
          <w:sz w:val="24"/>
          <w:szCs w:val="24"/>
        </w:rPr>
      </w:pPr>
      <w:r w:rsidRPr="0067461B">
        <w:rPr>
          <w:rFonts w:ascii="Times New Roman" w:hAnsi="Times New Roman" w:cs="Times New Roman"/>
          <w:b/>
          <w:bCs/>
          <w:color w:val="000000" w:themeColor="text1"/>
          <w:sz w:val="24"/>
          <w:szCs w:val="24"/>
        </w:rPr>
        <w:t xml:space="preserve">Interaction 2 — Genre Filter Buttons: </w:t>
      </w:r>
      <w:r w:rsidRPr="0067461B">
        <w:rPr>
          <w:rFonts w:ascii="Times New Roman" w:hAnsi="Times New Roman" w:cs="Times New Roman"/>
          <w:color w:val="000000" w:themeColor="text1"/>
          <w:sz w:val="24"/>
          <w:szCs w:val="24"/>
        </w:rPr>
        <w:t>A row of pill-shaped buttons above the chart lets the user isolate one genre at a time. The unselected dots fade to 6% opacity while the selected genre's dots are emphasized, and their radius is scaled up by 30% for additional visibility. Clicking the active genre button again resets to “All.” This allows direct comparison of genre-specific distributions.</w:t>
      </w:r>
    </w:p>
    <w:p w14:paraId="5BEA8D1F" w14:textId="5C9DAD77" w:rsidR="00AE23CB" w:rsidRPr="0067461B" w:rsidRDefault="00000000" w:rsidP="0067461B">
      <w:pPr>
        <w:spacing w:after="100"/>
        <w:jc w:val="both"/>
        <w:rPr>
          <w:rFonts w:ascii="Times New Roman" w:hAnsi="Times New Roman" w:cs="Times New Roman"/>
          <w:color w:val="000000" w:themeColor="text1"/>
          <w:sz w:val="24"/>
          <w:szCs w:val="24"/>
        </w:rPr>
      </w:pPr>
      <w:r w:rsidRPr="0067461B">
        <w:rPr>
          <w:rFonts w:ascii="Times New Roman" w:hAnsi="Times New Roman" w:cs="Times New Roman"/>
          <w:b/>
          <w:bCs/>
          <w:color w:val="000000" w:themeColor="text1"/>
          <w:sz w:val="24"/>
          <w:szCs w:val="24"/>
        </w:rPr>
        <w:t xml:space="preserve">Takeaway: </w:t>
      </w:r>
      <w:r w:rsidRPr="0067461B">
        <w:rPr>
          <w:rFonts w:ascii="Times New Roman" w:hAnsi="Times New Roman" w:cs="Times New Roman"/>
          <w:color w:val="000000" w:themeColor="text1"/>
          <w:sz w:val="24"/>
          <w:szCs w:val="24"/>
        </w:rPr>
        <w:t>Energy and danceability are mildly positively correlated overall, but the relationship is loose and genre-dependent. Hip-hop clusters in the upper-right quadrant (high energy and danceability), while rock spreads broadly along the energy axis but stays lower in danceability. Use the genre filter buttons to isolate individual genres and compare their distributions directly.</w:t>
      </w:r>
    </w:p>
    <w:p w14:paraId="5034D506" w14:textId="77777777" w:rsidR="00AE23CB" w:rsidRPr="0067461B" w:rsidRDefault="00000000" w:rsidP="0067461B">
      <w:pPr>
        <w:pStyle w:val="Heading1"/>
        <w:jc w:val="both"/>
        <w:rPr>
          <w:rFonts w:ascii="Times New Roman" w:hAnsi="Times New Roman" w:cs="Times New Roman"/>
          <w:color w:val="000000" w:themeColor="text1"/>
          <w:sz w:val="24"/>
          <w:szCs w:val="24"/>
        </w:rPr>
      </w:pPr>
      <w:r w:rsidRPr="0067461B">
        <w:rPr>
          <w:rFonts w:ascii="Times New Roman" w:hAnsi="Times New Roman" w:cs="Times New Roman"/>
          <w:color w:val="000000" w:themeColor="text1"/>
          <w:sz w:val="24"/>
          <w:szCs w:val="24"/>
        </w:rPr>
        <w:t>Visualization 3 — Feature Correlation Heatmap</w:t>
      </w:r>
    </w:p>
    <w:p w14:paraId="15DD1D33" w14:textId="77777777" w:rsidR="00AE23CB" w:rsidRPr="0067461B" w:rsidRDefault="00000000" w:rsidP="0067461B">
      <w:pPr>
        <w:pStyle w:val="Heading2"/>
        <w:jc w:val="both"/>
        <w:rPr>
          <w:rFonts w:ascii="Times New Roman" w:hAnsi="Times New Roman" w:cs="Times New Roman"/>
          <w:color w:val="000000" w:themeColor="text1"/>
          <w:sz w:val="24"/>
          <w:szCs w:val="24"/>
        </w:rPr>
      </w:pPr>
      <w:r w:rsidRPr="0067461B">
        <w:rPr>
          <w:rFonts w:ascii="Times New Roman" w:hAnsi="Times New Roman" w:cs="Times New Roman"/>
          <w:color w:val="000000" w:themeColor="text1"/>
          <w:sz w:val="24"/>
          <w:szCs w:val="24"/>
        </w:rPr>
        <w:t>Library: D3.js v7</w:t>
      </w:r>
    </w:p>
    <w:p w14:paraId="05881261" w14:textId="28148C1E" w:rsidR="00AE23CB" w:rsidRPr="0067461B" w:rsidRDefault="00000000" w:rsidP="0067461B">
      <w:pPr>
        <w:spacing w:after="160"/>
        <w:jc w:val="both"/>
        <w:rPr>
          <w:rFonts w:ascii="Times New Roman" w:hAnsi="Times New Roman" w:cs="Times New Roman"/>
          <w:color w:val="000000" w:themeColor="text1"/>
          <w:sz w:val="24"/>
          <w:szCs w:val="24"/>
        </w:rPr>
      </w:pPr>
      <w:r w:rsidRPr="0067461B">
        <w:rPr>
          <w:rFonts w:ascii="Times New Roman" w:hAnsi="Times New Roman" w:cs="Times New Roman"/>
          <w:color w:val="000000" w:themeColor="text1"/>
          <w:sz w:val="24"/>
          <w:szCs w:val="24"/>
        </w:rPr>
        <w:t>A heatmap is the standard representation for a symmetric correlation matrix. It allows the reader to scan the entire 10×10 grid at a glance and immediately spot strongly correlated pairs (intense colors) versus independent pairs (near-black cells).</w:t>
      </w:r>
    </w:p>
    <w:p w14:paraId="5035CE5B" w14:textId="77777777" w:rsidR="00AE23CB" w:rsidRPr="0067461B" w:rsidRDefault="00000000" w:rsidP="0067461B">
      <w:pPr>
        <w:spacing w:after="100"/>
        <w:jc w:val="both"/>
        <w:rPr>
          <w:rFonts w:ascii="Times New Roman" w:hAnsi="Times New Roman" w:cs="Times New Roman"/>
          <w:color w:val="000000" w:themeColor="text1"/>
          <w:sz w:val="24"/>
          <w:szCs w:val="24"/>
        </w:rPr>
      </w:pPr>
      <w:r w:rsidRPr="0067461B">
        <w:rPr>
          <w:rFonts w:ascii="Times New Roman" w:hAnsi="Times New Roman" w:cs="Times New Roman"/>
          <w:b/>
          <w:bCs/>
          <w:color w:val="000000" w:themeColor="text1"/>
          <w:sz w:val="24"/>
          <w:szCs w:val="24"/>
        </w:rPr>
        <w:t xml:space="preserve">Color Scale: </w:t>
      </w:r>
      <w:r w:rsidRPr="0067461B">
        <w:rPr>
          <w:rFonts w:ascii="Times New Roman" w:hAnsi="Times New Roman" w:cs="Times New Roman"/>
          <w:color w:val="000000" w:themeColor="text1"/>
          <w:sz w:val="24"/>
          <w:szCs w:val="24"/>
        </w:rPr>
        <w:t>A diverging d3.interpolateRgbBasis scale maps −1 → deep blue, 0 → near-black (matching the app's dark background), and +1 → Spotify green (#1db954). The choice of dark-background diverging scheme keeps the visualization cohesive with the overall page aesthetic while making both positive and negative correlations equally visible.</w:t>
      </w:r>
    </w:p>
    <w:p w14:paraId="3B3A5EF6" w14:textId="77777777" w:rsidR="00AE23CB" w:rsidRPr="0067461B" w:rsidRDefault="00000000" w:rsidP="0067461B">
      <w:pPr>
        <w:spacing w:after="100"/>
        <w:jc w:val="both"/>
        <w:rPr>
          <w:rFonts w:ascii="Times New Roman" w:hAnsi="Times New Roman" w:cs="Times New Roman"/>
          <w:color w:val="000000" w:themeColor="text1"/>
          <w:sz w:val="24"/>
          <w:szCs w:val="24"/>
        </w:rPr>
      </w:pPr>
      <w:r w:rsidRPr="0067461B">
        <w:rPr>
          <w:rFonts w:ascii="Times New Roman" w:hAnsi="Times New Roman" w:cs="Times New Roman"/>
          <w:b/>
          <w:bCs/>
          <w:color w:val="000000" w:themeColor="text1"/>
          <w:sz w:val="24"/>
          <w:szCs w:val="24"/>
        </w:rPr>
        <w:t xml:space="preserve">Cell Labels: </w:t>
      </w:r>
      <w:r w:rsidRPr="0067461B">
        <w:rPr>
          <w:rFonts w:ascii="Times New Roman" w:hAnsi="Times New Roman" w:cs="Times New Roman"/>
          <w:color w:val="000000" w:themeColor="text1"/>
          <w:sz w:val="24"/>
          <w:szCs w:val="24"/>
        </w:rPr>
        <w:t>Each cell displays the rounded Pearson r value. Text color switches between white and light-gray based on cell lightness, ensuring legibility across the full color range.</w:t>
      </w:r>
    </w:p>
    <w:p w14:paraId="4959DE68" w14:textId="77777777" w:rsidR="00AE23CB" w:rsidRPr="0067461B" w:rsidRDefault="00000000" w:rsidP="0067461B">
      <w:pPr>
        <w:spacing w:after="100"/>
        <w:jc w:val="both"/>
        <w:rPr>
          <w:rFonts w:ascii="Times New Roman" w:hAnsi="Times New Roman" w:cs="Times New Roman"/>
          <w:color w:val="000000" w:themeColor="text1"/>
          <w:sz w:val="24"/>
          <w:szCs w:val="24"/>
        </w:rPr>
      </w:pPr>
      <w:r w:rsidRPr="0067461B">
        <w:rPr>
          <w:rFonts w:ascii="Times New Roman" w:hAnsi="Times New Roman" w:cs="Times New Roman"/>
          <w:b/>
          <w:bCs/>
          <w:color w:val="000000" w:themeColor="text1"/>
          <w:sz w:val="24"/>
          <w:szCs w:val="24"/>
        </w:rPr>
        <w:t xml:space="preserve">Rounded corners: </w:t>
      </w:r>
      <w:r w:rsidRPr="0067461B">
        <w:rPr>
          <w:rFonts w:ascii="Times New Roman" w:hAnsi="Times New Roman" w:cs="Times New Roman"/>
          <w:color w:val="000000" w:themeColor="text1"/>
          <w:sz w:val="24"/>
          <w:szCs w:val="24"/>
        </w:rPr>
        <w:t>Cells use rx=3 border radius for a polished, card-like appearance that matches the rest of the UI.</w:t>
      </w:r>
    </w:p>
    <w:p w14:paraId="17B609DC" w14:textId="77777777" w:rsidR="00AE23CB" w:rsidRPr="0067461B" w:rsidRDefault="00000000" w:rsidP="0067461B">
      <w:pPr>
        <w:spacing w:after="100"/>
        <w:jc w:val="both"/>
        <w:rPr>
          <w:rFonts w:ascii="Times New Roman" w:hAnsi="Times New Roman" w:cs="Times New Roman"/>
          <w:color w:val="000000" w:themeColor="text1"/>
          <w:sz w:val="24"/>
          <w:szCs w:val="24"/>
        </w:rPr>
      </w:pPr>
      <w:r w:rsidRPr="0067461B">
        <w:rPr>
          <w:rFonts w:ascii="Times New Roman" w:hAnsi="Times New Roman" w:cs="Times New Roman"/>
          <w:b/>
          <w:bCs/>
          <w:color w:val="000000" w:themeColor="text1"/>
          <w:sz w:val="24"/>
          <w:szCs w:val="24"/>
        </w:rPr>
        <w:t xml:space="preserve">Interaction — Hover Tooltip: </w:t>
      </w:r>
      <w:r w:rsidRPr="0067461B">
        <w:rPr>
          <w:rFonts w:ascii="Times New Roman" w:hAnsi="Times New Roman" w:cs="Times New Roman"/>
          <w:color w:val="000000" w:themeColor="text1"/>
          <w:sz w:val="24"/>
          <w:szCs w:val="24"/>
        </w:rPr>
        <w:t>Mousing over a cell brightens it to full opacity and draws a white border, then shows a tooltip naming both features and the exact r value in colored text (green for positive, red for negative). This supports precise reading of off-diagonal values that are hard to gauge visually.</w:t>
      </w:r>
    </w:p>
    <w:p w14:paraId="3DA4FABD" w14:textId="77777777" w:rsidR="00AE23CB" w:rsidRPr="0067461B" w:rsidRDefault="00000000" w:rsidP="0067461B">
      <w:pPr>
        <w:spacing w:after="100"/>
        <w:jc w:val="both"/>
        <w:rPr>
          <w:rFonts w:ascii="Times New Roman" w:hAnsi="Times New Roman" w:cs="Times New Roman"/>
          <w:color w:val="000000" w:themeColor="text1"/>
          <w:sz w:val="24"/>
          <w:szCs w:val="24"/>
        </w:rPr>
      </w:pPr>
      <w:r w:rsidRPr="0067461B">
        <w:rPr>
          <w:rFonts w:ascii="Times New Roman" w:hAnsi="Times New Roman" w:cs="Times New Roman"/>
          <w:b/>
          <w:bCs/>
          <w:color w:val="000000" w:themeColor="text1"/>
          <w:sz w:val="24"/>
          <w:szCs w:val="24"/>
        </w:rPr>
        <w:t xml:space="preserve">Takeaway: </w:t>
      </w:r>
      <w:r w:rsidRPr="0067461B">
        <w:rPr>
          <w:rFonts w:ascii="Times New Roman" w:hAnsi="Times New Roman" w:cs="Times New Roman"/>
          <w:color w:val="000000" w:themeColor="text1"/>
          <w:sz w:val="24"/>
          <w:szCs w:val="24"/>
        </w:rPr>
        <w:t>Energy and loudness share the strongest positive correlation (r = 0.65), confirming that louder mixes are engineered for intensity. Acousticness is negatively correlated with both energy (r = −0.45) and loudness (r = −0.31), since acoustic recordings are inherently quieter and softer. Valence and danceability show a moderate positive correlation (r = 0.40), meaning happier-sounding songs tend to be more danceable. Notably, popularity is nearly uncorrelated with every other audio feature (all r values within ±0.05), indicating that chart success in this dataset cannot be strongly predicted from any single audio attribute alone.</w:t>
      </w:r>
    </w:p>
    <w:p w14:paraId="7D33F8E0" w14:textId="77777777" w:rsidR="00AE23CB" w:rsidRPr="0067461B" w:rsidRDefault="00AE23CB" w:rsidP="0067461B">
      <w:pPr>
        <w:spacing w:after="80"/>
        <w:jc w:val="both"/>
        <w:rPr>
          <w:rFonts w:ascii="Times New Roman" w:hAnsi="Times New Roman" w:cs="Times New Roman"/>
          <w:color w:val="000000" w:themeColor="text1"/>
          <w:sz w:val="24"/>
          <w:szCs w:val="24"/>
        </w:rPr>
      </w:pPr>
    </w:p>
    <w:p w14:paraId="4DDFAFDF" w14:textId="77777777" w:rsidR="00AE23CB" w:rsidRPr="0067461B" w:rsidRDefault="00000000" w:rsidP="0067461B">
      <w:pPr>
        <w:pStyle w:val="Heading1"/>
        <w:jc w:val="both"/>
        <w:rPr>
          <w:rFonts w:ascii="Times New Roman" w:hAnsi="Times New Roman" w:cs="Times New Roman"/>
          <w:color w:val="000000" w:themeColor="text1"/>
          <w:sz w:val="24"/>
          <w:szCs w:val="24"/>
        </w:rPr>
      </w:pPr>
      <w:r w:rsidRPr="0067461B">
        <w:rPr>
          <w:rFonts w:ascii="Times New Roman" w:hAnsi="Times New Roman" w:cs="Times New Roman"/>
          <w:color w:val="000000" w:themeColor="text1"/>
          <w:sz w:val="24"/>
          <w:szCs w:val="24"/>
        </w:rPr>
        <w:t>Visualization 4 — Top 10 Artists by Track Count per Year</w:t>
      </w:r>
    </w:p>
    <w:p w14:paraId="196AD9A7" w14:textId="77777777" w:rsidR="00AE23CB" w:rsidRPr="0067461B" w:rsidRDefault="00000000" w:rsidP="0067461B">
      <w:pPr>
        <w:pStyle w:val="Heading2"/>
        <w:jc w:val="both"/>
        <w:rPr>
          <w:rFonts w:ascii="Times New Roman" w:hAnsi="Times New Roman" w:cs="Times New Roman"/>
          <w:color w:val="000000" w:themeColor="text1"/>
          <w:sz w:val="24"/>
          <w:szCs w:val="24"/>
        </w:rPr>
      </w:pPr>
      <w:r w:rsidRPr="0067461B">
        <w:rPr>
          <w:rFonts w:ascii="Times New Roman" w:hAnsi="Times New Roman" w:cs="Times New Roman"/>
          <w:color w:val="000000" w:themeColor="text1"/>
          <w:sz w:val="24"/>
          <w:szCs w:val="24"/>
        </w:rPr>
        <w:t>Library: D3.js v7</w:t>
      </w:r>
    </w:p>
    <w:p w14:paraId="5053E66A" w14:textId="3750253A" w:rsidR="00AE23CB" w:rsidRPr="0067461B" w:rsidRDefault="00000000" w:rsidP="0067461B">
      <w:pPr>
        <w:spacing w:after="160"/>
        <w:jc w:val="both"/>
        <w:rPr>
          <w:rFonts w:ascii="Times New Roman" w:hAnsi="Times New Roman" w:cs="Times New Roman"/>
          <w:color w:val="000000" w:themeColor="text1"/>
          <w:sz w:val="24"/>
          <w:szCs w:val="24"/>
        </w:rPr>
      </w:pPr>
      <w:r w:rsidRPr="0067461B">
        <w:rPr>
          <w:rFonts w:ascii="Times New Roman" w:hAnsi="Times New Roman" w:cs="Times New Roman"/>
          <w:color w:val="000000" w:themeColor="text1"/>
          <w:sz w:val="24"/>
          <w:szCs w:val="24"/>
        </w:rPr>
        <w:t>A horizontal bar chart was chosen for ranked comparisons because it accommodates long artist names on the left axis without rotation. The year slider turns it into an animated race-chart narrative across two decades.</w:t>
      </w:r>
    </w:p>
    <w:p w14:paraId="3DBB47BA" w14:textId="77777777" w:rsidR="00AE23CB" w:rsidRPr="0067461B" w:rsidRDefault="00000000" w:rsidP="0067461B">
      <w:pPr>
        <w:spacing w:after="100"/>
        <w:jc w:val="both"/>
        <w:rPr>
          <w:rFonts w:ascii="Times New Roman" w:hAnsi="Times New Roman" w:cs="Times New Roman"/>
          <w:color w:val="000000" w:themeColor="text1"/>
          <w:sz w:val="24"/>
          <w:szCs w:val="24"/>
        </w:rPr>
      </w:pPr>
      <w:r w:rsidRPr="0067461B">
        <w:rPr>
          <w:rFonts w:ascii="Times New Roman" w:hAnsi="Times New Roman" w:cs="Times New Roman"/>
          <w:b/>
          <w:bCs/>
          <w:color w:val="000000" w:themeColor="text1"/>
          <w:sz w:val="24"/>
          <w:szCs w:val="24"/>
        </w:rPr>
        <w:t xml:space="preserve">Color: </w:t>
      </w:r>
      <w:r w:rsidRPr="0067461B">
        <w:rPr>
          <w:rFonts w:ascii="Times New Roman" w:hAnsi="Times New Roman" w:cs="Times New Roman"/>
          <w:color w:val="000000" w:themeColor="text1"/>
          <w:sz w:val="24"/>
          <w:szCs w:val="24"/>
        </w:rPr>
        <w:t>Bars use a linear gradient defined in SVG defs — dark forest green at the left edge transitioning to Spotify green (#1db954) at the right. The gradient draws the eye to bar length and reinforces the brand color.</w:t>
      </w:r>
    </w:p>
    <w:p w14:paraId="54BB6E88" w14:textId="77777777" w:rsidR="00AE23CB" w:rsidRPr="0067461B" w:rsidRDefault="00000000" w:rsidP="0067461B">
      <w:pPr>
        <w:spacing w:after="100"/>
        <w:jc w:val="both"/>
        <w:rPr>
          <w:rFonts w:ascii="Times New Roman" w:hAnsi="Times New Roman" w:cs="Times New Roman"/>
          <w:color w:val="000000" w:themeColor="text1"/>
          <w:sz w:val="24"/>
          <w:szCs w:val="24"/>
        </w:rPr>
      </w:pPr>
      <w:r w:rsidRPr="0067461B">
        <w:rPr>
          <w:rFonts w:ascii="Times New Roman" w:hAnsi="Times New Roman" w:cs="Times New Roman"/>
          <w:b/>
          <w:bCs/>
          <w:color w:val="000000" w:themeColor="text1"/>
          <w:sz w:val="24"/>
          <w:szCs w:val="24"/>
        </w:rPr>
        <w:t xml:space="preserve">Animated Transitions: </w:t>
      </w:r>
      <w:r w:rsidRPr="0067461B">
        <w:rPr>
          <w:rFonts w:ascii="Times New Roman" w:hAnsi="Times New Roman" w:cs="Times New Roman"/>
          <w:color w:val="000000" w:themeColor="text1"/>
          <w:sz w:val="24"/>
          <w:szCs w:val="24"/>
        </w:rPr>
        <w:t>D3 transitions (420 ms, cubic easing) smoothly interpolate bar widths, y-positions, and text positions when the year changes. This continuity helps viewers track individual artists across years without losing their place.</w:t>
      </w:r>
    </w:p>
    <w:p w14:paraId="358C2795" w14:textId="77777777" w:rsidR="00AE23CB" w:rsidRPr="0067461B" w:rsidRDefault="00000000" w:rsidP="0067461B">
      <w:pPr>
        <w:spacing w:after="100"/>
        <w:jc w:val="both"/>
        <w:rPr>
          <w:rFonts w:ascii="Times New Roman" w:hAnsi="Times New Roman" w:cs="Times New Roman"/>
          <w:color w:val="000000" w:themeColor="text1"/>
          <w:sz w:val="24"/>
          <w:szCs w:val="24"/>
        </w:rPr>
      </w:pPr>
      <w:r w:rsidRPr="0067461B">
        <w:rPr>
          <w:rFonts w:ascii="Times New Roman" w:hAnsi="Times New Roman" w:cs="Times New Roman"/>
          <w:b/>
          <w:bCs/>
          <w:color w:val="000000" w:themeColor="text1"/>
          <w:sz w:val="24"/>
          <w:szCs w:val="24"/>
        </w:rPr>
        <w:t xml:space="preserve">Interaction — Year Slider: </w:t>
      </w:r>
      <w:r w:rsidRPr="0067461B">
        <w:rPr>
          <w:rFonts w:ascii="Times New Roman" w:hAnsi="Times New Roman" w:cs="Times New Roman"/>
          <w:color w:val="000000" w:themeColor="text1"/>
          <w:sz w:val="24"/>
          <w:szCs w:val="24"/>
        </w:rPr>
        <w:t>A range slider below the chart controls the displayed year (1998–2020). The chart re-renders with every input event so the animation feels responsive. A large, low-opacity year label (62px) in the bottom-right corner acts as a watermark, reinforcing temporal context.</w:t>
      </w:r>
    </w:p>
    <w:p w14:paraId="48C85E71" w14:textId="59D0DEE6" w:rsidR="00AE23CB" w:rsidRPr="0067461B" w:rsidRDefault="00000000" w:rsidP="0067461B">
      <w:pPr>
        <w:spacing w:after="100"/>
        <w:jc w:val="both"/>
        <w:rPr>
          <w:rFonts w:ascii="Times New Roman" w:hAnsi="Times New Roman" w:cs="Times New Roman"/>
          <w:color w:val="000000" w:themeColor="text1"/>
          <w:sz w:val="24"/>
          <w:szCs w:val="24"/>
        </w:rPr>
      </w:pPr>
      <w:r w:rsidRPr="0067461B">
        <w:rPr>
          <w:rFonts w:ascii="Times New Roman" w:hAnsi="Times New Roman" w:cs="Times New Roman"/>
          <w:b/>
          <w:bCs/>
          <w:color w:val="000000" w:themeColor="text1"/>
          <w:sz w:val="24"/>
          <w:szCs w:val="24"/>
        </w:rPr>
        <w:t xml:space="preserve">Takeaway: </w:t>
      </w:r>
      <w:r w:rsidRPr="0067461B">
        <w:rPr>
          <w:rFonts w:ascii="Times New Roman" w:hAnsi="Times New Roman" w:cs="Times New Roman"/>
          <w:color w:val="000000" w:themeColor="text1"/>
          <w:sz w:val="24"/>
          <w:szCs w:val="24"/>
        </w:rPr>
        <w:t>Dataset coverage is uneven across years. Early 2000s charts are dominated by a handful of pop mega-acts. By the 2010s the roster diversifies — Drake and Taylor Swift appear repeatedly but never as overwhelmingly as early pop monopolies. Drag the slider to trace any artist's rise and fall across the two-decade window.</w:t>
      </w:r>
    </w:p>
    <w:p w14:paraId="49DBFFAC" w14:textId="77777777" w:rsidR="00AE23CB" w:rsidRPr="0067461B" w:rsidRDefault="00000000" w:rsidP="0067461B">
      <w:pPr>
        <w:pStyle w:val="Heading1"/>
        <w:jc w:val="both"/>
        <w:rPr>
          <w:rFonts w:ascii="Times New Roman" w:hAnsi="Times New Roman" w:cs="Times New Roman"/>
          <w:color w:val="000000" w:themeColor="text1"/>
          <w:sz w:val="24"/>
          <w:szCs w:val="24"/>
        </w:rPr>
      </w:pPr>
      <w:r w:rsidRPr="0067461B">
        <w:rPr>
          <w:rFonts w:ascii="Times New Roman" w:hAnsi="Times New Roman" w:cs="Times New Roman"/>
          <w:color w:val="000000" w:themeColor="text1"/>
          <w:sz w:val="24"/>
          <w:szCs w:val="24"/>
        </w:rPr>
        <w:t>Visualization 5 — Average Track Energy Over Time</w:t>
      </w:r>
    </w:p>
    <w:p w14:paraId="17EC5589" w14:textId="77777777" w:rsidR="00AE23CB" w:rsidRPr="0067461B" w:rsidRDefault="00000000" w:rsidP="0067461B">
      <w:pPr>
        <w:pStyle w:val="Heading2"/>
        <w:jc w:val="both"/>
        <w:rPr>
          <w:rFonts w:ascii="Times New Roman" w:hAnsi="Times New Roman" w:cs="Times New Roman"/>
          <w:color w:val="000000" w:themeColor="text1"/>
          <w:sz w:val="24"/>
          <w:szCs w:val="24"/>
        </w:rPr>
      </w:pPr>
      <w:r w:rsidRPr="0067461B">
        <w:rPr>
          <w:rFonts w:ascii="Times New Roman" w:hAnsi="Times New Roman" w:cs="Times New Roman"/>
          <w:color w:val="000000" w:themeColor="text1"/>
          <w:sz w:val="24"/>
          <w:szCs w:val="24"/>
        </w:rPr>
        <w:t>Library: Altair / Vega-Lite (rendered via vega-embed)</w:t>
      </w:r>
    </w:p>
    <w:p w14:paraId="12CD337A" w14:textId="18B1031B" w:rsidR="00AE23CB" w:rsidRPr="0067461B" w:rsidRDefault="00000000" w:rsidP="0067461B">
      <w:pPr>
        <w:spacing w:after="160"/>
        <w:jc w:val="both"/>
        <w:rPr>
          <w:rFonts w:ascii="Times New Roman" w:hAnsi="Times New Roman" w:cs="Times New Roman"/>
          <w:color w:val="000000" w:themeColor="text1"/>
          <w:sz w:val="24"/>
          <w:szCs w:val="24"/>
        </w:rPr>
      </w:pPr>
      <w:r w:rsidRPr="0067461B">
        <w:rPr>
          <w:rFonts w:ascii="Times New Roman" w:hAnsi="Times New Roman" w:cs="Times New Roman"/>
          <w:color w:val="000000" w:themeColor="text1"/>
          <w:sz w:val="24"/>
          <w:szCs w:val="24"/>
        </w:rPr>
        <w:t>This specification was designed using Altair's API and compiled to a Vega-Lite JSON spec. The chart uses a layered Vega-Lite spec combining an area mark (background fill) and a line+point mark (foreground), mirroring the pattern Altair generates for mark_line with an area fill. It is embedded in the web page via vega-embed.</w:t>
      </w:r>
    </w:p>
    <w:p w14:paraId="653C857E" w14:textId="77777777" w:rsidR="00AE23CB" w:rsidRPr="0067461B" w:rsidRDefault="00000000" w:rsidP="0067461B">
      <w:pPr>
        <w:spacing w:after="100"/>
        <w:jc w:val="both"/>
        <w:rPr>
          <w:rFonts w:ascii="Times New Roman" w:hAnsi="Times New Roman" w:cs="Times New Roman"/>
          <w:color w:val="000000" w:themeColor="text1"/>
          <w:sz w:val="24"/>
          <w:szCs w:val="24"/>
        </w:rPr>
      </w:pPr>
      <w:r w:rsidRPr="0067461B">
        <w:rPr>
          <w:rFonts w:ascii="Times New Roman" w:hAnsi="Times New Roman" w:cs="Times New Roman"/>
          <w:b/>
          <w:bCs/>
          <w:color w:val="000000" w:themeColor="text1"/>
          <w:sz w:val="24"/>
          <w:szCs w:val="24"/>
        </w:rPr>
        <w:t xml:space="preserve">Color: </w:t>
      </w:r>
      <w:r w:rsidRPr="0067461B">
        <w:rPr>
          <w:rFonts w:ascii="Times New Roman" w:hAnsi="Times New Roman" w:cs="Times New Roman"/>
          <w:color w:val="000000" w:themeColor="text1"/>
          <w:sz w:val="24"/>
          <w:szCs w:val="24"/>
        </w:rPr>
        <w:t>The line and points are Spotify green (#1db954). The area fill uses the same color at 12% opacity, creating a subtle glow effect that communicates the trend shape at a glance.</w:t>
      </w:r>
    </w:p>
    <w:p w14:paraId="5DDA1920" w14:textId="77777777" w:rsidR="00AE23CB" w:rsidRPr="0067461B" w:rsidRDefault="00000000" w:rsidP="0067461B">
      <w:pPr>
        <w:spacing w:after="100"/>
        <w:jc w:val="both"/>
        <w:rPr>
          <w:rFonts w:ascii="Times New Roman" w:hAnsi="Times New Roman" w:cs="Times New Roman"/>
          <w:color w:val="000000" w:themeColor="text1"/>
          <w:sz w:val="24"/>
          <w:szCs w:val="24"/>
        </w:rPr>
      </w:pPr>
      <w:r w:rsidRPr="0067461B">
        <w:rPr>
          <w:rFonts w:ascii="Times New Roman" w:hAnsi="Times New Roman" w:cs="Times New Roman"/>
          <w:b/>
          <w:bCs/>
          <w:color w:val="000000" w:themeColor="text1"/>
          <w:sz w:val="24"/>
          <w:szCs w:val="24"/>
        </w:rPr>
        <w:t xml:space="preserve">Scale: </w:t>
      </w:r>
      <w:r w:rsidRPr="0067461B">
        <w:rPr>
          <w:rFonts w:ascii="Times New Roman" w:hAnsi="Times New Roman" w:cs="Times New Roman"/>
          <w:color w:val="000000" w:themeColor="text1"/>
          <w:sz w:val="24"/>
          <w:szCs w:val="24"/>
        </w:rPr>
        <w:t>The y-axis uses scale zero=false so fluctuations in the 0.45–0.79 range are clearly visible rather than appearing as a flat line near the top of a zero-anchored chart.</w:t>
      </w:r>
    </w:p>
    <w:p w14:paraId="1302BF1D" w14:textId="77777777" w:rsidR="00AE23CB" w:rsidRPr="0067461B" w:rsidRDefault="00000000" w:rsidP="0067461B">
      <w:pPr>
        <w:spacing w:after="100"/>
        <w:jc w:val="both"/>
        <w:rPr>
          <w:rFonts w:ascii="Times New Roman" w:hAnsi="Times New Roman" w:cs="Times New Roman"/>
          <w:color w:val="000000" w:themeColor="text1"/>
          <w:sz w:val="24"/>
          <w:szCs w:val="24"/>
        </w:rPr>
      </w:pPr>
      <w:r w:rsidRPr="0067461B">
        <w:rPr>
          <w:rFonts w:ascii="Times New Roman" w:hAnsi="Times New Roman" w:cs="Times New Roman"/>
          <w:b/>
          <w:bCs/>
          <w:color w:val="000000" w:themeColor="text1"/>
          <w:sz w:val="24"/>
          <w:szCs w:val="24"/>
        </w:rPr>
        <w:t xml:space="preserve">Interaction — Hover Nearest Point: </w:t>
      </w:r>
      <w:r w:rsidRPr="0067461B">
        <w:rPr>
          <w:rFonts w:ascii="Times New Roman" w:hAnsi="Times New Roman" w:cs="Times New Roman"/>
          <w:color w:val="000000" w:themeColor="text1"/>
          <w:sz w:val="24"/>
          <w:szCs w:val="24"/>
        </w:rPr>
        <w:t>A Vega-Lite nearest-point selection (hoverPt) changes non-hovered points to 65% opacity, highlighting the nearest year. The native vega-embed tooltip shows the exact mean energy value formatted to four decimal places.</w:t>
      </w:r>
    </w:p>
    <w:p w14:paraId="6D797487" w14:textId="3D041152" w:rsidR="00AE23CB" w:rsidRPr="0067461B" w:rsidRDefault="00000000" w:rsidP="0067461B">
      <w:pPr>
        <w:spacing w:after="100"/>
        <w:jc w:val="both"/>
        <w:rPr>
          <w:rFonts w:ascii="Times New Roman" w:hAnsi="Times New Roman" w:cs="Times New Roman"/>
          <w:color w:val="000000" w:themeColor="text1"/>
          <w:sz w:val="24"/>
          <w:szCs w:val="24"/>
        </w:rPr>
      </w:pPr>
      <w:r w:rsidRPr="0067461B">
        <w:rPr>
          <w:rFonts w:ascii="Times New Roman" w:hAnsi="Times New Roman" w:cs="Times New Roman"/>
          <w:b/>
          <w:bCs/>
          <w:color w:val="000000" w:themeColor="text1"/>
          <w:sz w:val="24"/>
          <w:szCs w:val="24"/>
        </w:rPr>
        <w:t xml:space="preserve">Takeaway: </w:t>
      </w:r>
      <w:r w:rsidRPr="0067461B">
        <w:rPr>
          <w:rFonts w:ascii="Times New Roman" w:hAnsi="Times New Roman" w:cs="Times New Roman"/>
          <w:color w:val="000000" w:themeColor="text1"/>
          <w:sz w:val="24"/>
          <w:szCs w:val="24"/>
        </w:rPr>
        <w:t xml:space="preserve">Average energy starts very low in 1998 (approximately 0.45) — likely because the dataset contains very few tracks from that single year — then jumps sharply to approximately 0.74 by 1999 and remains elevated throughout the 2000s. It peaks around 2012–2013 at approximately 0.78, consistent with the loudness-war era and EDM's mainstream breakthrough. After that, energy dips gradually to a low of approximately 0.65 around 2018, before a sharp spike back to </w:t>
      </w:r>
      <w:r w:rsidRPr="0067461B">
        <w:rPr>
          <w:rFonts w:ascii="Times New Roman" w:hAnsi="Times New Roman" w:cs="Times New Roman"/>
          <w:color w:val="000000" w:themeColor="text1"/>
          <w:sz w:val="24"/>
          <w:szCs w:val="24"/>
        </w:rPr>
        <w:lastRenderedPageBreak/>
        <w:t>approximately 0.79 in 2020, possibly driven by a resurgence of high-production pop and hyperpop in the dataset's final year.</w:t>
      </w:r>
    </w:p>
    <w:p w14:paraId="67784492" w14:textId="77777777" w:rsidR="00AE23CB" w:rsidRPr="0067461B" w:rsidRDefault="00000000" w:rsidP="0067461B">
      <w:pPr>
        <w:pStyle w:val="Heading1"/>
        <w:jc w:val="both"/>
        <w:rPr>
          <w:rFonts w:ascii="Times New Roman" w:hAnsi="Times New Roman" w:cs="Times New Roman"/>
          <w:color w:val="000000" w:themeColor="text1"/>
          <w:sz w:val="24"/>
          <w:szCs w:val="24"/>
        </w:rPr>
      </w:pPr>
      <w:r w:rsidRPr="0067461B">
        <w:rPr>
          <w:rFonts w:ascii="Times New Roman" w:hAnsi="Times New Roman" w:cs="Times New Roman"/>
          <w:color w:val="000000" w:themeColor="text1"/>
          <w:sz w:val="24"/>
          <w:szCs w:val="24"/>
        </w:rPr>
        <w:t>Summary of Findings</w:t>
      </w:r>
    </w:p>
    <w:p w14:paraId="62C17722" w14:textId="6019429D" w:rsidR="00AE23CB" w:rsidRPr="0067461B" w:rsidRDefault="00000000" w:rsidP="0067461B">
      <w:pPr>
        <w:spacing w:after="160"/>
        <w:jc w:val="both"/>
        <w:rPr>
          <w:rFonts w:ascii="Times New Roman" w:hAnsi="Times New Roman" w:cs="Times New Roman"/>
          <w:color w:val="000000" w:themeColor="text1"/>
          <w:sz w:val="24"/>
          <w:szCs w:val="24"/>
        </w:rPr>
      </w:pPr>
      <w:r w:rsidRPr="0067461B">
        <w:rPr>
          <w:rFonts w:ascii="Times New Roman" w:hAnsi="Times New Roman" w:cs="Times New Roman"/>
          <w:color w:val="000000" w:themeColor="text1"/>
          <w:sz w:val="24"/>
          <w:szCs w:val="24"/>
        </w:rPr>
        <w:t>The five visualizations collectively reveal four major patterns in the Spotify dataset:</w:t>
      </w:r>
    </w:p>
    <w:p w14:paraId="3304318A" w14:textId="77777777" w:rsidR="00AE23CB" w:rsidRPr="0067461B" w:rsidRDefault="00000000" w:rsidP="0067461B">
      <w:pPr>
        <w:pStyle w:val="ListParagraph"/>
        <w:numPr>
          <w:ilvl w:val="0"/>
          <w:numId w:val="2"/>
        </w:numPr>
        <w:spacing w:after="100"/>
        <w:jc w:val="both"/>
        <w:rPr>
          <w:rFonts w:ascii="Times New Roman" w:hAnsi="Times New Roman" w:cs="Times New Roman"/>
          <w:color w:val="000000" w:themeColor="text1"/>
          <w:sz w:val="24"/>
          <w:szCs w:val="24"/>
        </w:rPr>
      </w:pPr>
      <w:r w:rsidRPr="0067461B">
        <w:rPr>
          <w:rFonts w:ascii="Times New Roman" w:hAnsi="Times New Roman" w:cs="Times New Roman"/>
          <w:color w:val="000000" w:themeColor="text1"/>
          <w:sz w:val="24"/>
          <w:szCs w:val="24"/>
        </w:rPr>
        <w:t>Genre imbalance: Pop and hip-hop together account for over 85% of tracks, yet latin and rock tracks score higher median popularity. This means genre filters in the recommender are heavily weighted toward pop and hip-hop, while the genres that perform best by chart score are underrepresented.</w:t>
      </w:r>
    </w:p>
    <w:p w14:paraId="42ED3AF9" w14:textId="77777777" w:rsidR="00AE23CB" w:rsidRPr="0067461B" w:rsidRDefault="00000000" w:rsidP="0067461B">
      <w:pPr>
        <w:pStyle w:val="ListParagraph"/>
        <w:numPr>
          <w:ilvl w:val="0"/>
          <w:numId w:val="2"/>
        </w:numPr>
        <w:spacing w:after="100"/>
        <w:jc w:val="both"/>
        <w:rPr>
          <w:rFonts w:ascii="Times New Roman" w:hAnsi="Times New Roman" w:cs="Times New Roman"/>
          <w:color w:val="000000" w:themeColor="text1"/>
          <w:sz w:val="24"/>
          <w:szCs w:val="24"/>
        </w:rPr>
      </w:pPr>
      <w:r w:rsidRPr="0067461B">
        <w:rPr>
          <w:rFonts w:ascii="Times New Roman" w:hAnsi="Times New Roman" w:cs="Times New Roman"/>
          <w:color w:val="000000" w:themeColor="text1"/>
          <w:sz w:val="24"/>
          <w:szCs w:val="24"/>
        </w:rPr>
        <w:t>Feature coupling: Energy and loudness are moderately coupled (r = 0.65). Users who rate “energy” highly will tend to receive loud, produced tracks. Acousticness acts as a near-inverse proxy for energy (r = −0.45), making it an effective hidden lever in the recommender. Importantly, popularity is nearly uncorrelated with all audio features (r within ±0.05 for every pair), meaning the feature-matching approach cannot reliably reproduce what makes a track a hit — only what makes it sound similar.</w:t>
      </w:r>
    </w:p>
    <w:p w14:paraId="21FC3302" w14:textId="77777777" w:rsidR="00AE23CB" w:rsidRPr="0067461B" w:rsidRDefault="00000000" w:rsidP="0067461B">
      <w:pPr>
        <w:pStyle w:val="ListParagraph"/>
        <w:numPr>
          <w:ilvl w:val="0"/>
          <w:numId w:val="2"/>
        </w:numPr>
        <w:spacing w:after="100"/>
        <w:jc w:val="both"/>
        <w:rPr>
          <w:rFonts w:ascii="Times New Roman" w:hAnsi="Times New Roman" w:cs="Times New Roman"/>
          <w:color w:val="000000" w:themeColor="text1"/>
          <w:sz w:val="24"/>
          <w:szCs w:val="24"/>
        </w:rPr>
      </w:pPr>
      <w:r w:rsidRPr="0067461B">
        <w:rPr>
          <w:rFonts w:ascii="Times New Roman" w:hAnsi="Times New Roman" w:cs="Times New Roman"/>
          <w:color w:val="000000" w:themeColor="text1"/>
          <w:sz w:val="24"/>
          <w:szCs w:val="24"/>
        </w:rPr>
        <w:t>Temporal energy drift: Energy jumps from approximately 0.45 in 1998 to approximately 0.74 by 1999, peaks around 0.78 in 2012–2013, dips to approximately 0.65 by 2018, then spikes again to approximately 0.79 in 2020. The sharp 2020 spike is an outlier worth investigating — if the dataset oversamples a specific high-energy subgenre for that year, it could bias recommendations for users selecting recent tracks. Min-max normalization over the full dataset treats all years at face value, hiding this temporal variation.</w:t>
      </w:r>
    </w:p>
    <w:p w14:paraId="4BFCB61A" w14:textId="695268DE" w:rsidR="00AE23CB" w:rsidRPr="0067461B" w:rsidRDefault="00000000" w:rsidP="0067461B">
      <w:pPr>
        <w:pStyle w:val="ListParagraph"/>
        <w:numPr>
          <w:ilvl w:val="0"/>
          <w:numId w:val="2"/>
        </w:numPr>
        <w:spacing w:after="100"/>
        <w:jc w:val="both"/>
        <w:rPr>
          <w:rFonts w:ascii="Times New Roman" w:hAnsi="Times New Roman" w:cs="Times New Roman"/>
          <w:color w:val="000000" w:themeColor="text1"/>
          <w:sz w:val="24"/>
          <w:szCs w:val="24"/>
        </w:rPr>
      </w:pPr>
      <w:r w:rsidRPr="0067461B">
        <w:rPr>
          <w:rFonts w:ascii="Times New Roman" w:hAnsi="Times New Roman" w:cs="Times New Roman"/>
          <w:color w:val="000000" w:themeColor="text1"/>
          <w:sz w:val="24"/>
          <w:szCs w:val="24"/>
        </w:rPr>
        <w:t>Artist concentration: Dataset curation favors a small number of chart-dominating artists in the early 2000s, which can cause those artists to appear disproportionately in recommendations for users with mainstream taste profiles.</w:t>
      </w:r>
    </w:p>
    <w:p w14:paraId="38E2EFF1" w14:textId="77777777" w:rsidR="00AE23CB" w:rsidRPr="0067461B" w:rsidRDefault="00000000" w:rsidP="0067461B">
      <w:pPr>
        <w:spacing w:after="160"/>
        <w:jc w:val="both"/>
        <w:rPr>
          <w:rFonts w:ascii="Times New Roman" w:hAnsi="Times New Roman" w:cs="Times New Roman"/>
          <w:color w:val="000000" w:themeColor="text1"/>
          <w:sz w:val="24"/>
          <w:szCs w:val="24"/>
        </w:rPr>
      </w:pPr>
      <w:r w:rsidRPr="0067461B">
        <w:rPr>
          <w:rFonts w:ascii="Times New Roman" w:hAnsi="Times New Roman" w:cs="Times New Roman"/>
          <w:b/>
          <w:bCs/>
          <w:color w:val="000000" w:themeColor="text1"/>
          <w:sz w:val="24"/>
          <w:szCs w:val="24"/>
        </w:rPr>
        <w:t>Future Work:</w:t>
      </w:r>
      <w:r w:rsidRPr="0067461B">
        <w:rPr>
          <w:rFonts w:ascii="Times New Roman" w:hAnsi="Times New Roman" w:cs="Times New Roman"/>
          <w:color w:val="000000" w:themeColor="text1"/>
          <w:sz w:val="24"/>
          <w:szCs w:val="24"/>
        </w:rPr>
        <w:t xml:space="preserve"> (1) Normalize features within yearly cohorts to remove the temporal drift bias. (2) Down-sample or weight by genre to reduce the pop/hip-hop dominance and surface the higher-scoring latin and rock tracks more equitably. (3) Add a decade filter to the taste profile so users can anchor recommendations to a specific era. (4) Replace the simple feature-distance matching with a learned embedding model trained on listening co-occurrence data, which could capture the aspects of popularity that audio features alone cannot explain.</w:t>
      </w:r>
    </w:p>
    <w:sectPr w:rsidR="00AE23CB" w:rsidRPr="0067461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FC02BF"/>
    <w:multiLevelType w:val="hybridMultilevel"/>
    <w:tmpl w:val="F12A6C82"/>
    <w:lvl w:ilvl="0" w:tplc="2DAEF1BE">
      <w:start w:val="1"/>
      <w:numFmt w:val="decimal"/>
      <w:lvlText w:val="%1."/>
      <w:lvlJc w:val="left"/>
      <w:pPr>
        <w:ind w:left="720" w:hanging="360"/>
      </w:pPr>
    </w:lvl>
    <w:lvl w:ilvl="1" w:tplc="C6680170">
      <w:numFmt w:val="decimal"/>
      <w:lvlText w:val=""/>
      <w:lvlJc w:val="left"/>
    </w:lvl>
    <w:lvl w:ilvl="2" w:tplc="8C9A8F6C">
      <w:numFmt w:val="decimal"/>
      <w:lvlText w:val=""/>
      <w:lvlJc w:val="left"/>
    </w:lvl>
    <w:lvl w:ilvl="3" w:tplc="AC9C88AE">
      <w:numFmt w:val="decimal"/>
      <w:lvlText w:val=""/>
      <w:lvlJc w:val="left"/>
    </w:lvl>
    <w:lvl w:ilvl="4" w:tplc="09742C8C">
      <w:numFmt w:val="decimal"/>
      <w:lvlText w:val=""/>
      <w:lvlJc w:val="left"/>
    </w:lvl>
    <w:lvl w:ilvl="5" w:tplc="4B9E8012">
      <w:numFmt w:val="decimal"/>
      <w:lvlText w:val=""/>
      <w:lvlJc w:val="left"/>
    </w:lvl>
    <w:lvl w:ilvl="6" w:tplc="9E849FE2">
      <w:numFmt w:val="decimal"/>
      <w:lvlText w:val=""/>
      <w:lvlJc w:val="left"/>
    </w:lvl>
    <w:lvl w:ilvl="7" w:tplc="4E5C8640">
      <w:numFmt w:val="decimal"/>
      <w:lvlText w:val=""/>
      <w:lvlJc w:val="left"/>
    </w:lvl>
    <w:lvl w:ilvl="8" w:tplc="D2803470">
      <w:numFmt w:val="decimal"/>
      <w:lvlText w:val=""/>
      <w:lvlJc w:val="left"/>
    </w:lvl>
  </w:abstractNum>
  <w:abstractNum w:abstractNumId="1" w15:restartNumberingAfterBreak="0">
    <w:nsid w:val="59F8457B"/>
    <w:multiLevelType w:val="hybridMultilevel"/>
    <w:tmpl w:val="7E18F78C"/>
    <w:lvl w:ilvl="0" w:tplc="6BA6227C">
      <w:start w:val="1"/>
      <w:numFmt w:val="bullet"/>
      <w:lvlText w:val="●"/>
      <w:lvlJc w:val="left"/>
      <w:pPr>
        <w:ind w:left="720" w:hanging="360"/>
      </w:pPr>
    </w:lvl>
    <w:lvl w:ilvl="1" w:tplc="63008B56">
      <w:start w:val="1"/>
      <w:numFmt w:val="bullet"/>
      <w:lvlText w:val="○"/>
      <w:lvlJc w:val="left"/>
      <w:pPr>
        <w:ind w:left="1440" w:hanging="360"/>
      </w:pPr>
    </w:lvl>
    <w:lvl w:ilvl="2" w:tplc="04BE6D72">
      <w:start w:val="1"/>
      <w:numFmt w:val="bullet"/>
      <w:lvlText w:val="■"/>
      <w:lvlJc w:val="left"/>
      <w:pPr>
        <w:ind w:left="2160" w:hanging="360"/>
      </w:pPr>
    </w:lvl>
    <w:lvl w:ilvl="3" w:tplc="3B465D6C">
      <w:start w:val="1"/>
      <w:numFmt w:val="bullet"/>
      <w:lvlText w:val="●"/>
      <w:lvlJc w:val="left"/>
      <w:pPr>
        <w:ind w:left="2880" w:hanging="360"/>
      </w:pPr>
    </w:lvl>
    <w:lvl w:ilvl="4" w:tplc="93FA45B0">
      <w:start w:val="1"/>
      <w:numFmt w:val="bullet"/>
      <w:lvlText w:val="○"/>
      <w:lvlJc w:val="left"/>
      <w:pPr>
        <w:ind w:left="3600" w:hanging="360"/>
      </w:pPr>
    </w:lvl>
    <w:lvl w:ilvl="5" w:tplc="BD9C9738">
      <w:start w:val="1"/>
      <w:numFmt w:val="bullet"/>
      <w:lvlText w:val="■"/>
      <w:lvlJc w:val="left"/>
      <w:pPr>
        <w:ind w:left="4320" w:hanging="360"/>
      </w:pPr>
    </w:lvl>
    <w:lvl w:ilvl="6" w:tplc="C1CAF4E8">
      <w:start w:val="1"/>
      <w:numFmt w:val="bullet"/>
      <w:lvlText w:val="●"/>
      <w:lvlJc w:val="left"/>
      <w:pPr>
        <w:ind w:left="5040" w:hanging="360"/>
      </w:pPr>
    </w:lvl>
    <w:lvl w:ilvl="7" w:tplc="19B4662C">
      <w:start w:val="1"/>
      <w:numFmt w:val="bullet"/>
      <w:lvlText w:val="●"/>
      <w:lvlJc w:val="left"/>
      <w:pPr>
        <w:ind w:left="5760" w:hanging="360"/>
      </w:pPr>
    </w:lvl>
    <w:lvl w:ilvl="8" w:tplc="3D7879DE">
      <w:start w:val="1"/>
      <w:numFmt w:val="bullet"/>
      <w:lvlText w:val="●"/>
      <w:lvlJc w:val="left"/>
      <w:pPr>
        <w:ind w:left="6480" w:hanging="360"/>
      </w:pPr>
    </w:lvl>
  </w:abstractNum>
  <w:num w:numId="1" w16cid:durableId="107117377">
    <w:abstractNumId w:val="1"/>
    <w:lvlOverride w:ilvl="0">
      <w:startOverride w:val="1"/>
    </w:lvlOverride>
  </w:num>
  <w:num w:numId="2" w16cid:durableId="12301957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3CB"/>
    <w:rsid w:val="0067461B"/>
    <w:rsid w:val="00A40D41"/>
    <w:rsid w:val="00AE23C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0A4D12C"/>
  <w15:docId w15:val="{4C948CE4-4E5B-FB45-8874-5F10B9D03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A6B38"/>
      <w:sz w:val="36"/>
      <w:szCs w:val="36"/>
    </w:rPr>
  </w:style>
  <w:style w:type="paragraph" w:styleId="Heading2">
    <w:name w:val="heading 2"/>
    <w:uiPriority w:val="9"/>
    <w:unhideWhenUsed/>
    <w:qFormat/>
    <w:pPr>
      <w:spacing w:before="200" w:after="120"/>
      <w:outlineLvl w:val="1"/>
    </w:pPr>
    <w:rPr>
      <w:b/>
      <w:bCs/>
      <w:color w:val="1A6B38"/>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1862</Words>
  <Characters>9424</Characters>
  <Application>Microsoft Office Word</Application>
  <DocSecurity>0</DocSecurity>
  <Lines>349</Lines>
  <Paragraphs>69</Paragraphs>
  <ScaleCrop>false</ScaleCrop>
  <Company/>
  <LinksUpToDate>false</LinksUpToDate>
  <CharactersWithSpaces>11217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Hoang Tran Nguyen Khanh (AMIR)</cp:lastModifiedBy>
  <cp:revision>2</cp:revision>
  <dcterms:created xsi:type="dcterms:W3CDTF">2026-04-12T02:47:00Z</dcterms:created>
  <dcterms:modified xsi:type="dcterms:W3CDTF">2026-04-12T02:55:00Z</dcterms:modified>
</cp:coreProperties>
</file>