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021/BGDĐT-VGDĐH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12 tháng 11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446/TB-VP về việc báo cáo tiến độ đảm bảo an ninh trật tự,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51% khối lượng công việc. Tổng kinh phí đã giải ngân là 2.710.000.000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Bộ Tài chính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VGDĐH.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