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087/BTC-VNSNN</w:t>
            </w:r>
            <w:r>
              <w:rPr>
                <w:rFonts w:ascii="Times New Roman" w:hAnsi="Times New Roman" w:eastAsia="Times New Roman"/>
                <w:b/>
                <w:i w:val="0"/>
                <w:sz w:val="24"/>
              </w:rPr>
              <w:br/>
              <w:t>V/v hướng dẫn thực hiện quy chế đảm bảo an ninh trật tự</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7 tháng 7 năm 2024</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Để đảm bảo tính thống nhất trong toàn hệ thống, BỘ TÀI CHÍNH hướng dẫn các đơn vị trực thuộc thực hiện quy chế đảm bảo an ninh trật tự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TÀI CHÍNH trước ngày 22/07/2024.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VNSNN.</w:t>
            </w:r>
          </w:p>
        </w:tc>
        <w:tc>
          <w:tcPr>
            <w:tcW w:type="dxa" w:w="4320"/>
          </w:tcPr>
          <w:p>
            <w:pPr>
              <w:jc w:val="center"/>
            </w:pPr>
            <w:r>
              <w:rPr>
                <w:rFonts w:ascii="Times New Roman" w:hAnsi="Times New Roman" w:eastAsia="Times New Roman"/>
                <w:b/>
                <w:i w:val="0"/>
                <w:sz w:val="26"/>
              </w:rPr>
              <w:t>TL. BỘ TRƯỞNG</w:t>
              <w:br/>
              <w:t>VỤ TRƯỞNG</w:t>
            </w:r>
            <w: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