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w:t>
              <w:br/>
              <w:t>BÁCH KHOA HÀ NỘI</w:t>
            </w:r>
            <w:r>
              <w:rPr>
                <w:rFonts w:ascii="Times New Roman" w:hAnsi="Times New Roman" w:eastAsia="Times New Roman"/>
                <w:b w:val="0"/>
                <w:i w:val="0"/>
                <w:sz w:val="26"/>
              </w:rPr>
              <w:br/>
              <w:t>-------</w:t>
              <w:br/>
              <w:t>Số: 102/ĐHBK-PĐT</w:t>
            </w:r>
            <w:r>
              <w:rPr>
                <w:rFonts w:ascii="Times New Roman" w:hAnsi="Times New Roman" w:eastAsia="Times New Roman"/>
                <w:b/>
                <w:i w:val="0"/>
                <w:sz w:val="24"/>
              </w:rPr>
              <w:br/>
              <w:t>V/v hướng dẫn thực hiện quy chế giải ngân vốn đầu tư công</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11 tháng 10 năm 2023</w:t>
            </w:r>
          </w:p>
        </w:tc>
      </w:tr>
    </w:tbl>
    <w:p/>
    <w:p>
      <w:pPr>
        <w:jc w:val="center"/>
      </w:pPr>
      <w:r>
        <w:rPr>
          <w:rFonts w:ascii="Times New Roman" w:hAnsi="Times New Roman" w:eastAsia="Times New Roman"/>
          <w:b/>
          <w:i w:val="0"/>
          <w:sz w:val="28"/>
        </w:rPr>
        <w:t>Kính gửi: Các Sở, Ban, Ngành</w:t>
      </w:r>
    </w:p>
    <w:p/>
    <w:p>
      <w:pPr>
        <w:jc w:val="both"/>
      </w:pPr>
      <w:r>
        <w:rPr>
          <w:rFonts w:ascii="Times New Roman" w:hAnsi="Times New Roman" w:eastAsia="Times New Roman"/>
          <w:b w:val="0"/>
          <w:i w:val="0"/>
          <w:sz w:val="28"/>
        </w:rPr>
        <w:t>Để đảm bảo tính thống nhất trong toàn hệ thống, TRƯỜNG ĐẠI HỌC BÁCH KHOA HÀ NỘI hướng dẫn các đơn vị trực thuộc thực hiện quy chế giải ngân vốn đầu tư công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TRƯỜNG ĐẠI HỌC BÁCH KHOA HÀ NỘI trước ngày 26/10/2023.</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PĐT.</w:t>
            </w:r>
          </w:p>
        </w:tc>
        <w:tc>
          <w:tcPr>
            <w:tcW w:type="dxa" w:w="4320"/>
          </w:tcPr>
          <w:p>
            <w:pPr>
              <w:jc w:val="center"/>
            </w:pPr>
            <w:r>
              <w:rPr>
                <w:rFonts w:ascii="Times New Roman" w:hAnsi="Times New Roman" w:eastAsia="Times New Roman"/>
                <w:b/>
                <w:i w:val="0"/>
                <w:sz w:val="26"/>
              </w:rPr>
              <w:t>GIÁM ĐỐC</w:t>
              <w:br/>
              <w:t>GIÁM ĐỐC</w:t>
            </w:r>
            <w: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