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105/SYT-PNVY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30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giải ngân vốn đầu tư công trong năm 2024, SỞ Y TẾ THÀNH PHỐ HỒ CHÍ MINH kính đề nghị Bộ Tài chính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297.000.000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