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119/ĐHBK-VC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820/TB-VP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76% khối lượng công việc. Tổng kinh phí đã giải ngân là 199.000.000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